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C66" w:rsidRPr="0018322C" w:rsidRDefault="00627C66" w:rsidP="00627C66">
      <w:pPr>
        <w:jc w:val="center"/>
        <w:rPr>
          <w:rFonts w:ascii="Courier New" w:hAnsi="Courier New"/>
          <w:sz w:val="20"/>
        </w:rPr>
      </w:pPr>
      <w:r>
        <w:rPr>
          <w:rFonts w:ascii="Courier New" w:hAnsi="Courier New"/>
          <w:sz w:val="20"/>
        </w:rPr>
        <w:t>1. ------IND- 2019 0388 B-- PL- ------ 20190807 --- --- PROJET</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C0762" w:rsidTr="00E17616">
        <w:tc>
          <w:tcPr>
            <w:tcW w:w="2500" w:type="pct"/>
          </w:tcPr>
          <w:p w:rsidR="00AC0762" w:rsidRPr="007A328A" w:rsidRDefault="00AC0762" w:rsidP="00A532E7">
            <w:pPr>
              <w:jc w:val="center"/>
              <w:rPr>
                <w:sz w:val="28"/>
                <w:szCs w:val="28"/>
              </w:rPr>
            </w:pPr>
          </w:p>
        </w:tc>
        <w:tc>
          <w:tcPr>
            <w:tcW w:w="2500" w:type="pct"/>
          </w:tcPr>
          <w:p w:rsidR="00AC0762" w:rsidRPr="007A328A" w:rsidRDefault="00A532E7" w:rsidP="00A532E7">
            <w:pPr>
              <w:jc w:val="center"/>
              <w:rPr>
                <w:sz w:val="28"/>
                <w:szCs w:val="28"/>
              </w:rPr>
            </w:pPr>
            <w:r>
              <w:rPr>
                <w:rFonts w:ascii="Times New Roman" w:hAnsi="Times New Roman"/>
                <w:b/>
                <w:sz w:val="28"/>
              </w:rPr>
              <w:t>KRÓLESTWO BELGII</w:t>
            </w:r>
          </w:p>
        </w:tc>
      </w:tr>
      <w:tr w:rsidR="00AC0762" w:rsidTr="00E17616">
        <w:tc>
          <w:tcPr>
            <w:tcW w:w="2500" w:type="pct"/>
          </w:tcPr>
          <w:p w:rsidR="00AC0762" w:rsidRPr="007A328A" w:rsidRDefault="00AC0762">
            <w:pPr>
              <w:rPr>
                <w:sz w:val="28"/>
                <w:szCs w:val="28"/>
              </w:rPr>
            </w:pPr>
          </w:p>
        </w:tc>
        <w:tc>
          <w:tcPr>
            <w:tcW w:w="2500" w:type="pct"/>
          </w:tcPr>
          <w:p w:rsidR="00AC0762" w:rsidRPr="007A328A" w:rsidRDefault="00AC0762" w:rsidP="00A532E7">
            <w:pPr>
              <w:jc w:val="center"/>
              <w:rPr>
                <w:sz w:val="28"/>
                <w:szCs w:val="28"/>
              </w:rPr>
            </w:pPr>
          </w:p>
        </w:tc>
      </w:tr>
      <w:tr w:rsidR="00AC0762" w:rsidRPr="00B75558" w:rsidTr="00E17616">
        <w:tc>
          <w:tcPr>
            <w:tcW w:w="2500" w:type="pct"/>
          </w:tcPr>
          <w:p w:rsidR="00AC0762" w:rsidRPr="007A328A" w:rsidRDefault="00AC0762" w:rsidP="000D4FF6">
            <w:pPr>
              <w:jc w:val="both"/>
              <w:rPr>
                <w:sz w:val="28"/>
                <w:szCs w:val="28"/>
              </w:rPr>
            </w:pPr>
          </w:p>
        </w:tc>
        <w:tc>
          <w:tcPr>
            <w:tcW w:w="2500" w:type="pct"/>
          </w:tcPr>
          <w:p w:rsidR="00AC0762" w:rsidRPr="007A328A" w:rsidRDefault="000D4FF6" w:rsidP="000D4FF6">
            <w:pPr>
              <w:jc w:val="both"/>
              <w:rPr>
                <w:sz w:val="28"/>
                <w:szCs w:val="28"/>
              </w:rPr>
            </w:pPr>
            <w:r>
              <w:rPr>
                <w:rFonts w:ascii="Times New Roman" w:hAnsi="Times New Roman"/>
                <w:b/>
                <w:sz w:val="28"/>
              </w:rPr>
              <w:t>FEDERALNY URZĄD DS. ZDROWIA PUBLICZNEGO, BEZPIECZEŃSTWA ŁAŃCUCHA DOSTAW ŻYWNOŚCI I ŚRODOWISKA ORAZ FEDERALNA AGENCJA DS. LEKÓW I PRODUKTÓW LECZNICZYCH</w:t>
            </w:r>
          </w:p>
        </w:tc>
      </w:tr>
      <w:tr w:rsidR="00AC0762" w:rsidRPr="00B75558" w:rsidTr="00E17616">
        <w:tc>
          <w:tcPr>
            <w:tcW w:w="2500" w:type="pct"/>
          </w:tcPr>
          <w:p w:rsidR="00AC0762" w:rsidRPr="007A328A" w:rsidRDefault="00AC0762">
            <w:pPr>
              <w:rPr>
                <w:sz w:val="28"/>
                <w:szCs w:val="28"/>
              </w:rPr>
            </w:pPr>
          </w:p>
        </w:tc>
        <w:tc>
          <w:tcPr>
            <w:tcW w:w="2500" w:type="pct"/>
          </w:tcPr>
          <w:p w:rsidR="00AC0762" w:rsidRPr="007A328A" w:rsidRDefault="00AC0762" w:rsidP="00A532E7">
            <w:pPr>
              <w:jc w:val="center"/>
              <w:rPr>
                <w:sz w:val="28"/>
                <w:szCs w:val="28"/>
              </w:rPr>
            </w:pPr>
          </w:p>
        </w:tc>
      </w:tr>
      <w:tr w:rsidR="00AC0762" w:rsidRPr="00B75558" w:rsidTr="00E17616">
        <w:tc>
          <w:tcPr>
            <w:tcW w:w="2500" w:type="pct"/>
          </w:tcPr>
          <w:p w:rsidR="00AC0762" w:rsidRPr="00B75558" w:rsidRDefault="00AC0762" w:rsidP="00A532E7">
            <w:pPr>
              <w:jc w:val="both"/>
              <w:rPr>
                <w:sz w:val="28"/>
                <w:szCs w:val="28"/>
              </w:rPr>
            </w:pPr>
          </w:p>
        </w:tc>
        <w:tc>
          <w:tcPr>
            <w:tcW w:w="2500" w:type="pct"/>
          </w:tcPr>
          <w:p w:rsidR="00AC0762" w:rsidRPr="007A328A" w:rsidRDefault="00A532E7" w:rsidP="00A532E7">
            <w:pPr>
              <w:jc w:val="both"/>
              <w:rPr>
                <w:sz w:val="28"/>
                <w:szCs w:val="28"/>
              </w:rPr>
            </w:pPr>
            <w:r>
              <w:rPr>
                <w:rFonts w:ascii="Times New Roman" w:hAnsi="Times New Roman"/>
                <w:b/>
                <w:sz w:val="28"/>
              </w:rPr>
              <w:t>Dekret królewski zmieniający dekret królewski z dnia 21 lipca 2016 r. w sprawie warunków stosowania leków przez lekarzy weterynarii oraz osoby odpowiedzialne za stan zwierząt</w:t>
            </w:r>
          </w:p>
        </w:tc>
      </w:tr>
      <w:tr w:rsidR="00AC0762" w:rsidRPr="00B75558" w:rsidTr="00E17616">
        <w:tc>
          <w:tcPr>
            <w:tcW w:w="2500" w:type="pct"/>
          </w:tcPr>
          <w:p w:rsidR="00AC0762" w:rsidRPr="00A532E7" w:rsidRDefault="00AC0762"/>
        </w:tc>
        <w:tc>
          <w:tcPr>
            <w:tcW w:w="2500" w:type="pct"/>
          </w:tcPr>
          <w:p w:rsidR="00AC0762" w:rsidRPr="00A532E7" w:rsidRDefault="00AC0762" w:rsidP="00A532E7">
            <w:pPr>
              <w:jc w:val="center"/>
            </w:pPr>
          </w:p>
        </w:tc>
      </w:tr>
      <w:tr w:rsidR="00AC0762" w:rsidRPr="007A328A" w:rsidTr="00E17616">
        <w:tc>
          <w:tcPr>
            <w:tcW w:w="2500" w:type="pct"/>
          </w:tcPr>
          <w:p w:rsidR="00AC0762" w:rsidRPr="007A328A" w:rsidRDefault="00AC0762" w:rsidP="00B75558">
            <w:pPr>
              <w:rPr>
                <w:b/>
                <w:sz w:val="24"/>
                <w:szCs w:val="24"/>
              </w:rPr>
            </w:pPr>
          </w:p>
        </w:tc>
        <w:tc>
          <w:tcPr>
            <w:tcW w:w="2500" w:type="pct"/>
          </w:tcPr>
          <w:p w:rsidR="00AC0762" w:rsidRPr="007A328A" w:rsidRDefault="00A532E7" w:rsidP="00A532E7">
            <w:pPr>
              <w:jc w:val="center"/>
              <w:rPr>
                <w:b/>
                <w:sz w:val="24"/>
                <w:szCs w:val="24"/>
              </w:rPr>
            </w:pPr>
            <w:r>
              <w:rPr>
                <w:rFonts w:ascii="Times New Roman" w:hAnsi="Times New Roman"/>
                <w:b/>
                <w:sz w:val="24"/>
              </w:rPr>
              <w:t>FILIP, Król Belgów,</w:t>
            </w:r>
          </w:p>
        </w:tc>
      </w:tr>
      <w:tr w:rsidR="00AC0762" w:rsidRPr="007A328A" w:rsidTr="00E17616">
        <w:tc>
          <w:tcPr>
            <w:tcW w:w="2500" w:type="pct"/>
          </w:tcPr>
          <w:p w:rsidR="00AC0762" w:rsidRPr="007A328A" w:rsidRDefault="00AC0762">
            <w:pPr>
              <w:rPr>
                <w:sz w:val="24"/>
                <w:szCs w:val="24"/>
              </w:rPr>
            </w:pPr>
          </w:p>
        </w:tc>
        <w:tc>
          <w:tcPr>
            <w:tcW w:w="2500" w:type="pct"/>
          </w:tcPr>
          <w:p w:rsidR="00AC0762" w:rsidRPr="007A328A" w:rsidRDefault="00AC0762" w:rsidP="00A532E7">
            <w:pPr>
              <w:jc w:val="center"/>
              <w:rPr>
                <w:sz w:val="24"/>
                <w:szCs w:val="24"/>
              </w:rPr>
            </w:pPr>
          </w:p>
        </w:tc>
      </w:tr>
      <w:tr w:rsidR="00AC0762" w:rsidRPr="00B75558" w:rsidTr="00E17616">
        <w:tc>
          <w:tcPr>
            <w:tcW w:w="2500" w:type="pct"/>
          </w:tcPr>
          <w:p w:rsidR="00AC0762" w:rsidRPr="007A328A" w:rsidRDefault="00AC0762">
            <w:pPr>
              <w:rPr>
                <w:sz w:val="24"/>
                <w:szCs w:val="24"/>
              </w:rPr>
            </w:pPr>
          </w:p>
        </w:tc>
        <w:tc>
          <w:tcPr>
            <w:tcW w:w="2500" w:type="pct"/>
          </w:tcPr>
          <w:p w:rsidR="00AC0762" w:rsidRPr="007A328A" w:rsidRDefault="00A532E7" w:rsidP="00A532E7">
            <w:pPr>
              <w:jc w:val="center"/>
              <w:rPr>
                <w:sz w:val="24"/>
                <w:szCs w:val="24"/>
              </w:rPr>
            </w:pPr>
            <w:r>
              <w:rPr>
                <w:rFonts w:ascii="Times New Roman" w:hAnsi="Times New Roman"/>
                <w:sz w:val="24"/>
              </w:rPr>
              <w:t>do wszystkich żyjących i przyszłych obywateli, z pozdrowieniem.</w:t>
            </w:r>
          </w:p>
        </w:tc>
      </w:tr>
      <w:tr w:rsidR="00774F9F" w:rsidRPr="00B75558" w:rsidTr="00E17616">
        <w:tc>
          <w:tcPr>
            <w:tcW w:w="2500" w:type="pct"/>
          </w:tcPr>
          <w:p w:rsidR="00774F9F" w:rsidRPr="007A328A" w:rsidRDefault="00774F9F" w:rsidP="00270D6C">
            <w:pPr>
              <w:pStyle w:val="BodyTextIndent"/>
              <w:jc w:val="center"/>
              <w:rPr>
                <w:rFonts w:ascii="Times New Roman" w:hAnsi="Times New Roman" w:cs="Times New Roman"/>
                <w:bCs/>
                <w:sz w:val="24"/>
                <w:szCs w:val="24"/>
              </w:rPr>
            </w:pPr>
          </w:p>
        </w:tc>
        <w:tc>
          <w:tcPr>
            <w:tcW w:w="2500" w:type="pct"/>
          </w:tcPr>
          <w:p w:rsidR="00774F9F" w:rsidRPr="007A328A" w:rsidRDefault="00774F9F" w:rsidP="00A532E7">
            <w:pPr>
              <w:jc w:val="center"/>
              <w:rPr>
                <w:rFonts w:ascii="Times New Roman" w:eastAsia="Times New Roman" w:hAnsi="Times New Roman" w:cs="Times New Roman"/>
                <w:bCs/>
                <w:sz w:val="24"/>
                <w:szCs w:val="24"/>
              </w:rPr>
            </w:pPr>
          </w:p>
        </w:tc>
      </w:tr>
      <w:tr w:rsidR="004E466E" w:rsidRPr="00B75558" w:rsidTr="00E17616">
        <w:tc>
          <w:tcPr>
            <w:tcW w:w="2500" w:type="pct"/>
          </w:tcPr>
          <w:p w:rsidR="004E466E" w:rsidRPr="007A328A" w:rsidRDefault="004E466E" w:rsidP="00270D6C">
            <w:pPr>
              <w:pStyle w:val="BodyTextIndent"/>
              <w:jc w:val="center"/>
              <w:rPr>
                <w:rFonts w:ascii="Times New Roman" w:hAnsi="Times New Roman" w:cs="Times New Roman"/>
                <w:bCs/>
                <w:sz w:val="24"/>
                <w:szCs w:val="24"/>
              </w:rPr>
            </w:pPr>
          </w:p>
        </w:tc>
        <w:tc>
          <w:tcPr>
            <w:tcW w:w="2500" w:type="pct"/>
          </w:tcPr>
          <w:p w:rsidR="004E466E" w:rsidRPr="007A328A" w:rsidRDefault="004E466E" w:rsidP="00A532E7">
            <w:pPr>
              <w:jc w:val="center"/>
              <w:rPr>
                <w:rFonts w:ascii="Times New Roman" w:eastAsia="Times New Roman" w:hAnsi="Times New Roman" w:cs="Times New Roman"/>
                <w:bCs/>
                <w:sz w:val="24"/>
                <w:szCs w:val="24"/>
              </w:rPr>
            </w:pPr>
          </w:p>
        </w:tc>
      </w:tr>
      <w:tr w:rsidR="00774F9F" w:rsidRPr="00B75558" w:rsidTr="00E17616">
        <w:tc>
          <w:tcPr>
            <w:tcW w:w="2500" w:type="pct"/>
          </w:tcPr>
          <w:p w:rsidR="00774F9F" w:rsidRPr="007A328A" w:rsidRDefault="00774F9F" w:rsidP="00774F9F">
            <w:pPr>
              <w:pStyle w:val="BodyTextIndent"/>
              <w:ind w:firstLine="0"/>
              <w:rPr>
                <w:rFonts w:ascii="Times New Roman" w:hAnsi="Times New Roman" w:cs="Times New Roman"/>
                <w:bCs/>
                <w:sz w:val="24"/>
                <w:szCs w:val="24"/>
              </w:rPr>
            </w:pPr>
          </w:p>
        </w:tc>
        <w:tc>
          <w:tcPr>
            <w:tcW w:w="2500" w:type="pct"/>
          </w:tcPr>
          <w:p w:rsidR="00774F9F" w:rsidRPr="007A328A" w:rsidRDefault="00773261" w:rsidP="00773261">
            <w:pPr>
              <w:jc w:val="both"/>
              <w:rPr>
                <w:rFonts w:ascii="Times New Roman" w:eastAsia="Times New Roman" w:hAnsi="Times New Roman" w:cs="Times New Roman"/>
                <w:bCs/>
                <w:sz w:val="24"/>
                <w:szCs w:val="24"/>
              </w:rPr>
            </w:pPr>
            <w:r>
              <w:rPr>
                <w:rFonts w:ascii="Times New Roman" w:hAnsi="Times New Roman"/>
                <w:sz w:val="24"/>
              </w:rPr>
              <w:t>uwzględniając ustawę z dnia 25 marca 1964 r. w sprawie leków, art. 12</w:t>
            </w:r>
            <w:r>
              <w:rPr>
                <w:rFonts w:ascii="Times New Roman" w:hAnsi="Times New Roman"/>
                <w:i/>
                <w:sz w:val="24"/>
              </w:rPr>
              <w:t>f</w:t>
            </w:r>
            <w:r>
              <w:rPr>
                <w:rFonts w:ascii="Times New Roman" w:hAnsi="Times New Roman"/>
                <w:sz w:val="24"/>
              </w:rPr>
              <w:t>, dodany ustawą z dnia 1 maja 2006 r.,</w:t>
            </w:r>
          </w:p>
        </w:tc>
      </w:tr>
      <w:tr w:rsidR="00520AD9" w:rsidRPr="00B75558" w:rsidTr="00E17616">
        <w:tc>
          <w:tcPr>
            <w:tcW w:w="2500" w:type="pct"/>
          </w:tcPr>
          <w:p w:rsidR="00520AD9" w:rsidRPr="007A328A" w:rsidRDefault="00520AD9" w:rsidP="00774F9F">
            <w:pPr>
              <w:pStyle w:val="BodyTextIndent"/>
              <w:ind w:firstLine="0"/>
              <w:rPr>
                <w:rFonts w:ascii="Times New Roman" w:hAnsi="Times New Roman" w:cs="Times New Roman"/>
                <w:bCs/>
                <w:sz w:val="24"/>
                <w:szCs w:val="24"/>
              </w:rPr>
            </w:pPr>
          </w:p>
        </w:tc>
        <w:tc>
          <w:tcPr>
            <w:tcW w:w="2500" w:type="pct"/>
          </w:tcPr>
          <w:p w:rsidR="00520AD9" w:rsidRPr="007A328A" w:rsidRDefault="00520AD9" w:rsidP="00A532E7">
            <w:pPr>
              <w:jc w:val="center"/>
              <w:rPr>
                <w:rFonts w:ascii="Times New Roman" w:eastAsia="Times New Roman" w:hAnsi="Times New Roman" w:cs="Times New Roman"/>
                <w:bCs/>
                <w:sz w:val="24"/>
                <w:szCs w:val="24"/>
              </w:rPr>
            </w:pPr>
          </w:p>
        </w:tc>
      </w:tr>
      <w:tr w:rsidR="00520AD9" w:rsidRPr="00B75558" w:rsidTr="00E17616">
        <w:tc>
          <w:tcPr>
            <w:tcW w:w="2500" w:type="pct"/>
          </w:tcPr>
          <w:p w:rsidR="00520AD9" w:rsidRPr="00B75558" w:rsidRDefault="00520AD9" w:rsidP="00773261">
            <w:pPr>
              <w:pStyle w:val="BodyTextIndent"/>
              <w:ind w:firstLine="0"/>
              <w:rPr>
                <w:rFonts w:ascii="Times New Roman" w:hAnsi="Times New Roman" w:cs="Times New Roman"/>
                <w:bCs/>
                <w:sz w:val="24"/>
                <w:szCs w:val="24"/>
              </w:rPr>
            </w:pPr>
          </w:p>
        </w:tc>
        <w:tc>
          <w:tcPr>
            <w:tcW w:w="2500" w:type="pct"/>
          </w:tcPr>
          <w:p w:rsidR="00520AD9" w:rsidRPr="007A328A" w:rsidRDefault="00773261" w:rsidP="004769A4">
            <w:pPr>
              <w:jc w:val="both"/>
              <w:rPr>
                <w:rFonts w:ascii="Times New Roman" w:eastAsia="Times New Roman" w:hAnsi="Times New Roman" w:cs="Times New Roman"/>
                <w:bCs/>
                <w:sz w:val="24"/>
                <w:szCs w:val="24"/>
              </w:rPr>
            </w:pPr>
            <w:r>
              <w:rPr>
                <w:rFonts w:ascii="Times New Roman" w:hAnsi="Times New Roman"/>
                <w:sz w:val="24"/>
              </w:rPr>
              <w:t>uwzględniając ustawę z dnia 28 sierpnia 1991 r. w sprawie weterynarii, art. 9 § 2 zmieniony ustawami z dni 22 czerwca 2016 r. i 30 października 2018 r.,</w:t>
            </w:r>
          </w:p>
        </w:tc>
      </w:tr>
      <w:tr w:rsidR="00773261" w:rsidRPr="00B75558" w:rsidTr="00E17616">
        <w:tc>
          <w:tcPr>
            <w:tcW w:w="2500" w:type="pct"/>
          </w:tcPr>
          <w:p w:rsidR="00773261" w:rsidRPr="007A328A" w:rsidRDefault="00773261" w:rsidP="00773261">
            <w:pPr>
              <w:pStyle w:val="BodyTextIndent"/>
              <w:ind w:firstLine="0"/>
              <w:rPr>
                <w:rFonts w:ascii="Times New Roman" w:hAnsi="Times New Roman" w:cs="Times New Roman"/>
                <w:bCs/>
                <w:sz w:val="24"/>
                <w:szCs w:val="24"/>
              </w:rPr>
            </w:pPr>
          </w:p>
        </w:tc>
        <w:tc>
          <w:tcPr>
            <w:tcW w:w="2500" w:type="pct"/>
          </w:tcPr>
          <w:p w:rsidR="00773261" w:rsidRPr="007A328A" w:rsidRDefault="00773261" w:rsidP="00773261">
            <w:pPr>
              <w:rPr>
                <w:rFonts w:ascii="Times New Roman" w:eastAsia="Times New Roman" w:hAnsi="Times New Roman" w:cs="Times New Roman"/>
                <w:bCs/>
                <w:sz w:val="24"/>
                <w:szCs w:val="24"/>
              </w:rPr>
            </w:pPr>
          </w:p>
        </w:tc>
      </w:tr>
      <w:tr w:rsidR="00C5784C" w:rsidRPr="00B75558" w:rsidTr="00E17616">
        <w:tc>
          <w:tcPr>
            <w:tcW w:w="2500" w:type="pct"/>
          </w:tcPr>
          <w:p w:rsidR="00C5784C" w:rsidRPr="00B75558" w:rsidRDefault="00C5784C" w:rsidP="00B75558">
            <w:pPr>
              <w:pStyle w:val="BodyTextIndent"/>
              <w:ind w:firstLine="0"/>
              <w:rPr>
                <w:rFonts w:ascii="Times New Roman" w:hAnsi="Times New Roman" w:cs="Times New Roman"/>
                <w:bCs/>
                <w:sz w:val="24"/>
                <w:szCs w:val="24"/>
              </w:rPr>
            </w:pPr>
          </w:p>
        </w:tc>
        <w:tc>
          <w:tcPr>
            <w:tcW w:w="2500" w:type="pct"/>
          </w:tcPr>
          <w:p w:rsidR="00C5784C" w:rsidRPr="007A328A" w:rsidRDefault="007F6A71" w:rsidP="000C18D6">
            <w:pPr>
              <w:jc w:val="both"/>
              <w:rPr>
                <w:rFonts w:ascii="Times New Roman" w:eastAsia="Times New Roman" w:hAnsi="Times New Roman" w:cs="Times New Roman"/>
                <w:bCs/>
                <w:sz w:val="24"/>
                <w:szCs w:val="24"/>
              </w:rPr>
            </w:pPr>
            <w:r>
              <w:rPr>
                <w:rFonts w:ascii="Times New Roman" w:hAnsi="Times New Roman"/>
                <w:sz w:val="24"/>
              </w:rPr>
              <w:t>uwzględniając dekret królewski z dnia 21 lipca 2016 r. w sprawie warunków stosowania leków przez lekarzy weterynarii oraz osoby odpowiedzialne za stan zwierząt, częściowo uchylony wyrokiem Rady Stanu nr 244.629 z dnia 28 maja 2019 r.,</w:t>
            </w:r>
          </w:p>
        </w:tc>
      </w:tr>
      <w:tr w:rsidR="00C5784C" w:rsidRPr="00B75558" w:rsidTr="00E17616">
        <w:tc>
          <w:tcPr>
            <w:tcW w:w="2500" w:type="pct"/>
          </w:tcPr>
          <w:p w:rsidR="00C5784C" w:rsidRPr="007A328A" w:rsidRDefault="00C5784C" w:rsidP="00773261">
            <w:pPr>
              <w:pStyle w:val="BodyTextIndent"/>
              <w:ind w:firstLine="0"/>
              <w:rPr>
                <w:rFonts w:ascii="Times New Roman" w:hAnsi="Times New Roman" w:cs="Times New Roman"/>
                <w:bCs/>
                <w:sz w:val="24"/>
                <w:szCs w:val="24"/>
              </w:rPr>
            </w:pPr>
          </w:p>
        </w:tc>
        <w:tc>
          <w:tcPr>
            <w:tcW w:w="2500" w:type="pct"/>
          </w:tcPr>
          <w:p w:rsidR="00C5784C" w:rsidRPr="007A328A" w:rsidRDefault="00C5784C" w:rsidP="00773261">
            <w:pPr>
              <w:rPr>
                <w:rFonts w:ascii="Times New Roman" w:eastAsia="Times New Roman" w:hAnsi="Times New Roman" w:cs="Times New Roman"/>
                <w:bCs/>
                <w:sz w:val="24"/>
                <w:szCs w:val="24"/>
              </w:rPr>
            </w:pPr>
          </w:p>
        </w:tc>
      </w:tr>
      <w:tr w:rsidR="001432A5" w:rsidRPr="00B75558" w:rsidTr="00E17616">
        <w:tc>
          <w:tcPr>
            <w:tcW w:w="2500" w:type="pct"/>
          </w:tcPr>
          <w:p w:rsidR="001432A5" w:rsidRPr="00B75558" w:rsidRDefault="001432A5" w:rsidP="00B75558">
            <w:pPr>
              <w:pStyle w:val="BodyTextIndent"/>
              <w:ind w:firstLine="0"/>
              <w:rPr>
                <w:rFonts w:ascii="Times New Roman" w:hAnsi="Times New Roman" w:cs="Times New Roman"/>
                <w:bCs/>
                <w:sz w:val="24"/>
                <w:szCs w:val="24"/>
              </w:rPr>
            </w:pPr>
          </w:p>
        </w:tc>
        <w:tc>
          <w:tcPr>
            <w:tcW w:w="2500" w:type="pct"/>
          </w:tcPr>
          <w:p w:rsidR="001432A5" w:rsidRPr="007A328A" w:rsidRDefault="001432A5" w:rsidP="001432A5">
            <w:pPr>
              <w:jc w:val="both"/>
              <w:rPr>
                <w:rFonts w:ascii="Times New Roman" w:eastAsia="Times New Roman" w:hAnsi="Times New Roman" w:cs="Times New Roman"/>
                <w:bCs/>
                <w:sz w:val="24"/>
                <w:szCs w:val="24"/>
              </w:rPr>
            </w:pPr>
            <w:r>
              <w:rPr>
                <w:rFonts w:ascii="Times New Roman" w:hAnsi="Times New Roman"/>
                <w:sz w:val="24"/>
              </w:rPr>
              <w:t xml:space="preserve">uwzględniając notyfikację przekazaną Komisji Europejskiej w dniu ... w trybie art. 5 ust. 1 dyrektywy (UE) 2015/1535 Parlamentu Europejskiego i Rady z dnia 9 września 2015 r. ustanawiającej procedurę udzielania informacji w dziedzinie przepisów </w:t>
            </w:r>
            <w:r>
              <w:rPr>
                <w:rFonts w:ascii="Times New Roman" w:hAnsi="Times New Roman"/>
                <w:sz w:val="24"/>
              </w:rPr>
              <w:lastRenderedPageBreak/>
              <w:t>technicznych oraz zasad dotyczących usług społeczeństwa informacyjnego,</w:t>
            </w:r>
          </w:p>
        </w:tc>
      </w:tr>
      <w:tr w:rsidR="001432A5" w:rsidRPr="00B75558" w:rsidTr="00E17616">
        <w:tc>
          <w:tcPr>
            <w:tcW w:w="2500" w:type="pct"/>
          </w:tcPr>
          <w:p w:rsidR="001432A5" w:rsidRPr="007A328A" w:rsidRDefault="001432A5" w:rsidP="00773261">
            <w:pPr>
              <w:pStyle w:val="BodyTextIndent"/>
              <w:ind w:firstLine="0"/>
              <w:rPr>
                <w:rFonts w:ascii="Times New Roman" w:hAnsi="Times New Roman" w:cs="Times New Roman"/>
                <w:bCs/>
                <w:sz w:val="24"/>
                <w:szCs w:val="24"/>
              </w:rPr>
            </w:pPr>
          </w:p>
        </w:tc>
        <w:tc>
          <w:tcPr>
            <w:tcW w:w="2500" w:type="pct"/>
          </w:tcPr>
          <w:p w:rsidR="001432A5" w:rsidRPr="007A328A" w:rsidRDefault="001432A5" w:rsidP="00773261">
            <w:pPr>
              <w:rPr>
                <w:rFonts w:ascii="Times New Roman" w:eastAsia="Times New Roman" w:hAnsi="Times New Roman" w:cs="Times New Roman"/>
                <w:bCs/>
                <w:sz w:val="24"/>
                <w:szCs w:val="24"/>
              </w:rPr>
            </w:pPr>
          </w:p>
        </w:tc>
      </w:tr>
      <w:tr w:rsidR="00773261" w:rsidRPr="00B75558" w:rsidTr="00E17616">
        <w:tc>
          <w:tcPr>
            <w:tcW w:w="2500" w:type="pct"/>
          </w:tcPr>
          <w:p w:rsidR="00773261" w:rsidRPr="00B75558" w:rsidRDefault="00773261" w:rsidP="00773261">
            <w:pPr>
              <w:pStyle w:val="BodyTextIndent"/>
              <w:ind w:firstLine="0"/>
              <w:rPr>
                <w:rFonts w:ascii="Times New Roman" w:hAnsi="Times New Roman" w:cs="Times New Roman"/>
                <w:bCs/>
                <w:sz w:val="24"/>
                <w:szCs w:val="24"/>
              </w:rPr>
            </w:pPr>
          </w:p>
        </w:tc>
        <w:tc>
          <w:tcPr>
            <w:tcW w:w="2500" w:type="pct"/>
          </w:tcPr>
          <w:p w:rsidR="00773261" w:rsidRPr="007A328A" w:rsidRDefault="00773261" w:rsidP="004769A4">
            <w:pPr>
              <w:jc w:val="both"/>
              <w:rPr>
                <w:rFonts w:ascii="Times New Roman" w:eastAsia="Times New Roman" w:hAnsi="Times New Roman" w:cs="Times New Roman"/>
                <w:bCs/>
                <w:sz w:val="24"/>
                <w:szCs w:val="24"/>
              </w:rPr>
            </w:pPr>
            <w:r>
              <w:rPr>
                <w:rFonts w:ascii="Times New Roman" w:hAnsi="Times New Roman"/>
                <w:sz w:val="24"/>
              </w:rPr>
              <w:t>uwzględniając opinię Inspektora ds. Finansów z dnia XX XX XXXX,</w:t>
            </w:r>
          </w:p>
        </w:tc>
      </w:tr>
      <w:tr w:rsidR="00EA7D63" w:rsidRPr="00B75558" w:rsidTr="00E17616">
        <w:tc>
          <w:tcPr>
            <w:tcW w:w="2500" w:type="pct"/>
          </w:tcPr>
          <w:p w:rsidR="00EA7D63" w:rsidRPr="000D4FF6"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rPr>
            </w:pPr>
          </w:p>
        </w:tc>
      </w:tr>
      <w:tr w:rsidR="00EA7D63" w:rsidRPr="00B75558" w:rsidTr="00E17616">
        <w:tc>
          <w:tcPr>
            <w:tcW w:w="2500" w:type="pct"/>
          </w:tcPr>
          <w:p w:rsidR="00EA7D63" w:rsidRPr="00B75558"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3446C7" w:rsidP="003446C7">
            <w:pPr>
              <w:jc w:val="both"/>
              <w:rPr>
                <w:rFonts w:ascii="Times New Roman" w:eastAsia="Times New Roman" w:hAnsi="Times New Roman" w:cs="Times New Roman"/>
                <w:bCs/>
                <w:sz w:val="24"/>
                <w:szCs w:val="24"/>
              </w:rPr>
            </w:pPr>
            <w:r>
              <w:rPr>
                <w:rFonts w:ascii="Times New Roman" w:hAnsi="Times New Roman"/>
                <w:sz w:val="24"/>
              </w:rPr>
              <w:t>uwzględniając opinię Rady Stanu nr XX.XXX/XX z dnia XX XX XXXX, w trybie art. 84 § 1 pkt 2° ustaw o Radzie Stanu w wersji skonsolidowanej z dnia 12 stycznia 1973 r.,</w:t>
            </w:r>
          </w:p>
        </w:tc>
      </w:tr>
      <w:tr w:rsidR="00EA7D63" w:rsidRPr="00B75558" w:rsidTr="00E17616">
        <w:tc>
          <w:tcPr>
            <w:tcW w:w="2500" w:type="pct"/>
          </w:tcPr>
          <w:p w:rsidR="00EA7D63" w:rsidRPr="007A328A"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rPr>
            </w:pPr>
          </w:p>
        </w:tc>
      </w:tr>
      <w:tr w:rsidR="00AC0762" w:rsidRPr="00B75558" w:rsidTr="00E17616">
        <w:tc>
          <w:tcPr>
            <w:tcW w:w="2500" w:type="pct"/>
          </w:tcPr>
          <w:p w:rsidR="00AC0762" w:rsidRPr="00B75558" w:rsidRDefault="00AC0762" w:rsidP="00270D6C">
            <w:pPr>
              <w:jc w:val="both"/>
              <w:rPr>
                <w:sz w:val="24"/>
                <w:szCs w:val="24"/>
              </w:rPr>
            </w:pPr>
          </w:p>
        </w:tc>
        <w:tc>
          <w:tcPr>
            <w:tcW w:w="2500" w:type="pct"/>
          </w:tcPr>
          <w:p w:rsidR="00AC0762" w:rsidRPr="007A328A" w:rsidRDefault="003446C7" w:rsidP="003446C7">
            <w:pPr>
              <w:jc w:val="both"/>
              <w:rPr>
                <w:rFonts w:ascii="Times New Roman" w:hAnsi="Times New Roman" w:cs="Times New Roman"/>
                <w:sz w:val="24"/>
                <w:szCs w:val="24"/>
              </w:rPr>
            </w:pPr>
            <w:r>
              <w:rPr>
                <w:rFonts w:ascii="Times New Roman" w:hAnsi="Times New Roman"/>
                <w:sz w:val="24"/>
              </w:rPr>
              <w:t>na wniosek Ministra Zdrowia Publicznego i Ministra Rolnictwa,</w:t>
            </w:r>
          </w:p>
        </w:tc>
      </w:tr>
      <w:tr w:rsidR="00AC0762" w:rsidRPr="00B75558" w:rsidTr="00E17616">
        <w:tc>
          <w:tcPr>
            <w:tcW w:w="2500" w:type="pct"/>
          </w:tcPr>
          <w:p w:rsidR="00AC0762" w:rsidRPr="007A328A" w:rsidRDefault="00AC0762">
            <w:pPr>
              <w:rPr>
                <w:sz w:val="24"/>
                <w:szCs w:val="24"/>
              </w:rPr>
            </w:pPr>
          </w:p>
        </w:tc>
        <w:tc>
          <w:tcPr>
            <w:tcW w:w="2500" w:type="pct"/>
          </w:tcPr>
          <w:p w:rsidR="00AC0762" w:rsidRPr="007A328A" w:rsidRDefault="00AC0762">
            <w:pPr>
              <w:rPr>
                <w:sz w:val="24"/>
                <w:szCs w:val="24"/>
              </w:rPr>
            </w:pPr>
          </w:p>
        </w:tc>
      </w:tr>
      <w:tr w:rsidR="00270D6C" w:rsidRPr="00B75558" w:rsidTr="00E17616">
        <w:tc>
          <w:tcPr>
            <w:tcW w:w="2500" w:type="pct"/>
          </w:tcPr>
          <w:p w:rsidR="00270D6C" w:rsidRPr="00B75558" w:rsidRDefault="00270D6C" w:rsidP="0074657B">
            <w:pPr>
              <w:jc w:val="both"/>
              <w:rPr>
                <w:caps/>
                <w:sz w:val="24"/>
                <w:szCs w:val="24"/>
              </w:rPr>
            </w:pPr>
          </w:p>
        </w:tc>
        <w:tc>
          <w:tcPr>
            <w:tcW w:w="2500" w:type="pct"/>
          </w:tcPr>
          <w:p w:rsidR="00270D6C" w:rsidRPr="007A328A" w:rsidRDefault="00270D6C" w:rsidP="0074657B">
            <w:pPr>
              <w:jc w:val="both"/>
              <w:rPr>
                <w:caps/>
                <w:sz w:val="24"/>
                <w:szCs w:val="24"/>
              </w:rPr>
            </w:pPr>
            <w:r>
              <w:rPr>
                <w:rFonts w:ascii="Times New Roman" w:hAnsi="Times New Roman"/>
                <w:caps/>
                <w:sz w:val="24"/>
              </w:rPr>
              <w:t>postanawiamy i uchwalamy:</w:t>
            </w:r>
          </w:p>
        </w:tc>
      </w:tr>
      <w:tr w:rsidR="00270D6C" w:rsidRPr="00B75558" w:rsidTr="00E17616">
        <w:tc>
          <w:tcPr>
            <w:tcW w:w="2500" w:type="pct"/>
          </w:tcPr>
          <w:p w:rsidR="00270D6C" w:rsidRPr="007A328A" w:rsidRDefault="00270D6C">
            <w:pPr>
              <w:rPr>
                <w:sz w:val="24"/>
                <w:szCs w:val="24"/>
              </w:rPr>
            </w:pPr>
          </w:p>
        </w:tc>
        <w:tc>
          <w:tcPr>
            <w:tcW w:w="2500" w:type="pct"/>
          </w:tcPr>
          <w:p w:rsidR="00270D6C" w:rsidRPr="007A328A" w:rsidRDefault="00270D6C">
            <w:pPr>
              <w:rPr>
                <w:sz w:val="24"/>
                <w:szCs w:val="24"/>
              </w:rPr>
            </w:pPr>
          </w:p>
        </w:tc>
      </w:tr>
      <w:tr w:rsidR="00270D6C" w:rsidRPr="00B75558" w:rsidTr="00E17616">
        <w:tc>
          <w:tcPr>
            <w:tcW w:w="2500" w:type="pct"/>
          </w:tcPr>
          <w:p w:rsidR="00270D6C" w:rsidRPr="007A328A" w:rsidRDefault="00270D6C">
            <w:pPr>
              <w:rPr>
                <w:rFonts w:ascii="Times New Roman" w:hAnsi="Times New Roman" w:cs="Times New Roman"/>
                <w:sz w:val="24"/>
                <w:szCs w:val="24"/>
              </w:rPr>
            </w:pPr>
          </w:p>
        </w:tc>
        <w:tc>
          <w:tcPr>
            <w:tcW w:w="2500" w:type="pct"/>
          </w:tcPr>
          <w:p w:rsidR="00270D6C" w:rsidRPr="007A328A" w:rsidRDefault="00270D6C">
            <w:pPr>
              <w:rPr>
                <w:sz w:val="24"/>
                <w:szCs w:val="24"/>
              </w:rPr>
            </w:pPr>
          </w:p>
        </w:tc>
      </w:tr>
      <w:tr w:rsidR="00270D6C" w:rsidRPr="00B75558" w:rsidTr="00E17616">
        <w:tc>
          <w:tcPr>
            <w:tcW w:w="2500" w:type="pct"/>
          </w:tcPr>
          <w:p w:rsidR="00270D6C" w:rsidRPr="00B75558" w:rsidRDefault="00270D6C" w:rsidP="00A8079B">
            <w:pPr>
              <w:jc w:val="both"/>
              <w:rPr>
                <w:rFonts w:ascii="Times New Roman" w:hAnsi="Times New Roman" w:cs="Times New Roman"/>
                <w:sz w:val="24"/>
                <w:szCs w:val="24"/>
              </w:rPr>
            </w:pPr>
          </w:p>
        </w:tc>
        <w:tc>
          <w:tcPr>
            <w:tcW w:w="2500" w:type="pct"/>
          </w:tcPr>
          <w:p w:rsidR="009C2993" w:rsidRPr="007A328A" w:rsidRDefault="00FA2D30" w:rsidP="000A16EF">
            <w:pPr>
              <w:jc w:val="both"/>
              <w:rPr>
                <w:rFonts w:ascii="Times New Roman" w:eastAsia="Times New Roman" w:hAnsi="Times New Roman" w:cs="Times New Roman"/>
                <w:bCs/>
                <w:sz w:val="24"/>
                <w:szCs w:val="24"/>
              </w:rPr>
            </w:pPr>
            <w:r>
              <w:rPr>
                <w:rFonts w:ascii="Times New Roman" w:hAnsi="Times New Roman"/>
                <w:b/>
                <w:sz w:val="24"/>
              </w:rPr>
              <w:t>Artykuł 1.</w:t>
            </w:r>
            <w:r>
              <w:rPr>
                <w:rFonts w:ascii="Times New Roman" w:hAnsi="Times New Roman"/>
                <w:sz w:val="24"/>
              </w:rPr>
              <w:t xml:space="preserve"> Artykuł 65 dekretu królewskiego z dnia 21 lipca 2016 r. w sprawie warunków stosowania leków przez lekarzy weterynarii oraz osoby odpowiedzialne za stan zwierząt, uchylony wyrokiem Rady Stanu nr 244.629 z dnia 28 maja 2019 r., zostaje przywrócony w następującym brzmieniu:</w:t>
            </w:r>
          </w:p>
        </w:tc>
      </w:tr>
      <w:tr w:rsidR="007D1C9B" w:rsidRPr="00B75558" w:rsidTr="00E17616">
        <w:tc>
          <w:tcPr>
            <w:tcW w:w="2500" w:type="pct"/>
          </w:tcPr>
          <w:p w:rsidR="007D1C9B" w:rsidRPr="007A328A" w:rsidRDefault="007D1C9B">
            <w:pPr>
              <w:rPr>
                <w:sz w:val="24"/>
                <w:szCs w:val="24"/>
              </w:rPr>
            </w:pPr>
          </w:p>
        </w:tc>
        <w:tc>
          <w:tcPr>
            <w:tcW w:w="2500" w:type="pct"/>
          </w:tcPr>
          <w:p w:rsidR="007D1C9B" w:rsidRPr="000520B5" w:rsidRDefault="007D1C9B">
            <w:pPr>
              <w:rPr>
                <w:rFonts w:ascii="Times New Roman" w:eastAsia="Times New Roman" w:hAnsi="Times New Roman" w:cs="Times New Roman"/>
                <w:bCs/>
                <w:sz w:val="24"/>
                <w:szCs w:val="24"/>
              </w:rPr>
            </w:pPr>
          </w:p>
        </w:tc>
      </w:tr>
      <w:tr w:rsidR="007D1C9B" w:rsidRPr="00B75558" w:rsidTr="00E17616">
        <w:tc>
          <w:tcPr>
            <w:tcW w:w="2500" w:type="pct"/>
          </w:tcPr>
          <w:p w:rsidR="007D1C9B" w:rsidRPr="007A328A" w:rsidRDefault="007D1C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A328A" w:rsidRDefault="00A807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sz w:val="24"/>
              </w:rPr>
              <w:t xml:space="preserve">„Artykuł 65. Niniejszej sekcji nie stosuje się do: </w:t>
            </w:r>
          </w:p>
        </w:tc>
      </w:tr>
      <w:tr w:rsidR="007D1C9B" w:rsidRPr="00B75558" w:rsidTr="00E17616">
        <w:tc>
          <w:tcPr>
            <w:tcW w:w="2500" w:type="pct"/>
          </w:tcPr>
          <w:p w:rsidR="007D1C9B" w:rsidRPr="00776DD2" w:rsidRDefault="007D1C9B" w:rsidP="00B75558">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sz w:val="24"/>
              </w:rPr>
              <w:t>1° koniowatych;</w:t>
            </w:r>
          </w:p>
          <w:p w:rsidR="007D1C9B" w:rsidRPr="007A328A" w:rsidRDefault="007D1C9B" w:rsidP="007D1C9B">
            <w:pPr>
              <w:jc w:val="both"/>
              <w:rPr>
                <w:sz w:val="24"/>
                <w:szCs w:val="24"/>
              </w:rPr>
            </w:pPr>
            <w:r>
              <w:rPr>
                <w:rFonts w:ascii="Times New Roman" w:hAnsi="Times New Roman"/>
                <w:sz w:val="24"/>
              </w:rPr>
              <w:t>2° leków zawierających antybiotyki o krytycznym znaczeniu i zarejestrowanych wyłącznie do podania dowymieniowego.”.</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A43346" w:rsidRPr="00B75558" w:rsidTr="00E17616">
        <w:tc>
          <w:tcPr>
            <w:tcW w:w="2500" w:type="pct"/>
          </w:tcPr>
          <w:p w:rsidR="00A43346" w:rsidRPr="007A328A" w:rsidRDefault="00A43346">
            <w:pPr>
              <w:rPr>
                <w:sz w:val="24"/>
                <w:szCs w:val="24"/>
              </w:rPr>
            </w:pPr>
          </w:p>
        </w:tc>
        <w:tc>
          <w:tcPr>
            <w:tcW w:w="2500" w:type="pct"/>
          </w:tcPr>
          <w:p w:rsidR="00A43346" w:rsidRPr="007A328A" w:rsidRDefault="00A43346">
            <w:pPr>
              <w:rPr>
                <w:sz w:val="24"/>
                <w:szCs w:val="24"/>
              </w:rPr>
            </w:pPr>
          </w:p>
        </w:tc>
      </w:tr>
      <w:tr w:rsidR="00A8079B" w:rsidRPr="00B75558" w:rsidTr="00E17616">
        <w:tc>
          <w:tcPr>
            <w:tcW w:w="2500" w:type="pct"/>
          </w:tcPr>
          <w:p w:rsidR="00A8079B" w:rsidRPr="007A328A" w:rsidRDefault="00A8079B" w:rsidP="007A328A">
            <w:pPr>
              <w:jc w:val="both"/>
              <w:rPr>
                <w:rFonts w:ascii="Times New Roman" w:hAnsi="Times New Roman" w:cs="Times New Roman"/>
                <w:sz w:val="24"/>
                <w:szCs w:val="24"/>
              </w:rPr>
            </w:pPr>
          </w:p>
        </w:tc>
        <w:tc>
          <w:tcPr>
            <w:tcW w:w="2500" w:type="pct"/>
          </w:tcPr>
          <w:p w:rsidR="00A8079B" w:rsidRPr="007A328A" w:rsidRDefault="000A16EF" w:rsidP="007A328A">
            <w:pPr>
              <w:jc w:val="both"/>
              <w:rPr>
                <w:sz w:val="24"/>
                <w:szCs w:val="24"/>
              </w:rPr>
            </w:pPr>
            <w:r>
              <w:rPr>
                <w:rFonts w:ascii="Times New Roman" w:hAnsi="Times New Roman"/>
                <w:b/>
                <w:sz w:val="24"/>
              </w:rPr>
              <w:t>Artykuł 2.</w:t>
            </w:r>
            <w:r>
              <w:rPr>
                <w:rFonts w:ascii="Times New Roman" w:hAnsi="Times New Roman"/>
                <w:sz w:val="24"/>
              </w:rPr>
              <w:t xml:space="preserve"> Artykuł 66 tego samego dekretu królewskiego, uchylony wyrokiem Rady Stanu nr 244.629 z dnia 28 maja 2019 r., zostaje przywrócony w następującym brzmieniu:</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5D6452">
            <w:pPr>
              <w:jc w:val="both"/>
              <w:rPr>
                <w:sz w:val="24"/>
                <w:szCs w:val="24"/>
              </w:rPr>
            </w:pPr>
          </w:p>
        </w:tc>
        <w:tc>
          <w:tcPr>
            <w:tcW w:w="2500" w:type="pct"/>
          </w:tcPr>
          <w:p w:rsidR="007D1C9B" w:rsidRPr="007A328A" w:rsidRDefault="000A16EF" w:rsidP="000A16EF">
            <w:pPr>
              <w:jc w:val="both"/>
              <w:rPr>
                <w:sz w:val="24"/>
                <w:szCs w:val="24"/>
              </w:rPr>
            </w:pPr>
            <w:r>
              <w:rPr>
                <w:rFonts w:ascii="Times New Roman" w:hAnsi="Times New Roman"/>
                <w:sz w:val="24"/>
              </w:rPr>
              <w:t>„Artykuł 66. Lekarzowi weterynarii zabrania się przepisywania, dostarczania lub podawania antybiotyków o krytycznym znaczeniu w leczeniu zwierząt przeznaczonych do produkcji żywności, chyba że spełniono wymagania wymienione w art. 67 lub 69.”.</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A43346" w:rsidRPr="00B75558" w:rsidTr="00E17616">
        <w:tc>
          <w:tcPr>
            <w:tcW w:w="2500" w:type="pct"/>
          </w:tcPr>
          <w:p w:rsidR="00A43346" w:rsidRPr="007A328A" w:rsidRDefault="00A43346">
            <w:pPr>
              <w:rPr>
                <w:sz w:val="24"/>
                <w:szCs w:val="24"/>
              </w:rPr>
            </w:pPr>
          </w:p>
        </w:tc>
        <w:tc>
          <w:tcPr>
            <w:tcW w:w="2500" w:type="pct"/>
          </w:tcPr>
          <w:p w:rsidR="00A43346" w:rsidRPr="007A328A" w:rsidRDefault="00A43346">
            <w:pPr>
              <w:rPr>
                <w:sz w:val="24"/>
                <w:szCs w:val="24"/>
              </w:rPr>
            </w:pPr>
          </w:p>
        </w:tc>
      </w:tr>
      <w:tr w:rsidR="007D1C9B" w:rsidRPr="00B75558" w:rsidTr="00E17616">
        <w:tc>
          <w:tcPr>
            <w:tcW w:w="2500" w:type="pct"/>
          </w:tcPr>
          <w:p w:rsidR="007D1C9B" w:rsidRPr="007A328A" w:rsidRDefault="007D1C9B" w:rsidP="007A328A">
            <w:pPr>
              <w:jc w:val="both"/>
              <w:rPr>
                <w:sz w:val="24"/>
                <w:szCs w:val="24"/>
              </w:rPr>
            </w:pPr>
          </w:p>
        </w:tc>
        <w:tc>
          <w:tcPr>
            <w:tcW w:w="2500" w:type="pct"/>
          </w:tcPr>
          <w:p w:rsidR="007D1C9B" w:rsidRPr="007A328A" w:rsidRDefault="000A16EF" w:rsidP="007A328A">
            <w:pPr>
              <w:jc w:val="both"/>
              <w:rPr>
                <w:sz w:val="24"/>
                <w:szCs w:val="24"/>
              </w:rPr>
            </w:pPr>
            <w:r>
              <w:rPr>
                <w:rFonts w:ascii="Times New Roman" w:hAnsi="Times New Roman"/>
                <w:b/>
                <w:sz w:val="24"/>
              </w:rPr>
              <w:t>Artykuł 3.</w:t>
            </w:r>
            <w:r>
              <w:rPr>
                <w:rFonts w:ascii="Times New Roman" w:hAnsi="Times New Roman"/>
                <w:sz w:val="24"/>
              </w:rPr>
              <w:t xml:space="preserve"> Art. 67 tego samego dekretu królewskiego, uchylony wyrokiem Rady Stanu nr 244.629 z dnia 28 maja 2019 r., zostaje przywrócony w następującym brzmieniu:</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0A16EF" w:rsidP="007D1C9B">
            <w:pPr>
              <w:jc w:val="both"/>
              <w:rPr>
                <w:sz w:val="24"/>
                <w:szCs w:val="24"/>
              </w:rPr>
            </w:pPr>
            <w:r>
              <w:rPr>
                <w:rFonts w:ascii="Times New Roman" w:hAnsi="Times New Roman"/>
                <w:sz w:val="24"/>
              </w:rPr>
              <w:t>„Artykuł 67. § 1. Przepisywanie, dostarczanie i podawanie antybiotyków o krytycznym znaczeniu w celu wdrożenia leczenia metafilaktycznego lub leczniczego u zwierząt przeznaczonych do produkcji żywności jest dopuszczalne, jeżeli zostaną spełnione warunki wymienione w § 2 oraz jeżeli można stwierdzić, że zidentyfikowany szczep bakterii nie jest wrażliwy na przetestowane antybiotyki nieposiadające krytycznego znaczenia lub inne przetestowane środki przeciwbakteryjne i jest wrażliwy wyłącznie na przetestowane antybiotyki o krytycznym znaczeniu. Wówczas można stosować wyłącznie antybiotyki wymienione jako ostatnie, co do których wrażliwość została skutecznie wykazana w teście.</w:t>
            </w: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7D1C9B" w:rsidP="007D1C9B">
            <w:pPr>
              <w:jc w:val="both"/>
              <w:rPr>
                <w:sz w:val="24"/>
                <w:szCs w:val="24"/>
              </w:rPr>
            </w:pPr>
            <w:r>
              <w:rPr>
                <w:rFonts w:ascii="Times New Roman" w:hAnsi="Times New Roman"/>
                <w:sz w:val="24"/>
              </w:rPr>
              <w:t>Na potrzeby niniejszego artykułu test wrażliwości na antybiotyk należy przeprowadzić w laboratorium akredytowanym w BELAC (belgijski organ akredytujący) lub równoważnym.</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B75558" w:rsidRDefault="007D1C9B" w:rsidP="005D6452">
            <w:pPr>
              <w:jc w:val="both"/>
              <w:rPr>
                <w:sz w:val="24"/>
                <w:szCs w:val="24"/>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bCs/>
                <w:strike/>
                <w:sz w:val="24"/>
                <w:szCs w:val="24"/>
              </w:rPr>
            </w:pPr>
            <w:r>
              <w:rPr>
                <w:rFonts w:ascii="Times New Roman" w:hAnsi="Times New Roman"/>
                <w:sz w:val="24"/>
              </w:rPr>
              <w:t>§ 2. Celem wdrożenia leczenia, o którym mowa w § 1, muszą zostać spełnione wszystkie poniższe warunki:</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4E466E">
            <w:pPr>
              <w:jc w:val="both"/>
              <w:rPr>
                <w:sz w:val="24"/>
                <w:szCs w:val="24"/>
              </w:rPr>
            </w:pPr>
            <w:r>
              <w:rPr>
                <w:rFonts w:ascii="Times New Roman" w:hAnsi="Times New Roman"/>
                <w:sz w:val="24"/>
              </w:rPr>
              <w:t>1° schorzenie jest chorobą bakteryjną;</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7D1C9B">
            <w:pPr>
              <w:rPr>
                <w:rFonts w:ascii="Times New Roman" w:eastAsia="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832A42">
            <w:pPr>
              <w:jc w:val="both"/>
              <w:rPr>
                <w:sz w:val="24"/>
                <w:szCs w:val="24"/>
              </w:rPr>
            </w:pPr>
            <w:r>
              <w:rPr>
                <w:rFonts w:ascii="Times New Roman" w:hAnsi="Times New Roman"/>
                <w:sz w:val="24"/>
              </w:rPr>
              <w:t>2° lekarz weterynarii przeprowadził uprzednio w gospodarstwie badanie fizykalne zwierząt, które mają być poddane leczeniu;</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832A42">
            <w:pPr>
              <w:jc w:val="both"/>
              <w:rPr>
                <w:rFonts w:ascii="Times New Roman" w:eastAsia="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832A42">
            <w:pPr>
              <w:jc w:val="both"/>
              <w:rPr>
                <w:sz w:val="24"/>
                <w:szCs w:val="24"/>
              </w:rPr>
            </w:pPr>
            <w:r>
              <w:rPr>
                <w:rFonts w:ascii="Times New Roman" w:hAnsi="Times New Roman"/>
                <w:sz w:val="24"/>
              </w:rPr>
              <w:t>3° podczas wizyty, o której mowa w pkt 2°, lekarz weterynarii samodzielnie pobrał stosowne próbki od zwierzęcia lub zawnioskował o autopsję;</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832A42">
            <w:pPr>
              <w:jc w:val="both"/>
              <w:rPr>
                <w:rFonts w:ascii="Times New Roman" w:eastAsia="Times New Roman" w:hAnsi="Times New Roman" w:cs="Times New Roman"/>
                <w:sz w:val="24"/>
                <w:szCs w:val="24"/>
              </w:rPr>
            </w:pPr>
          </w:p>
        </w:tc>
      </w:tr>
      <w:tr w:rsidR="00832A42" w:rsidRPr="00B75558" w:rsidTr="00E17616">
        <w:tc>
          <w:tcPr>
            <w:tcW w:w="2500" w:type="pct"/>
          </w:tcPr>
          <w:p w:rsidR="00832A42" w:rsidRPr="00B75558" w:rsidRDefault="00832A42" w:rsidP="005D6452">
            <w:pPr>
              <w:jc w:val="both"/>
              <w:rPr>
                <w:sz w:val="24"/>
                <w:szCs w:val="24"/>
              </w:rPr>
            </w:pPr>
          </w:p>
        </w:tc>
        <w:tc>
          <w:tcPr>
            <w:tcW w:w="2500" w:type="pct"/>
          </w:tcPr>
          <w:p w:rsidR="00832A42" w:rsidRPr="007A328A" w:rsidRDefault="00832A42" w:rsidP="005D6452">
            <w:pPr>
              <w:jc w:val="both"/>
              <w:rPr>
                <w:sz w:val="24"/>
                <w:szCs w:val="24"/>
              </w:rPr>
            </w:pPr>
            <w:r>
              <w:rPr>
                <w:rFonts w:ascii="Times New Roman" w:hAnsi="Times New Roman"/>
                <w:sz w:val="24"/>
              </w:rPr>
              <w:t xml:space="preserve">4° z pobranych próbek lub na podstawie autopsji zostaje przeprowadzone badanie w </w:t>
            </w:r>
            <w:r>
              <w:rPr>
                <w:rFonts w:ascii="Times New Roman" w:hAnsi="Times New Roman"/>
                <w:sz w:val="24"/>
              </w:rPr>
              <w:lastRenderedPageBreak/>
              <w:t>celu identyfikacji szczepu bakteryjnego, który prawdopodobnie spowodował infekcję;</w:t>
            </w:r>
          </w:p>
        </w:tc>
      </w:tr>
      <w:tr w:rsidR="004E466E" w:rsidRPr="00B75558" w:rsidTr="00E17616">
        <w:tc>
          <w:tcPr>
            <w:tcW w:w="2500" w:type="pct"/>
          </w:tcPr>
          <w:p w:rsidR="004E466E" w:rsidRPr="000D4FF6" w:rsidRDefault="004E466E" w:rsidP="005D6452">
            <w:pPr>
              <w:jc w:val="both"/>
              <w:rPr>
                <w:rFonts w:ascii="Times New Roman" w:eastAsia="Times New Roman" w:hAnsi="Times New Roman" w:cs="Times New Roman"/>
                <w:sz w:val="24"/>
                <w:szCs w:val="24"/>
              </w:rPr>
            </w:pPr>
          </w:p>
        </w:tc>
        <w:tc>
          <w:tcPr>
            <w:tcW w:w="2500" w:type="pct"/>
          </w:tcPr>
          <w:p w:rsidR="004E466E" w:rsidRPr="007A328A" w:rsidRDefault="004E466E" w:rsidP="005D6452">
            <w:pPr>
              <w:jc w:val="both"/>
              <w:rPr>
                <w:rFonts w:ascii="Times New Roman" w:eastAsia="Times New Roman" w:hAnsi="Times New Roman" w:cs="Times New Roman"/>
                <w:sz w:val="24"/>
                <w:szCs w:val="24"/>
              </w:rPr>
            </w:pPr>
          </w:p>
        </w:tc>
      </w:tr>
      <w:tr w:rsidR="00832A42" w:rsidRPr="00B75558" w:rsidTr="00E17616">
        <w:tc>
          <w:tcPr>
            <w:tcW w:w="2500" w:type="pct"/>
          </w:tcPr>
          <w:p w:rsidR="00832A42" w:rsidRPr="00B75558" w:rsidRDefault="00832A42" w:rsidP="005D6452">
            <w:pPr>
              <w:jc w:val="both"/>
              <w:rPr>
                <w:sz w:val="24"/>
                <w:szCs w:val="24"/>
              </w:rPr>
            </w:pPr>
          </w:p>
        </w:tc>
        <w:tc>
          <w:tcPr>
            <w:tcW w:w="2500" w:type="pct"/>
          </w:tcPr>
          <w:p w:rsidR="00832A42" w:rsidRPr="007A328A" w:rsidRDefault="00832A42" w:rsidP="005D6452">
            <w:pPr>
              <w:jc w:val="both"/>
              <w:rPr>
                <w:sz w:val="24"/>
                <w:szCs w:val="24"/>
              </w:rPr>
            </w:pPr>
            <w:r>
              <w:rPr>
                <w:rFonts w:ascii="Times New Roman" w:hAnsi="Times New Roman"/>
                <w:sz w:val="24"/>
              </w:rPr>
              <w:t>5° na zidentyfikowanym szczepie bakteryjnym stanowiącym prawdopodobną przyczynę infekcji zostaje przeprowadzony laboratoryjny test wrażliwości na antybiotyki. Taki test wrażliwości na antybiotyki powinien porównywać wrażliwość zidentyfikowanego szczepu bakteryjnego na antybiotyki o krytycznym znaczeniu z wrażliwością na co najmniej siedem innych antybiotyków niekrytycznych, które należą do co najmniej pięciu różnych klas antybiotyków.</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rPr>
                <w:sz w:val="24"/>
                <w:szCs w:val="24"/>
              </w:rPr>
            </w:pPr>
          </w:p>
        </w:tc>
      </w:tr>
      <w:tr w:rsidR="00832A42" w:rsidRPr="00B75558" w:rsidTr="00E17616">
        <w:tc>
          <w:tcPr>
            <w:tcW w:w="2500" w:type="pct"/>
          </w:tcPr>
          <w:p w:rsidR="00832A42" w:rsidRPr="007A328A" w:rsidRDefault="00832A42" w:rsidP="00832A42">
            <w:pPr>
              <w:jc w:val="both"/>
              <w:rPr>
                <w:sz w:val="24"/>
                <w:szCs w:val="24"/>
              </w:rPr>
            </w:pPr>
          </w:p>
        </w:tc>
        <w:tc>
          <w:tcPr>
            <w:tcW w:w="2500" w:type="pct"/>
          </w:tcPr>
          <w:p w:rsidR="00832A42" w:rsidRPr="007A328A" w:rsidRDefault="00832A42" w:rsidP="00832A42">
            <w:pPr>
              <w:jc w:val="both"/>
              <w:rPr>
                <w:sz w:val="24"/>
                <w:szCs w:val="24"/>
              </w:rPr>
            </w:pPr>
            <w:r>
              <w:rPr>
                <w:rFonts w:ascii="Times New Roman" w:hAnsi="Times New Roman"/>
                <w:sz w:val="24"/>
              </w:rPr>
              <w:t>Jeżeli w badaniu, o którym mowa w pkt 4°, nie zostanie uzyskana czysta kultura szczepu bakteryjnego, który prawdopodobnie spowodował infekcję, lub jeżeli dla zidentyfikowanego szczepu bakteryjnego nie jest dostępny test wrażliwości na antybiotyki, o którym mowa w pkt 5°, bądź jeżeli nie jest możliwe pobranie próbek stwierdzonych zmian patologicznych, lekarz weterynarii powinien uzasadnić wybór antybiotyku o krytycznym znaczeniu w oparciu o porównywalne aktualne dane naukowe dotyczące antybiotykooporności szczepu bakteryjnego, który prawdopodobnie spowodował infekcję, wskazujące, że skuteczne są wyłącznie antybiotyki o krytycznym znaczeniu. Uzasadnienie to jest w każdym przypadku dołączane w pisemnym sprawozdaniu do negatywnego wyniku z laboratorium.</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rPr>
                <w:sz w:val="24"/>
                <w:szCs w:val="24"/>
              </w:rPr>
            </w:pPr>
          </w:p>
        </w:tc>
      </w:tr>
      <w:tr w:rsidR="007D1C9B" w:rsidRPr="00B75558" w:rsidTr="00E17616">
        <w:tc>
          <w:tcPr>
            <w:tcW w:w="2500" w:type="pct"/>
          </w:tcPr>
          <w:p w:rsidR="007D1C9B" w:rsidRPr="007A328A" w:rsidRDefault="007D1C9B" w:rsidP="005D6452">
            <w:pPr>
              <w:jc w:val="both"/>
              <w:rPr>
                <w:sz w:val="24"/>
                <w:szCs w:val="24"/>
              </w:rPr>
            </w:pPr>
          </w:p>
        </w:tc>
        <w:tc>
          <w:tcPr>
            <w:tcW w:w="2500" w:type="pct"/>
          </w:tcPr>
          <w:p w:rsidR="007D1C9B" w:rsidRPr="007A328A" w:rsidRDefault="007D1C9B" w:rsidP="007D1C9B">
            <w:pPr>
              <w:jc w:val="both"/>
              <w:rPr>
                <w:sz w:val="24"/>
                <w:szCs w:val="24"/>
              </w:rPr>
            </w:pPr>
            <w:r>
              <w:rPr>
                <w:rFonts w:ascii="Times New Roman" w:hAnsi="Times New Roman"/>
                <w:sz w:val="24"/>
              </w:rPr>
              <w:t xml:space="preserve">§ 3. Lekarz weterynarii nie może przeprowadzać badań, o których mowa w </w:t>
            </w:r>
            <w:r w:rsidR="007A545B">
              <w:rPr>
                <w:rFonts w:ascii="Times New Roman" w:hAnsi="Times New Roman"/>
                <w:sz w:val="24"/>
              </w:rPr>
              <w:t xml:space="preserve">§ 2 pkt </w:t>
            </w:r>
            <w:bookmarkStart w:id="0" w:name="_GoBack"/>
            <w:bookmarkEnd w:id="0"/>
            <w:r>
              <w:rPr>
                <w:rFonts w:ascii="Times New Roman" w:hAnsi="Times New Roman"/>
                <w:sz w:val="24"/>
              </w:rPr>
              <w:t xml:space="preserve">3° i 4°, jeśli dysponuje wynikami podobnych wcześniejszych badań na tym samym zwierzęciu lub tej samej grupie bądź partii zwierząt dotyczących tych samych zmian patologicznych oraz jeżeli badania te nie zostały wykonane wcześniej niż przed upływem sześciu miesięcy w przypadku kategorii drobiu, trzody chlewnej i cieląt rzeźnych, o której mowa w art. 15 § 1 akapit drugi pkt 6°, i dwunastu miesięcy w przypadku pozostałego bydła i drobiu, </w:t>
            </w:r>
            <w:r>
              <w:rPr>
                <w:rFonts w:ascii="Times New Roman" w:hAnsi="Times New Roman"/>
                <w:sz w:val="24"/>
              </w:rPr>
              <w:lastRenderedPageBreak/>
              <w:t>małych przeżuwaczy, królików i akwakultury.</w:t>
            </w:r>
          </w:p>
        </w:tc>
      </w:tr>
      <w:tr w:rsidR="007D1C9B" w:rsidRPr="00B75558" w:rsidTr="00E17616">
        <w:tc>
          <w:tcPr>
            <w:tcW w:w="2500" w:type="pct"/>
          </w:tcPr>
          <w:p w:rsidR="007D1C9B" w:rsidRPr="007A328A" w:rsidRDefault="007D1C9B" w:rsidP="007D1C9B">
            <w:pPr>
              <w:rPr>
                <w:sz w:val="24"/>
                <w:szCs w:val="24"/>
              </w:rPr>
            </w:pPr>
          </w:p>
        </w:tc>
        <w:tc>
          <w:tcPr>
            <w:tcW w:w="2500" w:type="pct"/>
          </w:tcPr>
          <w:p w:rsidR="007D1C9B" w:rsidRPr="007A328A" w:rsidRDefault="007D1C9B" w:rsidP="007D1C9B">
            <w:pPr>
              <w:rPr>
                <w:sz w:val="24"/>
                <w:szCs w:val="24"/>
              </w:rPr>
            </w:pPr>
          </w:p>
        </w:tc>
      </w:tr>
      <w:tr w:rsidR="007D1C9B" w:rsidRPr="00B75558" w:rsidTr="00E17616">
        <w:tc>
          <w:tcPr>
            <w:tcW w:w="2500" w:type="pct"/>
          </w:tcPr>
          <w:p w:rsidR="007D1C9B" w:rsidRPr="00B75558" w:rsidRDefault="007D1C9B" w:rsidP="005D6452">
            <w:pPr>
              <w:jc w:val="both"/>
              <w:rPr>
                <w:sz w:val="24"/>
                <w:szCs w:val="24"/>
              </w:rPr>
            </w:pPr>
          </w:p>
        </w:tc>
        <w:tc>
          <w:tcPr>
            <w:tcW w:w="2500" w:type="pct"/>
          </w:tcPr>
          <w:p w:rsidR="007D1C9B" w:rsidRPr="007A328A" w:rsidRDefault="005243E8" w:rsidP="005243E8">
            <w:pPr>
              <w:jc w:val="both"/>
              <w:rPr>
                <w:sz w:val="24"/>
                <w:szCs w:val="24"/>
              </w:rPr>
            </w:pPr>
            <w:r>
              <w:rPr>
                <w:rFonts w:ascii="Times New Roman" w:hAnsi="Times New Roman"/>
                <w:sz w:val="24"/>
              </w:rPr>
              <w:t>§ 4. Lekarz weterynarii, który przepisuje, dostarcza i podaje antybiotyki o krytycznym znaczeniu, powinien przechowywać wszystkie wyniki badań, o których mowa w tym artykule, przez okres co najmniej pięciu lat i móc przedstawić je do kontroli. Przez ten sam okres przechowuje on również każdy inny wynik analizy i uzasadnienie dla wdrożonego leczenia.”.</w:t>
            </w:r>
          </w:p>
        </w:tc>
      </w:tr>
      <w:tr w:rsidR="007D1C9B" w:rsidRPr="00B75558" w:rsidTr="00E17616">
        <w:tc>
          <w:tcPr>
            <w:tcW w:w="2500" w:type="pct"/>
          </w:tcPr>
          <w:p w:rsidR="007D1C9B" w:rsidRPr="007A328A" w:rsidRDefault="007D1C9B" w:rsidP="007D1C9B">
            <w:pPr>
              <w:rPr>
                <w:sz w:val="24"/>
                <w:szCs w:val="24"/>
              </w:rPr>
            </w:pPr>
          </w:p>
        </w:tc>
        <w:tc>
          <w:tcPr>
            <w:tcW w:w="2500" w:type="pct"/>
          </w:tcPr>
          <w:p w:rsidR="007D1C9B" w:rsidRPr="007A328A" w:rsidRDefault="007D1C9B" w:rsidP="007D1C9B">
            <w:pPr>
              <w:rPr>
                <w:sz w:val="24"/>
                <w:szCs w:val="24"/>
              </w:rPr>
            </w:pPr>
          </w:p>
        </w:tc>
      </w:tr>
      <w:tr w:rsidR="00A43346" w:rsidRPr="00B75558" w:rsidTr="00E17616">
        <w:tc>
          <w:tcPr>
            <w:tcW w:w="2500" w:type="pct"/>
          </w:tcPr>
          <w:p w:rsidR="00A43346" w:rsidRPr="007A328A" w:rsidRDefault="00A43346" w:rsidP="007D1C9B">
            <w:pPr>
              <w:rPr>
                <w:sz w:val="24"/>
                <w:szCs w:val="24"/>
              </w:rPr>
            </w:pPr>
          </w:p>
        </w:tc>
        <w:tc>
          <w:tcPr>
            <w:tcW w:w="2500" w:type="pct"/>
          </w:tcPr>
          <w:p w:rsidR="00A43346" w:rsidRPr="007A328A" w:rsidRDefault="00A43346" w:rsidP="007D1C9B">
            <w:pPr>
              <w:rPr>
                <w:sz w:val="24"/>
                <w:szCs w:val="24"/>
              </w:rPr>
            </w:pPr>
          </w:p>
        </w:tc>
      </w:tr>
      <w:tr w:rsidR="007D1C9B" w:rsidRPr="00B75558" w:rsidTr="00E17616">
        <w:tc>
          <w:tcPr>
            <w:tcW w:w="2500" w:type="pct"/>
          </w:tcPr>
          <w:p w:rsidR="007D1C9B" w:rsidRPr="007A328A" w:rsidRDefault="007D1C9B" w:rsidP="00640AB7">
            <w:pPr>
              <w:jc w:val="both"/>
              <w:rPr>
                <w:sz w:val="24"/>
                <w:szCs w:val="24"/>
              </w:rPr>
            </w:pPr>
          </w:p>
        </w:tc>
        <w:tc>
          <w:tcPr>
            <w:tcW w:w="2500" w:type="pct"/>
          </w:tcPr>
          <w:p w:rsidR="007D1C9B" w:rsidRPr="007A328A" w:rsidRDefault="006D0FC0" w:rsidP="00640AB7">
            <w:pPr>
              <w:jc w:val="both"/>
              <w:rPr>
                <w:sz w:val="24"/>
                <w:szCs w:val="24"/>
              </w:rPr>
            </w:pPr>
            <w:r>
              <w:rPr>
                <w:rFonts w:ascii="Times New Roman" w:hAnsi="Times New Roman"/>
                <w:b/>
                <w:sz w:val="24"/>
              </w:rPr>
              <w:t>Artykuł 4.</w:t>
            </w:r>
            <w:r>
              <w:rPr>
                <w:rFonts w:ascii="Times New Roman" w:hAnsi="Times New Roman"/>
                <w:sz w:val="24"/>
              </w:rPr>
              <w:t xml:space="preserve"> Artykuł 68 tego samego dekretu królewskiego, uchylony wyrokiem Rady Stanu nr 244.629 z dnia 28 maja 2019 r., zostaje przywrócony w następującym brzmieniu:</w:t>
            </w:r>
          </w:p>
        </w:tc>
      </w:tr>
      <w:tr w:rsidR="005243E8" w:rsidRPr="00B75558" w:rsidTr="00E17616">
        <w:tc>
          <w:tcPr>
            <w:tcW w:w="2500" w:type="pct"/>
          </w:tcPr>
          <w:p w:rsidR="005243E8" w:rsidRPr="007A328A" w:rsidRDefault="005243E8" w:rsidP="007D1C9B">
            <w:pPr>
              <w:rPr>
                <w:sz w:val="24"/>
                <w:szCs w:val="24"/>
              </w:rPr>
            </w:pPr>
          </w:p>
        </w:tc>
        <w:tc>
          <w:tcPr>
            <w:tcW w:w="2500" w:type="pct"/>
          </w:tcPr>
          <w:p w:rsidR="005243E8" w:rsidRPr="007A328A" w:rsidRDefault="005243E8" w:rsidP="007D1C9B">
            <w:pPr>
              <w:rPr>
                <w:sz w:val="24"/>
                <w:szCs w:val="24"/>
              </w:rPr>
            </w:pP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6D0FC0" w:rsidP="005243E8">
            <w:pPr>
              <w:autoSpaceDE w:val="0"/>
              <w:autoSpaceDN w:val="0"/>
              <w:adjustRightInd w:val="0"/>
              <w:jc w:val="both"/>
              <w:rPr>
                <w:rFonts w:ascii="Times New Roman" w:hAnsi="Times New Roman" w:cs="Times New Roman"/>
                <w:sz w:val="24"/>
                <w:szCs w:val="24"/>
              </w:rPr>
            </w:pPr>
            <w:r>
              <w:rPr>
                <w:rFonts w:ascii="Times New Roman" w:hAnsi="Times New Roman"/>
                <w:sz w:val="24"/>
              </w:rPr>
              <w:t>„Artykuł 68. Lekarz weterynarii, który zgodnie z niniejszym rozdziałem przepisuje i dostarcza antybiotyki o krytycznym znaczeniu, powinien przekazać osobie odpowiedzialnej kopię wyniku badania laboratoryjnego, w stosownych przypadkach wraz z uzasadnieniem, jak określono w art. 67 § 2 akapit drugi. Unikalne odniesienie do sprawozdania zawierające wynik badania laboratoryjnego powinno zostać wpisane do dokumentu podania i dostarczenia zawierającego unikalny numer, o którym mowa w art. 32 § 2, lub do przepisu, o którym mowa w art. 37, celem zagwarantowania powiązania między tym wynikiem a przepisaniem lub dostarczeniem antybiotyku o krytycznym znaczeniu.”.</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6D0FC0" w:rsidRPr="00B75558" w:rsidTr="00E17616">
        <w:tc>
          <w:tcPr>
            <w:tcW w:w="2500" w:type="pct"/>
          </w:tcPr>
          <w:p w:rsidR="006D0FC0" w:rsidRPr="00B75558" w:rsidRDefault="006D0FC0" w:rsidP="00640AB7">
            <w:pPr>
              <w:jc w:val="both"/>
              <w:rPr>
                <w:rFonts w:ascii="Times New Roman" w:hAnsi="Times New Roman" w:cs="Times New Roman"/>
                <w:sz w:val="24"/>
                <w:szCs w:val="24"/>
              </w:rPr>
            </w:pPr>
          </w:p>
        </w:tc>
        <w:tc>
          <w:tcPr>
            <w:tcW w:w="2500" w:type="pct"/>
          </w:tcPr>
          <w:p w:rsidR="006D0FC0" w:rsidRPr="007A328A" w:rsidRDefault="006D0FC0" w:rsidP="00640AB7">
            <w:pPr>
              <w:autoSpaceDE w:val="0"/>
              <w:autoSpaceDN w:val="0"/>
              <w:adjustRightInd w:val="0"/>
              <w:jc w:val="both"/>
              <w:rPr>
                <w:rFonts w:ascii="Times New Roman" w:hAnsi="Times New Roman" w:cs="Times New Roman"/>
                <w:b/>
                <w:sz w:val="24"/>
                <w:szCs w:val="24"/>
              </w:rPr>
            </w:pPr>
            <w:r>
              <w:rPr>
                <w:rFonts w:ascii="Times New Roman" w:hAnsi="Times New Roman"/>
                <w:b/>
                <w:sz w:val="24"/>
              </w:rPr>
              <w:t>Artykuł 5.</w:t>
            </w:r>
            <w:r>
              <w:rPr>
                <w:rFonts w:ascii="Times New Roman" w:hAnsi="Times New Roman"/>
                <w:sz w:val="24"/>
              </w:rPr>
              <w:t xml:space="preserve"> Artykuł 69 tego samego dekretu królewskiego, uchylony wyrokiem Rady Stanu nr 244.629 z dnia 28 maja 2019 r., zostaje przywrócony w następującym brzmieniu:</w:t>
            </w:r>
          </w:p>
        </w:tc>
      </w:tr>
      <w:tr w:rsidR="006D0FC0" w:rsidRPr="00B75558" w:rsidTr="00E17616">
        <w:tc>
          <w:tcPr>
            <w:tcW w:w="2500" w:type="pct"/>
          </w:tcPr>
          <w:p w:rsidR="006D0FC0" w:rsidRPr="007A328A" w:rsidRDefault="006D0FC0" w:rsidP="005243E8">
            <w:pPr>
              <w:rPr>
                <w:sz w:val="24"/>
                <w:szCs w:val="24"/>
              </w:rPr>
            </w:pPr>
          </w:p>
        </w:tc>
        <w:tc>
          <w:tcPr>
            <w:tcW w:w="2500" w:type="pct"/>
          </w:tcPr>
          <w:p w:rsidR="006D0FC0" w:rsidRPr="000520B5" w:rsidRDefault="006D0FC0" w:rsidP="005243E8">
            <w:pPr>
              <w:autoSpaceDE w:val="0"/>
              <w:autoSpaceDN w:val="0"/>
              <w:adjustRightInd w:val="0"/>
              <w:jc w:val="both"/>
              <w:rPr>
                <w:rFonts w:ascii="Times New Roman" w:hAnsi="Times New Roman" w:cs="Times New Roman"/>
                <w:sz w:val="24"/>
                <w:szCs w:val="24"/>
              </w:rPr>
            </w:pPr>
          </w:p>
        </w:tc>
      </w:tr>
      <w:tr w:rsidR="005243E8" w:rsidRPr="00B75558" w:rsidTr="00E17616">
        <w:tc>
          <w:tcPr>
            <w:tcW w:w="2500" w:type="pct"/>
          </w:tcPr>
          <w:p w:rsidR="005243E8" w:rsidRPr="00B75558" w:rsidRDefault="005243E8" w:rsidP="00B75558">
            <w:pPr>
              <w:jc w:val="both"/>
              <w:rPr>
                <w:sz w:val="24"/>
                <w:szCs w:val="24"/>
              </w:rPr>
            </w:pPr>
          </w:p>
        </w:tc>
        <w:tc>
          <w:tcPr>
            <w:tcW w:w="2500" w:type="pct"/>
          </w:tcPr>
          <w:p w:rsidR="005243E8" w:rsidRPr="000520B5" w:rsidRDefault="006D0FC0" w:rsidP="00F60C7F">
            <w:pPr>
              <w:autoSpaceDE w:val="0"/>
              <w:autoSpaceDN w:val="0"/>
              <w:adjustRightInd w:val="0"/>
              <w:jc w:val="both"/>
              <w:rPr>
                <w:rFonts w:ascii="Times New Roman" w:hAnsi="Times New Roman" w:cs="Times New Roman"/>
                <w:sz w:val="24"/>
                <w:szCs w:val="24"/>
              </w:rPr>
            </w:pPr>
            <w:r>
              <w:rPr>
                <w:rFonts w:ascii="Times New Roman" w:hAnsi="Times New Roman"/>
                <w:sz w:val="24"/>
              </w:rPr>
              <w:t xml:space="preserve">„Artykuł 69. W wyjątkowych przypadkach podyktowanych pilną potrzebą lekarz weterynarii może po badaniu fizykalnym na własną odpowiedzialność podać zwierzęciu antybiotyk o krytycznym znaczeniu, jeżeli </w:t>
            </w:r>
            <w:r>
              <w:rPr>
                <w:rFonts w:ascii="Times New Roman" w:hAnsi="Times New Roman"/>
                <w:sz w:val="24"/>
              </w:rPr>
              <w:lastRenderedPageBreak/>
              <w:t>ma powody, by założyć, że antybiotyk o krytycznym znaczeniu jest jedynym środkiem leczniczym zdolnym do ratowania życia zwierzęcia lub zapobiegnięcia nieodwracalnym szkodom. Przepisy art. 67 § 2 akapit pierwszy pkt 3°–5° i akapit drugi stosuje się bez ograniczeń. Niezwłocznie po poznaniu wyników badań laboratoryjnych i testu wrażliwości na antybiotyki lekarz weterynarii dostosowuje leczenie do przepisów art. 67. W oczekiwaniu na ten wynik leczenie może być prowadzone wyłącznie przez lekarza weterynarii i wyłącznie u wspomnianego wyżej zwierzęcia.”.</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6D0FC0" w:rsidRPr="00B75558" w:rsidTr="00E17616">
        <w:tc>
          <w:tcPr>
            <w:tcW w:w="2500" w:type="pct"/>
          </w:tcPr>
          <w:p w:rsidR="006D0FC0" w:rsidRPr="00B75558" w:rsidRDefault="006D0FC0" w:rsidP="00802D78">
            <w:pPr>
              <w:jc w:val="both"/>
              <w:rPr>
                <w:sz w:val="24"/>
                <w:szCs w:val="24"/>
              </w:rPr>
            </w:pPr>
          </w:p>
        </w:tc>
        <w:tc>
          <w:tcPr>
            <w:tcW w:w="2500" w:type="pct"/>
          </w:tcPr>
          <w:p w:rsidR="006D0FC0" w:rsidRPr="007A328A" w:rsidRDefault="00704F59" w:rsidP="00802D78">
            <w:pPr>
              <w:autoSpaceDE w:val="0"/>
              <w:autoSpaceDN w:val="0"/>
              <w:adjustRightInd w:val="0"/>
              <w:jc w:val="both"/>
              <w:rPr>
                <w:rFonts w:ascii="Times New Roman" w:hAnsi="Times New Roman" w:cs="Times New Roman"/>
                <w:sz w:val="24"/>
                <w:szCs w:val="24"/>
              </w:rPr>
            </w:pPr>
            <w:r>
              <w:rPr>
                <w:rFonts w:ascii="Times New Roman" w:hAnsi="Times New Roman"/>
                <w:b/>
                <w:sz w:val="24"/>
              </w:rPr>
              <w:t>Artykuł 6.</w:t>
            </w:r>
            <w:r>
              <w:rPr>
                <w:rFonts w:ascii="Times New Roman" w:hAnsi="Times New Roman"/>
                <w:sz w:val="24"/>
              </w:rPr>
              <w:t xml:space="preserve"> Artykuł 70 tego samego dekretu królewskiego z dnia 21 lipca 2016 r., uchylony wyrokiem Rady Stanu nr 244.629 z dnia 28 maja 2019 r., zostaje przywrócony w następującym brzmieniu:</w:t>
            </w:r>
          </w:p>
        </w:tc>
      </w:tr>
      <w:tr w:rsidR="006D0FC0" w:rsidRPr="00B75558" w:rsidTr="00E17616">
        <w:tc>
          <w:tcPr>
            <w:tcW w:w="2500" w:type="pct"/>
          </w:tcPr>
          <w:p w:rsidR="006D0FC0" w:rsidRPr="007A328A" w:rsidRDefault="006D0FC0" w:rsidP="005243E8">
            <w:pPr>
              <w:rPr>
                <w:sz w:val="24"/>
                <w:szCs w:val="24"/>
              </w:rPr>
            </w:pPr>
          </w:p>
        </w:tc>
        <w:tc>
          <w:tcPr>
            <w:tcW w:w="2500" w:type="pct"/>
          </w:tcPr>
          <w:p w:rsidR="006D0FC0" w:rsidRPr="007A328A" w:rsidRDefault="006D0FC0" w:rsidP="005243E8">
            <w:pPr>
              <w:autoSpaceDE w:val="0"/>
              <w:autoSpaceDN w:val="0"/>
              <w:adjustRightInd w:val="0"/>
              <w:jc w:val="both"/>
              <w:rPr>
                <w:rFonts w:ascii="Times New Roman" w:hAnsi="Times New Roman" w:cs="Times New Roman"/>
                <w:b/>
                <w:sz w:val="24"/>
                <w:szCs w:val="24"/>
              </w:rPr>
            </w:pPr>
          </w:p>
        </w:tc>
      </w:tr>
      <w:tr w:rsidR="005243E8" w:rsidRPr="00B75558" w:rsidTr="00E17616">
        <w:tc>
          <w:tcPr>
            <w:tcW w:w="2500" w:type="pct"/>
          </w:tcPr>
          <w:p w:rsidR="005243E8" w:rsidRPr="00B75558" w:rsidRDefault="005243E8" w:rsidP="005D6452">
            <w:pPr>
              <w:jc w:val="both"/>
              <w:rPr>
                <w:sz w:val="24"/>
                <w:szCs w:val="24"/>
              </w:rPr>
            </w:pPr>
          </w:p>
        </w:tc>
        <w:tc>
          <w:tcPr>
            <w:tcW w:w="2500" w:type="pct"/>
          </w:tcPr>
          <w:p w:rsidR="005243E8" w:rsidRPr="007A328A" w:rsidRDefault="00704F59" w:rsidP="005243E8">
            <w:pPr>
              <w:autoSpaceDE w:val="0"/>
              <w:autoSpaceDN w:val="0"/>
              <w:adjustRightInd w:val="0"/>
              <w:jc w:val="both"/>
              <w:rPr>
                <w:rFonts w:ascii="Times New Roman" w:hAnsi="Times New Roman" w:cs="Times New Roman"/>
                <w:b/>
                <w:sz w:val="24"/>
                <w:szCs w:val="24"/>
              </w:rPr>
            </w:pPr>
            <w:r>
              <w:rPr>
                <w:rFonts w:ascii="Times New Roman" w:hAnsi="Times New Roman"/>
                <w:sz w:val="24"/>
              </w:rPr>
              <w:t>„Artykuł 70. Minister może zmienić wykaz zawarty w załączniku 4.”.</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704F59" w:rsidRPr="00B75558" w:rsidTr="00E17616">
        <w:tc>
          <w:tcPr>
            <w:tcW w:w="2500" w:type="pct"/>
          </w:tcPr>
          <w:p w:rsidR="00704F59" w:rsidRPr="00B75558" w:rsidRDefault="00704F59" w:rsidP="004E466E">
            <w:pPr>
              <w:jc w:val="both"/>
              <w:rPr>
                <w:rFonts w:ascii="Times New Roman" w:hAnsi="Times New Roman" w:cs="Times New Roman"/>
                <w:sz w:val="24"/>
                <w:szCs w:val="24"/>
              </w:rPr>
            </w:pPr>
          </w:p>
        </w:tc>
        <w:tc>
          <w:tcPr>
            <w:tcW w:w="2500" w:type="pct"/>
          </w:tcPr>
          <w:p w:rsidR="00704F59" w:rsidRPr="003B127F" w:rsidRDefault="007A328A" w:rsidP="003B127F">
            <w:pPr>
              <w:autoSpaceDE w:val="0"/>
              <w:autoSpaceDN w:val="0"/>
              <w:adjustRightInd w:val="0"/>
              <w:jc w:val="both"/>
              <w:rPr>
                <w:rFonts w:ascii="Times New Roman" w:hAnsi="Times New Roman" w:cs="Times New Roman"/>
                <w:sz w:val="24"/>
                <w:szCs w:val="24"/>
              </w:rPr>
            </w:pPr>
            <w:r>
              <w:rPr>
                <w:rFonts w:ascii="Times New Roman" w:hAnsi="Times New Roman"/>
                <w:b/>
                <w:sz w:val="24"/>
              </w:rPr>
              <w:t>Artykuł 7.</w:t>
            </w:r>
            <w:r>
              <w:rPr>
                <w:rFonts w:ascii="Times New Roman" w:hAnsi="Times New Roman"/>
                <w:sz w:val="24"/>
              </w:rPr>
              <w:t xml:space="preserve"> W tym samym dekrecie załącznik 4, uchylony wyrokiem Rady Stanu nr 244.629 z dnia 28 maja 2019 r., zostaje załączony do tego dekretu.</w:t>
            </w:r>
          </w:p>
        </w:tc>
      </w:tr>
      <w:tr w:rsidR="00704F59" w:rsidRPr="00B75558" w:rsidTr="00E17616">
        <w:tc>
          <w:tcPr>
            <w:tcW w:w="2500" w:type="pct"/>
          </w:tcPr>
          <w:p w:rsidR="00704F59" w:rsidRPr="003B127F" w:rsidRDefault="00704F59" w:rsidP="005243E8">
            <w:pPr>
              <w:rPr>
                <w:sz w:val="24"/>
                <w:szCs w:val="24"/>
              </w:rPr>
            </w:pPr>
          </w:p>
        </w:tc>
        <w:tc>
          <w:tcPr>
            <w:tcW w:w="2500" w:type="pct"/>
          </w:tcPr>
          <w:p w:rsidR="00704F59" w:rsidRPr="003B127F" w:rsidRDefault="00704F59"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3B127F" w:rsidRDefault="00A43346" w:rsidP="005243E8">
            <w:pPr>
              <w:rPr>
                <w:sz w:val="24"/>
                <w:szCs w:val="24"/>
              </w:rPr>
            </w:pPr>
          </w:p>
        </w:tc>
        <w:tc>
          <w:tcPr>
            <w:tcW w:w="2500" w:type="pct"/>
          </w:tcPr>
          <w:p w:rsidR="00A43346" w:rsidRPr="003B127F" w:rsidRDefault="00A43346" w:rsidP="005243E8">
            <w:pPr>
              <w:autoSpaceDE w:val="0"/>
              <w:autoSpaceDN w:val="0"/>
              <w:adjustRightInd w:val="0"/>
              <w:jc w:val="both"/>
              <w:rPr>
                <w:rFonts w:ascii="Times New Roman" w:hAnsi="Times New Roman" w:cs="Times New Roman"/>
                <w:b/>
                <w:sz w:val="24"/>
                <w:szCs w:val="24"/>
              </w:rPr>
            </w:pPr>
          </w:p>
        </w:tc>
      </w:tr>
      <w:tr w:rsidR="006E50F9" w:rsidRPr="00B75558" w:rsidTr="00E17616">
        <w:tc>
          <w:tcPr>
            <w:tcW w:w="2500" w:type="pct"/>
          </w:tcPr>
          <w:p w:rsidR="006E50F9" w:rsidRPr="00B75558" w:rsidRDefault="006E50F9" w:rsidP="007A328A">
            <w:pPr>
              <w:jc w:val="both"/>
              <w:rPr>
                <w:rFonts w:ascii="Times New Roman" w:hAnsi="Times New Roman" w:cs="Times New Roman"/>
                <w:sz w:val="24"/>
                <w:szCs w:val="24"/>
                <w:highlight w:val="yellow"/>
              </w:rPr>
            </w:pPr>
          </w:p>
        </w:tc>
        <w:tc>
          <w:tcPr>
            <w:tcW w:w="2500" w:type="pct"/>
          </w:tcPr>
          <w:p w:rsidR="006E50F9" w:rsidRPr="000D4FF6" w:rsidRDefault="006E50F9" w:rsidP="007A328A">
            <w:pPr>
              <w:autoSpaceDE w:val="0"/>
              <w:autoSpaceDN w:val="0"/>
              <w:adjustRightInd w:val="0"/>
              <w:jc w:val="both"/>
              <w:rPr>
                <w:rFonts w:ascii="Times New Roman" w:hAnsi="Times New Roman" w:cs="Times New Roman"/>
                <w:sz w:val="24"/>
                <w:szCs w:val="24"/>
                <w:highlight w:val="yellow"/>
              </w:rPr>
            </w:pPr>
            <w:r>
              <w:rPr>
                <w:rFonts w:ascii="Times New Roman" w:hAnsi="Times New Roman"/>
                <w:b/>
                <w:sz w:val="24"/>
              </w:rPr>
              <w:t>Artykuł 8.</w:t>
            </w:r>
            <w:r>
              <w:rPr>
                <w:rFonts w:ascii="Times New Roman" w:hAnsi="Times New Roman"/>
                <w:sz w:val="24"/>
              </w:rPr>
              <w:t xml:space="preserve"> Niniejszy dekret wchodzi w życie w dniu opublikowania w belgijskim Dzienniku Urzędowym.</w:t>
            </w:r>
          </w:p>
        </w:tc>
      </w:tr>
      <w:tr w:rsidR="005243E8" w:rsidRPr="00B75558" w:rsidTr="00E17616">
        <w:tc>
          <w:tcPr>
            <w:tcW w:w="2500" w:type="pct"/>
          </w:tcPr>
          <w:p w:rsidR="005243E8" w:rsidRPr="000D4FF6" w:rsidRDefault="005243E8" w:rsidP="005243E8">
            <w:pPr>
              <w:rPr>
                <w:sz w:val="24"/>
                <w:szCs w:val="24"/>
              </w:rPr>
            </w:pPr>
          </w:p>
        </w:tc>
        <w:tc>
          <w:tcPr>
            <w:tcW w:w="2500" w:type="pct"/>
          </w:tcPr>
          <w:p w:rsidR="005243E8" w:rsidRPr="000D4FF6"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0D4FF6" w:rsidRDefault="00A43346" w:rsidP="005243E8">
            <w:pPr>
              <w:rPr>
                <w:sz w:val="24"/>
                <w:szCs w:val="24"/>
              </w:rPr>
            </w:pPr>
          </w:p>
        </w:tc>
        <w:tc>
          <w:tcPr>
            <w:tcW w:w="2500" w:type="pct"/>
          </w:tcPr>
          <w:p w:rsidR="00A43346" w:rsidRPr="000D4FF6" w:rsidRDefault="00A43346" w:rsidP="005243E8">
            <w:pPr>
              <w:autoSpaceDE w:val="0"/>
              <w:autoSpaceDN w:val="0"/>
              <w:adjustRightInd w:val="0"/>
              <w:jc w:val="both"/>
              <w:rPr>
                <w:rFonts w:ascii="Times New Roman" w:hAnsi="Times New Roman" w:cs="Times New Roman"/>
                <w:b/>
                <w:sz w:val="24"/>
                <w:szCs w:val="24"/>
              </w:rPr>
            </w:pPr>
          </w:p>
        </w:tc>
      </w:tr>
      <w:tr w:rsidR="005243E8" w:rsidRPr="00B75558" w:rsidTr="00E17616">
        <w:tc>
          <w:tcPr>
            <w:tcW w:w="2500" w:type="pct"/>
          </w:tcPr>
          <w:p w:rsidR="005243E8" w:rsidRPr="00B75558" w:rsidRDefault="005243E8" w:rsidP="007A328A">
            <w:pPr>
              <w:jc w:val="both"/>
              <w:rPr>
                <w:sz w:val="24"/>
                <w:szCs w:val="24"/>
              </w:rPr>
            </w:pPr>
          </w:p>
        </w:tc>
        <w:tc>
          <w:tcPr>
            <w:tcW w:w="2500" w:type="pct"/>
          </w:tcPr>
          <w:p w:rsidR="005243E8" w:rsidRPr="007A328A" w:rsidRDefault="00802D78" w:rsidP="007A328A">
            <w:pPr>
              <w:autoSpaceDE w:val="0"/>
              <w:autoSpaceDN w:val="0"/>
              <w:adjustRightInd w:val="0"/>
              <w:jc w:val="both"/>
              <w:rPr>
                <w:rFonts w:ascii="Times New Roman" w:hAnsi="Times New Roman" w:cs="Times New Roman"/>
                <w:b/>
                <w:sz w:val="24"/>
                <w:szCs w:val="24"/>
              </w:rPr>
            </w:pPr>
            <w:r>
              <w:rPr>
                <w:rFonts w:ascii="Times New Roman" w:hAnsi="Times New Roman"/>
                <w:b/>
                <w:sz w:val="24"/>
              </w:rPr>
              <w:t>Artykuł 9.</w:t>
            </w:r>
            <w:r>
              <w:rPr>
                <w:rFonts w:ascii="Times New Roman" w:hAnsi="Times New Roman"/>
                <w:sz w:val="24"/>
              </w:rPr>
              <w:t xml:space="preserve"> Minister właściwy do spraw zdrowia publicznego i minister właściwy do spraw rolnictwa są odpowiedzialni, w zakresie swojej właściwości, za wdrożenie niniejszego dekretu.</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74657B" w:rsidRPr="00B75558" w:rsidTr="00E17616">
        <w:tc>
          <w:tcPr>
            <w:tcW w:w="2500" w:type="pct"/>
          </w:tcPr>
          <w:p w:rsidR="0074657B" w:rsidRPr="007A328A" w:rsidRDefault="0074657B" w:rsidP="005243E8">
            <w:pPr>
              <w:rPr>
                <w:sz w:val="24"/>
                <w:szCs w:val="24"/>
              </w:rPr>
            </w:pPr>
          </w:p>
        </w:tc>
        <w:tc>
          <w:tcPr>
            <w:tcW w:w="2500" w:type="pct"/>
          </w:tcPr>
          <w:p w:rsidR="0074657B" w:rsidRPr="007A328A" w:rsidRDefault="0074657B" w:rsidP="005243E8">
            <w:pPr>
              <w:autoSpaceDE w:val="0"/>
              <w:autoSpaceDN w:val="0"/>
              <w:adjustRightInd w:val="0"/>
              <w:jc w:val="both"/>
              <w:rPr>
                <w:rFonts w:ascii="Times New Roman" w:hAnsi="Times New Roman" w:cs="Times New Roman"/>
                <w:b/>
                <w:sz w:val="24"/>
                <w:szCs w:val="24"/>
              </w:rPr>
            </w:pPr>
          </w:p>
        </w:tc>
      </w:tr>
      <w:tr w:rsidR="00146DA2" w:rsidRPr="007A328A" w:rsidTr="00E17616">
        <w:tc>
          <w:tcPr>
            <w:tcW w:w="2500" w:type="pct"/>
          </w:tcPr>
          <w:p w:rsidR="00146DA2" w:rsidRPr="007A328A" w:rsidRDefault="00146DA2" w:rsidP="00146DA2">
            <w:pPr>
              <w:rPr>
                <w:sz w:val="24"/>
                <w:szCs w:val="24"/>
              </w:rPr>
            </w:pPr>
          </w:p>
        </w:tc>
        <w:tc>
          <w:tcPr>
            <w:tcW w:w="2500" w:type="pct"/>
          </w:tcPr>
          <w:p w:rsidR="00146DA2" w:rsidRPr="007A328A" w:rsidRDefault="00627C66" w:rsidP="00627C66">
            <w:pPr>
              <w:tabs>
                <w:tab w:val="left" w:pos="0"/>
                <w:tab w:val="left" w:pos="32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sz w:val="24"/>
                <w:szCs w:val="24"/>
              </w:rPr>
            </w:pPr>
            <w:r>
              <w:rPr>
                <w:sz w:val="24"/>
              </w:rPr>
              <w:t>……………….., …………………</w:t>
            </w:r>
          </w:p>
        </w:tc>
      </w:tr>
      <w:tr w:rsidR="00146DA2" w:rsidRPr="007A328A" w:rsidTr="00E17616">
        <w:tc>
          <w:tcPr>
            <w:tcW w:w="2500" w:type="pct"/>
          </w:tcPr>
          <w:p w:rsidR="00146DA2" w:rsidRPr="007A328A" w:rsidRDefault="00146DA2" w:rsidP="00627C66">
            <w:pPr>
              <w:rPr>
                <w:sz w:val="24"/>
                <w:szCs w:val="24"/>
              </w:rPr>
            </w:pPr>
          </w:p>
        </w:tc>
        <w:tc>
          <w:tcPr>
            <w:tcW w:w="2500" w:type="pct"/>
          </w:tcPr>
          <w:p w:rsidR="00146DA2" w:rsidRPr="007A328A" w:rsidRDefault="00146DA2" w:rsidP="00146DA2">
            <w:pPr>
              <w:autoSpaceDE w:val="0"/>
              <w:autoSpaceDN w:val="0"/>
              <w:adjustRightInd w:val="0"/>
              <w:jc w:val="both"/>
              <w:rPr>
                <w:rFonts w:ascii="Times New Roman" w:hAnsi="Times New Roman" w:cs="Times New Roman"/>
                <w:b/>
                <w:sz w:val="24"/>
                <w:szCs w:val="24"/>
              </w:rPr>
            </w:pPr>
          </w:p>
        </w:tc>
      </w:tr>
      <w:tr w:rsidR="00146DA2" w:rsidRPr="007A328A" w:rsidTr="00E17616">
        <w:tc>
          <w:tcPr>
            <w:tcW w:w="2500" w:type="pct"/>
          </w:tcPr>
          <w:p w:rsidR="00146DA2" w:rsidRPr="007A328A" w:rsidRDefault="00146DA2" w:rsidP="00146DA2">
            <w:pPr>
              <w:jc w:val="center"/>
              <w:rPr>
                <w:sz w:val="24"/>
                <w:szCs w:val="24"/>
              </w:rPr>
            </w:pPr>
          </w:p>
        </w:tc>
        <w:tc>
          <w:tcPr>
            <w:tcW w:w="2500" w:type="pct"/>
          </w:tcPr>
          <w:p w:rsidR="00146DA2" w:rsidRPr="007A328A" w:rsidRDefault="00146DA2" w:rsidP="00146DA2">
            <w:pPr>
              <w:autoSpaceDE w:val="0"/>
              <w:autoSpaceDN w:val="0"/>
              <w:adjustRightInd w:val="0"/>
              <w:jc w:val="center"/>
              <w:rPr>
                <w:rFonts w:ascii="Times New Roman" w:hAnsi="Times New Roman" w:cs="Times New Roman"/>
                <w:b/>
                <w:sz w:val="24"/>
                <w:szCs w:val="24"/>
              </w:rPr>
            </w:pPr>
            <w:r>
              <w:rPr>
                <w:rFonts w:ascii="Times New Roman" w:hAnsi="Times New Roman"/>
                <w:sz w:val="24"/>
              </w:rPr>
              <w:t>W imieniu Króla:</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Minister Zdrowia Publicznego</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5000" w:type="pct"/>
            <w:gridSpan w:val="2"/>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Maggie DE BLOCK</w:t>
            </w: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Minister Rolnictwa</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Willy BORSUS</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bl>
    <w:p w:rsidR="00C138A8" w:rsidRPr="007A328A" w:rsidRDefault="00C138A8">
      <w:pPr>
        <w:rPr>
          <w:sz w:val="24"/>
          <w:szCs w:val="24"/>
        </w:rPr>
      </w:pPr>
    </w:p>
    <w:p w:rsidR="00995AC5" w:rsidRPr="007A328A" w:rsidRDefault="00995AC5">
      <w:pPr>
        <w:rPr>
          <w:sz w:val="24"/>
          <w:szCs w:val="24"/>
        </w:rPr>
      </w:pPr>
    </w:p>
    <w:p w:rsidR="00995AC5" w:rsidRPr="007A328A" w:rsidRDefault="00995AC5">
      <w:pPr>
        <w:rPr>
          <w:sz w:val="24"/>
          <w:szCs w:val="24"/>
        </w:rPr>
      </w:pPr>
    </w:p>
    <w:p w:rsidR="00995AC5" w:rsidRPr="007A328A" w:rsidRDefault="00995AC5">
      <w:pPr>
        <w:rPr>
          <w:sz w:val="24"/>
          <w:szCs w:val="24"/>
        </w:rPr>
      </w:pPr>
    </w:p>
    <w:p w:rsidR="00995AC5" w:rsidRPr="007A328A" w:rsidRDefault="00995AC5">
      <w:pPr>
        <w:rPr>
          <w:sz w:val="24"/>
          <w:szCs w:val="24"/>
        </w:rPr>
      </w:pPr>
    </w:p>
    <w:p w:rsidR="002700E8" w:rsidRPr="007A328A" w:rsidRDefault="00C138A8" w:rsidP="008C1F33">
      <w:pPr>
        <w:spacing w:after="0" w:line="240" w:lineRule="auto"/>
        <w:jc w:val="both"/>
        <w:rPr>
          <w:rFonts w:ascii="Times New Roman" w:eastAsia="Times New Roman" w:hAnsi="Times New Roman" w:cs="Times New Roman"/>
          <w:sz w:val="24"/>
          <w:szCs w:val="24"/>
        </w:rPr>
      </w:pPr>
      <w:r>
        <w:rPr>
          <w:rFonts w:ascii="Times New Roman" w:hAnsi="Times New Roman"/>
          <w:sz w:val="24"/>
        </w:rPr>
        <w:t>Załącznik do dekretu królewskiego z dnia XXX zmieniającego dekret królewski z dnia 21 lipca 2016 r. w sprawie warunków stosowania leków przez lekarzy weterynarii oraz osoby odpowiedzialne za stan zwierząt</w:t>
      </w:r>
    </w:p>
    <w:p w:rsidR="002700E8" w:rsidRPr="007A328A" w:rsidRDefault="002700E8" w:rsidP="008C1F33">
      <w:pPr>
        <w:spacing w:after="0" w:line="240" w:lineRule="auto"/>
        <w:jc w:val="both"/>
        <w:rPr>
          <w:rFonts w:ascii="Times New Roman" w:eastAsia="Times New Roman" w:hAnsi="Times New Roman" w:cs="Times New Roman"/>
          <w:sz w:val="24"/>
          <w:szCs w:val="24"/>
        </w:rPr>
      </w:pPr>
    </w:p>
    <w:p w:rsidR="008C1F33" w:rsidRDefault="008C1F33" w:rsidP="00627C66">
      <w:pPr>
        <w:keepNext/>
        <w:keepLines/>
        <w:suppressAutoHyphens/>
        <w:spacing w:after="0" w:line="240" w:lineRule="auto"/>
        <w:rPr>
          <w:rFonts w:ascii="Times New Roman" w:eastAsia="宋体" w:hAnsi="Times New Roman" w:cs="Times New Roman"/>
          <w:sz w:val="24"/>
          <w:szCs w:val="24"/>
        </w:rPr>
      </w:pPr>
      <w:r>
        <w:rPr>
          <w:rFonts w:ascii="Times New Roman" w:hAnsi="Times New Roman"/>
          <w:sz w:val="24"/>
        </w:rPr>
        <w:t>„Załącznik 4.</w:t>
      </w:r>
    </w:p>
    <w:p w:rsidR="008C1F33" w:rsidRDefault="008C1F33" w:rsidP="00627C66">
      <w:pPr>
        <w:keepNext/>
        <w:keepLines/>
        <w:suppressAutoHyphens/>
        <w:spacing w:after="0" w:line="240" w:lineRule="auto"/>
        <w:rPr>
          <w:rFonts w:ascii="Times New Roman" w:eastAsia="宋体" w:hAnsi="Times New Roman" w:cs="Times New Roman"/>
          <w:sz w:val="24"/>
          <w:szCs w:val="24"/>
        </w:rPr>
      </w:pPr>
    </w:p>
    <w:p w:rsidR="002700E8" w:rsidRPr="007A328A" w:rsidRDefault="002700E8" w:rsidP="00627C66">
      <w:pPr>
        <w:keepNext/>
        <w:keepLines/>
        <w:suppressAutoHyphens/>
        <w:spacing w:after="0" w:line="240" w:lineRule="auto"/>
        <w:jc w:val="both"/>
        <w:rPr>
          <w:rFonts w:ascii="Times New Roman" w:eastAsia="宋体" w:hAnsi="Times New Roman" w:cs="Times New Roman"/>
          <w:sz w:val="24"/>
          <w:szCs w:val="24"/>
        </w:rPr>
      </w:pPr>
      <w:r>
        <w:rPr>
          <w:rFonts w:ascii="Times New Roman" w:hAnsi="Times New Roman"/>
          <w:sz w:val="24"/>
        </w:rPr>
        <w:t>Antybiotyki o krytycznym znaczeniu należą do niżej wymienionych klas antybiotyków:</w:t>
      </w:r>
    </w:p>
    <w:p w:rsidR="002700E8" w:rsidRPr="007A328A" w:rsidRDefault="002700E8" w:rsidP="00627C66">
      <w:pPr>
        <w:keepNext/>
        <w:keepLines/>
        <w:suppressAutoHyphens/>
        <w:spacing w:after="0" w:line="240" w:lineRule="auto"/>
        <w:jc w:val="center"/>
        <w:rPr>
          <w:rFonts w:ascii="Times New Roman" w:eastAsia="宋体" w:hAnsi="Times New Roman" w:cs="Times New Roman"/>
          <w:sz w:val="24"/>
          <w:szCs w:val="24"/>
        </w:rPr>
      </w:pPr>
    </w:p>
    <w:tbl>
      <w:tblPr>
        <w:tblW w:w="5000" w:type="pct"/>
        <w:tblLook w:val="04A0" w:firstRow="1" w:lastRow="0" w:firstColumn="1" w:lastColumn="0" w:noHBand="0" w:noVBand="1"/>
      </w:tblPr>
      <w:tblGrid>
        <w:gridCol w:w="617"/>
        <w:gridCol w:w="8455"/>
      </w:tblGrid>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宋体"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宋体" w:hAnsi="Times New Roman" w:cs="Times New Roman"/>
                <w:sz w:val="24"/>
                <w:szCs w:val="24"/>
              </w:rPr>
            </w:pPr>
            <w:r>
              <w:rPr>
                <w:rFonts w:ascii="Times New Roman" w:hAnsi="Times New Roman"/>
                <w:sz w:val="24"/>
              </w:rPr>
              <w:t>cefalosporyny trzeciej generacji;</w:t>
            </w:r>
          </w:p>
          <w:p w:rsidR="002700E8" w:rsidRPr="007A328A" w:rsidRDefault="002700E8" w:rsidP="002700E8">
            <w:pPr>
              <w:suppressAutoHyphens/>
              <w:spacing w:after="0" w:line="240" w:lineRule="auto"/>
              <w:rPr>
                <w:rFonts w:ascii="Times New Roman" w:eastAsia="宋体"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宋体" w:hAnsi="Times New Roman" w:cs="Times New Roman"/>
                <w:sz w:val="24"/>
                <w:szCs w:val="24"/>
              </w:rPr>
            </w:pPr>
          </w:p>
        </w:tc>
        <w:tc>
          <w:tcPr>
            <w:tcW w:w="4660" w:type="pct"/>
          </w:tcPr>
          <w:p w:rsidR="002700E8" w:rsidRPr="007A328A" w:rsidRDefault="002700E8" w:rsidP="002700E8">
            <w:pPr>
              <w:suppressAutoHyphens/>
              <w:spacing w:after="0" w:line="240" w:lineRule="auto"/>
              <w:rPr>
                <w:rFonts w:ascii="Times New Roman" w:eastAsia="宋体" w:hAnsi="Times New Roman" w:cs="Times New Roman"/>
                <w:sz w:val="24"/>
                <w:szCs w:val="24"/>
              </w:rPr>
            </w:pPr>
            <w:r>
              <w:rPr>
                <w:rFonts w:ascii="Times New Roman" w:hAnsi="Times New Roman"/>
                <w:sz w:val="24"/>
              </w:rPr>
              <w:t>cefalosporyny czwartej generacji;</w:t>
            </w:r>
          </w:p>
          <w:p w:rsidR="002700E8" w:rsidRPr="007A328A" w:rsidRDefault="002700E8" w:rsidP="002700E8">
            <w:pPr>
              <w:suppressAutoHyphens/>
              <w:spacing w:after="0" w:line="240" w:lineRule="auto"/>
              <w:rPr>
                <w:rFonts w:ascii="Times New Roman" w:eastAsia="宋体"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宋体"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宋体" w:hAnsi="Times New Roman" w:cs="Times New Roman"/>
                <w:sz w:val="24"/>
                <w:szCs w:val="24"/>
              </w:rPr>
            </w:pPr>
            <w:r>
              <w:rPr>
                <w:rFonts w:ascii="Times New Roman" w:hAnsi="Times New Roman"/>
                <w:sz w:val="24"/>
              </w:rPr>
              <w:t>fluorochinolony pierwszej generacji;</w:t>
            </w:r>
          </w:p>
          <w:p w:rsidR="002700E8" w:rsidRPr="007A328A" w:rsidRDefault="002700E8" w:rsidP="002700E8">
            <w:pPr>
              <w:suppressAutoHyphens/>
              <w:spacing w:after="0" w:line="240" w:lineRule="auto"/>
              <w:rPr>
                <w:rFonts w:ascii="Times New Roman" w:eastAsia="宋体"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宋体"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宋体" w:hAnsi="Times New Roman" w:cs="Times New Roman"/>
                <w:sz w:val="24"/>
                <w:szCs w:val="24"/>
              </w:rPr>
            </w:pPr>
            <w:r>
              <w:rPr>
                <w:rFonts w:ascii="Times New Roman" w:hAnsi="Times New Roman"/>
                <w:sz w:val="24"/>
              </w:rPr>
              <w:t xml:space="preserve">fluorochinolony drugiej generacji; </w:t>
            </w:r>
          </w:p>
          <w:p w:rsidR="002700E8" w:rsidRPr="007A328A" w:rsidRDefault="002700E8" w:rsidP="002700E8">
            <w:pPr>
              <w:suppressAutoHyphens/>
              <w:spacing w:after="0" w:line="240" w:lineRule="auto"/>
              <w:rPr>
                <w:rFonts w:ascii="Times New Roman" w:eastAsia="宋体"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宋体" w:hAnsi="Times New Roman" w:cs="Times New Roman"/>
                <w:sz w:val="24"/>
                <w:szCs w:val="24"/>
              </w:rPr>
            </w:pPr>
          </w:p>
        </w:tc>
        <w:tc>
          <w:tcPr>
            <w:tcW w:w="4660" w:type="pct"/>
          </w:tcPr>
          <w:p w:rsidR="002700E8" w:rsidRPr="007A328A" w:rsidRDefault="002700E8" w:rsidP="002700E8">
            <w:pPr>
              <w:suppressAutoHyphens/>
              <w:spacing w:after="0" w:line="240" w:lineRule="auto"/>
              <w:rPr>
                <w:rFonts w:ascii="Times New Roman" w:eastAsia="宋体" w:hAnsi="Times New Roman" w:cs="Times New Roman"/>
                <w:bCs/>
                <w:sz w:val="24"/>
                <w:szCs w:val="24"/>
              </w:rPr>
            </w:pPr>
            <w:r>
              <w:rPr>
                <w:rFonts w:ascii="Times New Roman" w:hAnsi="Times New Roman"/>
                <w:sz w:val="24"/>
              </w:rPr>
              <w:t>fluorochinolony trzeciej generacji.”</w:t>
            </w:r>
          </w:p>
          <w:p w:rsidR="002700E8" w:rsidRPr="007A328A" w:rsidRDefault="002700E8" w:rsidP="002700E8">
            <w:pPr>
              <w:suppressAutoHyphens/>
              <w:spacing w:after="0" w:line="240" w:lineRule="auto"/>
              <w:rPr>
                <w:rFonts w:ascii="Times New Roman" w:eastAsia="宋体" w:hAnsi="Times New Roman" w:cs="Times New Roman"/>
                <w:sz w:val="24"/>
                <w:szCs w:val="24"/>
              </w:rPr>
            </w:pPr>
          </w:p>
        </w:tc>
      </w:tr>
    </w:tbl>
    <w:p w:rsidR="002700E8" w:rsidRPr="007A328A" w:rsidRDefault="002700E8" w:rsidP="002700E8">
      <w:pPr>
        <w:suppressAutoHyphens/>
        <w:spacing w:after="0" w:line="240" w:lineRule="auto"/>
        <w:jc w:val="center"/>
        <w:rPr>
          <w:rFonts w:ascii="Times New Roman" w:eastAsia="宋体" w:hAnsi="Times New Roman" w:cs="Times New Roman"/>
          <w:sz w:val="24"/>
          <w:szCs w:val="24"/>
        </w:rPr>
      </w:pPr>
    </w:p>
    <w:p w:rsidR="002700E8" w:rsidRPr="007A328A" w:rsidRDefault="002700E8" w:rsidP="002700E8">
      <w:pPr>
        <w:suppressAutoHyphens/>
        <w:spacing w:after="0" w:line="240" w:lineRule="auto"/>
        <w:jc w:val="center"/>
        <w:rPr>
          <w:rFonts w:ascii="Times New Roman" w:eastAsia="宋体" w:hAnsi="Times New Roman" w:cs="Times New Roman"/>
          <w:sz w:val="24"/>
          <w:szCs w:val="24"/>
        </w:rPr>
      </w:pPr>
    </w:p>
    <w:p w:rsidR="002700E8" w:rsidRPr="007A328A" w:rsidRDefault="002700E8" w:rsidP="008C1F33">
      <w:pPr>
        <w:suppressAutoHyphens/>
        <w:spacing w:after="0" w:line="240" w:lineRule="auto"/>
        <w:jc w:val="both"/>
        <w:rPr>
          <w:rFonts w:ascii="Times New Roman" w:eastAsia="宋体" w:hAnsi="Times New Roman" w:cs="Times New Roman"/>
          <w:sz w:val="24"/>
          <w:szCs w:val="24"/>
        </w:rPr>
      </w:pPr>
      <w:r>
        <w:rPr>
          <w:rFonts w:ascii="Times New Roman" w:hAnsi="Times New Roman"/>
          <w:sz w:val="24"/>
        </w:rPr>
        <w:t>Do załączenia do dekretu królewskiego z dnia XXX zmieniającego dekret królewski z dnia 21 lipca 2016 r. w sprawie warunków stosowania leków przez lekarzy weterynarii oraz osoby odpowiedzialne za stan zwierząt.</w:t>
      </w:r>
    </w:p>
    <w:p w:rsidR="002700E8" w:rsidRPr="007A328A" w:rsidRDefault="002700E8">
      <w:pPr>
        <w:rPr>
          <w:sz w:val="24"/>
          <w:szCs w:val="24"/>
        </w:rPr>
      </w:pPr>
    </w:p>
    <w:tbl>
      <w:tblPr>
        <w:tblStyle w:val="TableGridLight"/>
        <w:tblW w:w="5000" w:type="pct"/>
        <w:tblLook w:val="04A0" w:firstRow="1" w:lastRow="0" w:firstColumn="1" w:lastColumn="0" w:noHBand="0" w:noVBand="1"/>
      </w:tblPr>
      <w:tblGrid>
        <w:gridCol w:w="4531"/>
        <w:gridCol w:w="4531"/>
      </w:tblGrid>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 xml:space="preserve">W imieniu Króla: </w:t>
            </w:r>
          </w:p>
        </w:tc>
      </w:tr>
      <w:tr w:rsidR="002700E8" w:rsidRPr="007A328A" w:rsidTr="00627C66">
        <w:trPr>
          <w:cantSplit/>
        </w:trPr>
        <w:tc>
          <w:tcPr>
            <w:tcW w:w="2500" w:type="pct"/>
          </w:tcPr>
          <w:p w:rsidR="002700E8" w:rsidRPr="007A328A" w:rsidRDefault="002700E8" w:rsidP="00C138A8">
            <w:pPr>
              <w:rPr>
                <w:sz w:val="24"/>
                <w:szCs w:val="24"/>
              </w:rPr>
            </w:pPr>
          </w:p>
        </w:tc>
        <w:tc>
          <w:tcPr>
            <w:tcW w:w="2500" w:type="pct"/>
          </w:tcPr>
          <w:p w:rsidR="002700E8" w:rsidRPr="007A328A" w:rsidRDefault="002700E8" w:rsidP="00C138A8">
            <w:pPr>
              <w:rPr>
                <w:sz w:val="24"/>
                <w:szCs w:val="24"/>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Minister Zdrowia Publicznego</w:t>
            </w:r>
          </w:p>
        </w:tc>
      </w:tr>
      <w:tr w:rsidR="008C1F33" w:rsidRPr="007A328A" w:rsidTr="00627C66">
        <w:trPr>
          <w:cantSplit/>
        </w:trPr>
        <w:tc>
          <w:tcPr>
            <w:tcW w:w="5000" w:type="pct"/>
            <w:gridSpan w:val="2"/>
          </w:tcPr>
          <w:p w:rsidR="008C1F33" w:rsidRPr="007A328A" w:rsidRDefault="008C1F33" w:rsidP="00C138A8">
            <w:pPr>
              <w:rPr>
                <w:sz w:val="24"/>
                <w:szCs w:val="24"/>
              </w:rPr>
            </w:pPr>
          </w:p>
        </w:tc>
      </w:tr>
      <w:tr w:rsidR="002700E8" w:rsidRPr="007A328A" w:rsidTr="00627C66">
        <w:trPr>
          <w:cantSplit/>
        </w:trPr>
        <w:tc>
          <w:tcPr>
            <w:tcW w:w="5000" w:type="pct"/>
            <w:gridSpan w:val="2"/>
          </w:tcPr>
          <w:p w:rsidR="002700E8" w:rsidRPr="007A328A" w:rsidRDefault="002700E8" w:rsidP="00C138A8">
            <w:pPr>
              <w:jc w:val="center"/>
              <w:rPr>
                <w:rFonts w:ascii="Times New Roman" w:eastAsia="Times New Roman" w:hAnsi="Times New Roman" w:cs="Times New Roman"/>
                <w:sz w:val="24"/>
                <w:szCs w:val="24"/>
              </w:rPr>
            </w:pPr>
            <w:r>
              <w:rPr>
                <w:rFonts w:ascii="Times New Roman" w:hAnsi="Times New Roman"/>
                <w:sz w:val="24"/>
              </w:rPr>
              <w:t>Maggie DE BLOCK</w:t>
            </w:r>
          </w:p>
        </w:tc>
      </w:tr>
      <w:tr w:rsidR="002700E8" w:rsidRPr="007A328A" w:rsidTr="00627C66">
        <w:trPr>
          <w:cantSplit/>
        </w:trPr>
        <w:tc>
          <w:tcPr>
            <w:tcW w:w="2500" w:type="pct"/>
          </w:tcPr>
          <w:p w:rsidR="002700E8" w:rsidRPr="007A328A" w:rsidRDefault="002700E8" w:rsidP="00C138A8">
            <w:pPr>
              <w:rPr>
                <w:sz w:val="24"/>
                <w:szCs w:val="24"/>
              </w:rPr>
            </w:pPr>
          </w:p>
        </w:tc>
        <w:tc>
          <w:tcPr>
            <w:tcW w:w="2500" w:type="pct"/>
          </w:tcPr>
          <w:p w:rsidR="002700E8" w:rsidRPr="007A328A" w:rsidRDefault="002700E8" w:rsidP="00C138A8">
            <w:pPr>
              <w:rPr>
                <w:sz w:val="24"/>
                <w:szCs w:val="24"/>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Minister Rolnictwa</w:t>
            </w:r>
          </w:p>
        </w:tc>
      </w:tr>
      <w:tr w:rsidR="008C1F33" w:rsidRPr="007A328A" w:rsidTr="00627C66">
        <w:trPr>
          <w:cantSplit/>
        </w:trPr>
        <w:tc>
          <w:tcPr>
            <w:tcW w:w="5000" w:type="pct"/>
            <w:gridSpan w:val="2"/>
          </w:tcPr>
          <w:p w:rsidR="008C1F33" w:rsidRPr="007A328A" w:rsidRDefault="008C1F33" w:rsidP="00C138A8">
            <w:pPr>
              <w:rPr>
                <w:sz w:val="24"/>
                <w:szCs w:val="24"/>
              </w:rPr>
            </w:pPr>
          </w:p>
        </w:tc>
      </w:tr>
      <w:tr w:rsidR="002700E8" w:rsidRPr="007A328A" w:rsidTr="00627C66">
        <w:trPr>
          <w:cantSplit/>
        </w:trPr>
        <w:tc>
          <w:tcPr>
            <w:tcW w:w="5000" w:type="pct"/>
            <w:gridSpan w:val="2"/>
          </w:tcPr>
          <w:p w:rsidR="002700E8" w:rsidRPr="007A328A" w:rsidRDefault="000A3AED" w:rsidP="00C138A8">
            <w:pPr>
              <w:jc w:val="center"/>
              <w:rPr>
                <w:rFonts w:ascii="Times New Roman" w:eastAsia="Times New Roman" w:hAnsi="Times New Roman" w:cs="Times New Roman"/>
                <w:sz w:val="24"/>
                <w:szCs w:val="24"/>
              </w:rPr>
            </w:pPr>
            <w:r>
              <w:rPr>
                <w:rFonts w:ascii="Times New Roman" w:hAnsi="Times New Roman"/>
                <w:sz w:val="24"/>
              </w:rPr>
              <w:t>Denis DUCARME</w:t>
            </w:r>
          </w:p>
        </w:tc>
      </w:tr>
    </w:tbl>
    <w:p w:rsidR="002700E8" w:rsidRPr="007A328A" w:rsidRDefault="002700E8" w:rsidP="002700E8">
      <w:pPr>
        <w:rPr>
          <w:sz w:val="24"/>
          <w:szCs w:val="24"/>
        </w:rPr>
      </w:pPr>
    </w:p>
    <w:sectPr w:rsidR="002700E8" w:rsidRPr="007A328A" w:rsidSect="00E17616">
      <w:footerReference w:type="default" r:id="rId8"/>
      <w:pgSz w:w="11906" w:h="16838"/>
      <w:pgMar w:top="1417" w:right="1417" w:bottom="1417" w:left="1417" w:header="708" w:footer="9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FA5" w:rsidRDefault="00FD1FA5" w:rsidP="00270D6C">
      <w:pPr>
        <w:spacing w:after="0" w:line="240" w:lineRule="auto"/>
      </w:pPr>
      <w:r>
        <w:separator/>
      </w:r>
    </w:p>
  </w:endnote>
  <w:endnote w:type="continuationSeparator" w:id="0">
    <w:p w:rsidR="00FD1FA5" w:rsidRDefault="00FD1FA5" w:rsidP="002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460934"/>
      <w:docPartObj>
        <w:docPartGallery w:val="Page Numbers (Bottom of Page)"/>
        <w:docPartUnique/>
      </w:docPartObj>
    </w:sdtPr>
    <w:sdtEndPr/>
    <w:sdtContent>
      <w:p w:rsidR="00C138A8" w:rsidRDefault="00C138A8">
        <w:pPr>
          <w:pStyle w:val="Footer"/>
          <w:jc w:val="center"/>
        </w:pPr>
        <w:r w:rsidRPr="00270D6C">
          <w:rPr>
            <w:rFonts w:ascii="Times New Roman" w:hAnsi="Times New Roman" w:cs="Times New Roman"/>
          </w:rPr>
          <w:fldChar w:fldCharType="begin"/>
        </w:r>
        <w:r w:rsidRPr="00270D6C">
          <w:rPr>
            <w:rFonts w:ascii="Times New Roman" w:hAnsi="Times New Roman" w:cs="Times New Roman"/>
          </w:rPr>
          <w:instrText>PAGE   \* MERGEFORMAT</w:instrText>
        </w:r>
        <w:r w:rsidRPr="00270D6C">
          <w:rPr>
            <w:rFonts w:ascii="Times New Roman" w:hAnsi="Times New Roman" w:cs="Times New Roman"/>
          </w:rPr>
          <w:fldChar w:fldCharType="separate"/>
        </w:r>
        <w:r w:rsidR="007A545B">
          <w:rPr>
            <w:rFonts w:ascii="Times New Roman" w:hAnsi="Times New Roman" w:cs="Times New Roman"/>
            <w:noProof/>
          </w:rPr>
          <w:t>8</w:t>
        </w:r>
        <w:r w:rsidRPr="00270D6C">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FA5" w:rsidRDefault="00FD1FA5" w:rsidP="00270D6C">
      <w:pPr>
        <w:spacing w:after="0" w:line="240" w:lineRule="auto"/>
      </w:pPr>
      <w:r>
        <w:separator/>
      </w:r>
    </w:p>
  </w:footnote>
  <w:footnote w:type="continuationSeparator" w:id="0">
    <w:p w:rsidR="00FD1FA5" w:rsidRDefault="00FD1FA5" w:rsidP="00270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C9D"/>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8801928"/>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762"/>
    <w:rsid w:val="00015A2E"/>
    <w:rsid w:val="000520B5"/>
    <w:rsid w:val="00075F6E"/>
    <w:rsid w:val="000A16EF"/>
    <w:rsid w:val="000A3AED"/>
    <w:rsid w:val="000C18D6"/>
    <w:rsid w:val="000D4FF6"/>
    <w:rsid w:val="001432A5"/>
    <w:rsid w:val="00146DA2"/>
    <w:rsid w:val="002700E8"/>
    <w:rsid w:val="00270D6C"/>
    <w:rsid w:val="00290788"/>
    <w:rsid w:val="003446C7"/>
    <w:rsid w:val="00362D29"/>
    <w:rsid w:val="003818CE"/>
    <w:rsid w:val="003B127F"/>
    <w:rsid w:val="004769A4"/>
    <w:rsid w:val="004E466E"/>
    <w:rsid w:val="00520AD9"/>
    <w:rsid w:val="005243E8"/>
    <w:rsid w:val="005409CF"/>
    <w:rsid w:val="00553E05"/>
    <w:rsid w:val="00582419"/>
    <w:rsid w:val="005A1971"/>
    <w:rsid w:val="005D6452"/>
    <w:rsid w:val="00616AD6"/>
    <w:rsid w:val="00627C66"/>
    <w:rsid w:val="00640AB7"/>
    <w:rsid w:val="00676A53"/>
    <w:rsid w:val="006D0FC0"/>
    <w:rsid w:val="006E50F9"/>
    <w:rsid w:val="00704F59"/>
    <w:rsid w:val="0074657B"/>
    <w:rsid w:val="00773261"/>
    <w:rsid w:val="00774F9F"/>
    <w:rsid w:val="00776DD2"/>
    <w:rsid w:val="0078277C"/>
    <w:rsid w:val="007A328A"/>
    <w:rsid w:val="007A545B"/>
    <w:rsid w:val="007D1C9B"/>
    <w:rsid w:val="007F6A71"/>
    <w:rsid w:val="00802D78"/>
    <w:rsid w:val="00832A42"/>
    <w:rsid w:val="008C1F33"/>
    <w:rsid w:val="00995AC5"/>
    <w:rsid w:val="009C2993"/>
    <w:rsid w:val="00A16744"/>
    <w:rsid w:val="00A43346"/>
    <w:rsid w:val="00A532E7"/>
    <w:rsid w:val="00A8079B"/>
    <w:rsid w:val="00AA109F"/>
    <w:rsid w:val="00AC0762"/>
    <w:rsid w:val="00B75558"/>
    <w:rsid w:val="00C138A8"/>
    <w:rsid w:val="00C5784C"/>
    <w:rsid w:val="00D33580"/>
    <w:rsid w:val="00D44E7C"/>
    <w:rsid w:val="00D73EAC"/>
    <w:rsid w:val="00DB6455"/>
    <w:rsid w:val="00E17616"/>
    <w:rsid w:val="00E22505"/>
    <w:rsid w:val="00EA7D63"/>
    <w:rsid w:val="00F0032D"/>
    <w:rsid w:val="00F60C7F"/>
    <w:rsid w:val="00F62004"/>
    <w:rsid w:val="00FA2D30"/>
    <w:rsid w:val="00FD1FA5"/>
    <w:rsid w:val="00FF4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26E55A-FF6B-4B90-A384-5B446A1A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pl-PL" w:bidi="pl-P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0D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0D6C"/>
  </w:style>
  <w:style w:type="paragraph" w:styleId="Footer">
    <w:name w:val="footer"/>
    <w:basedOn w:val="Normal"/>
    <w:link w:val="FooterChar"/>
    <w:uiPriority w:val="99"/>
    <w:unhideWhenUsed/>
    <w:rsid w:val="00270D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0D6C"/>
  </w:style>
  <w:style w:type="paragraph" w:styleId="BodyTextIndent">
    <w:name w:val="Body Text Indent"/>
    <w:basedOn w:val="Normal"/>
    <w:link w:val="BodyTextIndentChar"/>
    <w:rsid w:val="00270D6C"/>
    <w:pPr>
      <w:spacing w:after="0" w:line="240" w:lineRule="auto"/>
      <w:ind w:firstLine="360"/>
      <w:jc w:val="both"/>
    </w:pPr>
    <w:rPr>
      <w:rFonts w:ascii="Arial" w:eastAsia="Times New Roman" w:hAnsi="Arial" w:cs="Arial"/>
      <w:sz w:val="20"/>
    </w:rPr>
  </w:style>
  <w:style w:type="character" w:customStyle="1" w:styleId="BodyTextIndentChar">
    <w:name w:val="Body Text Indent Char"/>
    <w:basedOn w:val="DefaultParagraphFont"/>
    <w:link w:val="BodyTextIndent"/>
    <w:rsid w:val="00270D6C"/>
    <w:rPr>
      <w:rFonts w:ascii="Arial" w:eastAsia="Times New Roman" w:hAnsi="Arial" w:cs="Arial"/>
      <w:sz w:val="20"/>
      <w:lang w:val="pl-PL" w:eastAsia="pl-PL"/>
    </w:rPr>
  </w:style>
  <w:style w:type="table" w:styleId="TableGridLight">
    <w:name w:val="Grid Table Light"/>
    <w:basedOn w:val="TableNormal"/>
    <w:uiPriority w:val="40"/>
    <w:rsid w:val="005243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243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243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5243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243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5243E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243E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075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327A9-80A8-44A5-B894-BB5D0B5B2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1468</Words>
  <Characters>8370</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AFMPS-FAGG</Company>
  <LinksUpToDate>false</LinksUpToDate>
  <CharactersWithSpaces>9819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Sarah</dc:creator>
  <cp:keywords/>
  <dc:description/>
  <cp:lastModifiedBy>Ke, Tingting</cp:lastModifiedBy>
  <cp:revision>3</cp:revision>
  <cp:lastPrinted>2019-07-23T08:42:00Z</cp:lastPrinted>
  <dcterms:created xsi:type="dcterms:W3CDTF">2019-07-30T13:36:00Z</dcterms:created>
  <dcterms:modified xsi:type="dcterms:W3CDTF">2019-08-07T11:23:00Z</dcterms:modified>
</cp:coreProperties>
</file>