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E4750" w14:textId="073F63D3" w:rsidR="00B450B2" w:rsidRDefault="00521A71" w:rsidP="00521A71">
      <w:pPr>
        <w:rPr>
          <w:rFonts w:ascii="Courier New" w:hAnsi="Courier New" w:cs="Courier New"/>
        </w:rPr>
      </w:pPr>
      <w:r>
        <w:rPr>
          <w:rFonts w:ascii="Courier New" w:hAnsi="Courier New"/>
        </w:rPr>
        <w:t>1. ------IND- 2020 0035 LT-</w:t>
      </w:r>
      <w:r w:rsidR="00B4222E">
        <w:rPr>
          <w:rFonts w:ascii="Courier New" w:hAnsi="Courier New"/>
        </w:rPr>
        <w:t>-</w:t>
      </w:r>
      <w:r>
        <w:rPr>
          <w:rFonts w:ascii="Courier New" w:hAnsi="Courier New"/>
        </w:rPr>
        <w:t xml:space="preserve"> HU- ------ 20200205 --- --- PROJET</w:t>
      </w:r>
    </w:p>
    <w:p w14:paraId="7B3BFC1A" w14:textId="77777777" w:rsidR="00521A71" w:rsidRPr="00521A71" w:rsidRDefault="00521A71" w:rsidP="00521A71">
      <w:pPr>
        <w:jc w:val="center"/>
      </w:pPr>
    </w:p>
    <w:p w14:paraId="4A527997" w14:textId="77777777" w:rsidR="003B185D" w:rsidRPr="0069039D" w:rsidRDefault="003B185D" w:rsidP="00BD3E12">
      <w:pPr>
        <w:keepNext/>
        <w:widowControl/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LITVÁN KÖZTÁRSASÁG PÉNZÜGYMINISZTÉRIUMA ALÁ TARTOZÓ</w:t>
      </w:r>
    </w:p>
    <w:p w14:paraId="590F722B" w14:textId="77777777" w:rsidR="003B185D" w:rsidRPr="0069039D" w:rsidRDefault="003B185D" w:rsidP="00BD3E12">
      <w:pPr>
        <w:keepNext/>
        <w:widowControl/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SZERENCSEJÁTÉK-FELÜGYELETI HATÓSÁG IGAZGATÓJÁNAK</w:t>
      </w:r>
    </w:p>
    <w:p w14:paraId="409BB888" w14:textId="77777777" w:rsidR="00B450B2" w:rsidRPr="0069039D" w:rsidRDefault="00054517" w:rsidP="00BD3E12">
      <w:pPr>
        <w:keepNext/>
        <w:widowControl/>
        <w:shd w:val="clear" w:color="auto" w:fill="FFFFFF"/>
        <w:spacing w:before="266" w:line="266" w:lineRule="exact"/>
        <w:ind w:right="3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RENDELETE</w:t>
      </w:r>
    </w:p>
    <w:p w14:paraId="31031C3D" w14:textId="77777777" w:rsidR="00B450B2" w:rsidRPr="0069039D" w:rsidRDefault="00054517" w:rsidP="00BD3E12">
      <w:pPr>
        <w:keepNext/>
        <w:widowControl/>
        <w:shd w:val="clear" w:color="auto" w:fill="FFFFFF"/>
        <w:spacing w:line="266" w:lineRule="exact"/>
        <w:ind w:right="22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 LITVÁN KÖZTÁRSASÁG PÉNZÜGYMINISZTÉRIUMA ALÁ TARTOZÓ SZERENCSEJÁTÉK-FELÜGYELETI HATÓSÁG IGAZGATÓJÁNAK A TÁVSZERENCSEJÁTÉK-ESZKÖZÖKRE VONATKOZÓ KÖVETELMÉNYEK</w:t>
      </w:r>
    </w:p>
    <w:p w14:paraId="5F5F1A0A" w14:textId="77777777" w:rsidR="00B450B2" w:rsidRPr="00D07729" w:rsidRDefault="008E38C6" w:rsidP="00BD3E12">
      <w:pPr>
        <w:keepNext/>
        <w:widowControl/>
        <w:shd w:val="clear" w:color="auto" w:fill="FFFFFF"/>
        <w:spacing w:line="266" w:lineRule="exact"/>
        <w:jc w:val="center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JÓVÁHAGYÁSÁRÓL SZÓLÓ,</w:t>
      </w:r>
    </w:p>
    <w:p w14:paraId="5E76CF37" w14:textId="77777777" w:rsidR="00B450B2" w:rsidRPr="00D07729" w:rsidRDefault="00054517" w:rsidP="00BD3E12">
      <w:pPr>
        <w:keepNext/>
        <w:widowControl/>
        <w:shd w:val="clear" w:color="auto" w:fill="FFFFFF"/>
        <w:spacing w:line="266" w:lineRule="exact"/>
        <w:jc w:val="center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2015. NOVEMBER 16-I DI-678. SZÁMÚ RENDELETÉNEK MÓDOSÍTÁSÁRÓL </w:t>
      </w:r>
    </w:p>
    <w:p w14:paraId="0EF86C2A" w14:textId="77777777" w:rsidR="003B185D" w:rsidRPr="0069039D" w:rsidRDefault="003B185D" w:rsidP="0069039D">
      <w:pPr>
        <w:widowControl/>
        <w:shd w:val="clear" w:color="auto" w:fill="FFFFFF"/>
        <w:spacing w:line="266" w:lineRule="exact"/>
        <w:ind w:right="14"/>
        <w:jc w:val="center"/>
        <w:rPr>
          <w:rFonts w:eastAsia="Times New Roman"/>
          <w:b/>
          <w:bCs/>
          <w:sz w:val="24"/>
          <w:szCs w:val="24"/>
          <w:lang w:val="lt-LT"/>
        </w:rPr>
      </w:pPr>
    </w:p>
    <w:p w14:paraId="6B5A5269" w14:textId="3A760E95" w:rsidR="003B185D" w:rsidRPr="0069039D" w:rsidRDefault="008E38C6" w:rsidP="0069039D">
      <w:pPr>
        <w:widowControl/>
        <w:shd w:val="clear" w:color="auto" w:fill="FFFFFF"/>
        <w:tabs>
          <w:tab w:val="left" w:leader="dot" w:pos="2410"/>
        </w:tabs>
        <w:spacing w:line="266" w:lineRule="exact"/>
        <w:ind w:right="14"/>
        <w:jc w:val="center"/>
        <w:rPr>
          <w:rFonts w:eastAsia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Sz.: DIE- </w:t>
      </w:r>
      <w:r w:rsidR="00B4222E">
        <w:rPr>
          <w:bCs/>
          <w:sz w:val="24"/>
          <w:szCs w:val="24"/>
        </w:rPr>
        <w:t>....</w:t>
      </w:r>
      <w:r>
        <w:rPr>
          <w:bCs/>
          <w:sz w:val="24"/>
          <w:szCs w:val="24"/>
        </w:rPr>
        <w:t xml:space="preserve"> / </w:t>
      </w:r>
      <w:r w:rsidR="00B4222E">
        <w:rPr>
          <w:bCs/>
          <w:sz w:val="24"/>
          <w:szCs w:val="24"/>
        </w:rPr>
        <w:t>..........</w:t>
      </w:r>
      <w:r>
        <w:rPr>
          <w:bCs/>
          <w:sz w:val="24"/>
          <w:szCs w:val="24"/>
        </w:rPr>
        <w:t xml:space="preserve"> 2020</w:t>
      </w:r>
    </w:p>
    <w:p w14:paraId="0318671B" w14:textId="77777777" w:rsidR="00B450B2" w:rsidRPr="0069039D" w:rsidRDefault="003B185D" w:rsidP="0069039D">
      <w:pPr>
        <w:widowControl/>
        <w:shd w:val="clear" w:color="auto" w:fill="FFFFFF"/>
        <w:spacing w:line="266" w:lineRule="exact"/>
        <w:ind w:right="14"/>
        <w:jc w:val="center"/>
        <w:rPr>
          <w:rFonts w:eastAsia="Times New Roman"/>
          <w:bCs/>
          <w:sz w:val="24"/>
          <w:szCs w:val="24"/>
        </w:rPr>
      </w:pPr>
      <w:r>
        <w:rPr>
          <w:bCs/>
          <w:sz w:val="24"/>
          <w:szCs w:val="24"/>
        </w:rPr>
        <w:t>Vilnius</w:t>
      </w:r>
    </w:p>
    <w:p w14:paraId="5A382C15" w14:textId="77777777" w:rsidR="003B185D" w:rsidRPr="0069039D" w:rsidRDefault="003B185D" w:rsidP="0069039D">
      <w:pPr>
        <w:widowControl/>
        <w:shd w:val="clear" w:color="auto" w:fill="FFFFFF"/>
        <w:ind w:firstLine="709"/>
        <w:jc w:val="both"/>
        <w:rPr>
          <w:lang w:val="lt-LT"/>
        </w:rPr>
      </w:pPr>
    </w:p>
    <w:p w14:paraId="38000117" w14:textId="6AB9ECF2" w:rsidR="00B450B2" w:rsidRPr="00D07729" w:rsidRDefault="0069039D" w:rsidP="0069039D">
      <w:pPr>
        <w:widowControl/>
        <w:shd w:val="clear" w:color="auto" w:fill="FFFFFF"/>
        <w:tabs>
          <w:tab w:val="left" w:pos="567"/>
        </w:tabs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ab/>
        <w:t xml:space="preserve">Ezúton módosítom a Litván Köztársaság Pénzügyminisztériuma alá tartozó Szerencsejáték-felügyeleti Hatóság igazgatójának a távszerencsejáték-eszközökre vonatkozó  követelmények jóváhagyásáról szóló, 2015. november 16-i DI-678. számú rendelete által jóváhagyott, távszerencsejáték-eszközökre vonatkozó követelményeket: </w:t>
      </w:r>
    </w:p>
    <w:p w14:paraId="7BCE5DB3" w14:textId="6EBB56C7" w:rsidR="00B3605B" w:rsidRPr="0069039D" w:rsidRDefault="00DB4C25" w:rsidP="0069039D">
      <w:pPr>
        <w:pStyle w:val="ListParagraph"/>
        <w:widowControl/>
        <w:numPr>
          <w:ilvl w:val="1"/>
          <w:numId w:val="3"/>
        </w:num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>
        <w:rPr>
          <w:sz w:val="24"/>
          <w:szCs w:val="24"/>
        </w:rPr>
        <w:t>A szöveg az alábbi 5.6. albekezdéssel egészül ki:</w:t>
      </w:r>
    </w:p>
    <w:p w14:paraId="797B0DEC" w14:textId="36ED8CF2" w:rsidR="00DB4C25" w:rsidRPr="0069039D" w:rsidRDefault="00DB4C25" w:rsidP="0069039D">
      <w:pPr>
        <w:widowControl/>
        <w:shd w:val="clear" w:color="auto" w:fill="FFFFFF"/>
        <w:tabs>
          <w:tab w:val="left" w:pos="1123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„5.6. élő asztali távjáték: olyan, távszerencsejáték-eszközzel folytatott játék, melynek során a játék eredményéhez vezető eseményt valós időben egy krupié idézi elő, és távszerencsejáték-kommunikáció révén közvetlenül továbbítja a játékosoknak.”</w:t>
      </w:r>
    </w:p>
    <w:p w14:paraId="4F06C221" w14:textId="23FCEFAE" w:rsidR="00B3605B" w:rsidRPr="0069039D" w:rsidRDefault="00B3605B" w:rsidP="0069039D">
      <w:pPr>
        <w:widowControl/>
        <w:shd w:val="clear" w:color="auto" w:fill="FFFFFF"/>
        <w:tabs>
          <w:tab w:val="left" w:pos="112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1.2. A 8. bekezdés szövege az alábbiak szerint módosul:</w:t>
      </w:r>
    </w:p>
    <w:p w14:paraId="1330B7C5" w14:textId="0F185886" w:rsidR="00B3605B" w:rsidRPr="0069039D" w:rsidRDefault="00B3605B" w:rsidP="0069039D">
      <w:pPr>
        <w:widowControl/>
        <w:shd w:val="clear" w:color="auto" w:fill="FFFFFF"/>
        <w:tabs>
          <w:tab w:val="left" w:pos="112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„8. Azon távszerencsejáték-eszköznek, amely alkotórészei hitelessége tekintetében eltérést (hibát) mutat , fel kell függesztenie az eltérést (hibát) tartalmazó valamennyi távszerencsejáték, valamint azon alkotórészek működését, amelyeket az eltérések (hibák) befolyásolhatnak.”</w:t>
      </w:r>
    </w:p>
    <w:p w14:paraId="7336A991" w14:textId="4EAC711C" w:rsidR="002D4426" w:rsidRPr="0069039D" w:rsidRDefault="00DB4C25" w:rsidP="0069039D">
      <w:pPr>
        <w:widowControl/>
        <w:shd w:val="clear" w:color="auto" w:fill="FFFFFF"/>
        <w:tabs>
          <w:tab w:val="left" w:pos="112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A 13.2. albekezdés hatályát veszti:</w:t>
      </w:r>
    </w:p>
    <w:p w14:paraId="13141431" w14:textId="7BA36C73" w:rsidR="00B450B2" w:rsidRPr="0069039D" w:rsidRDefault="002D4426" w:rsidP="0069039D">
      <w:pPr>
        <w:widowControl/>
        <w:shd w:val="clear" w:color="auto" w:fill="FFFFFF"/>
        <w:tabs>
          <w:tab w:val="left" w:pos="112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A 16.4. albekezdés szövege az alábbiak szerint módosul:</w:t>
      </w:r>
    </w:p>
    <w:p w14:paraId="045760AA" w14:textId="487C0F0C" w:rsidR="008E38C6" w:rsidRPr="0069039D" w:rsidRDefault="008E38C6" w:rsidP="0069039D">
      <w:pPr>
        <w:widowControl/>
        <w:ind w:firstLine="720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„16.4. A nyert pénz összege vagy a kreditek száma;”</w:t>
      </w:r>
    </w:p>
    <w:p w14:paraId="27240A77" w14:textId="5A5A0AF6" w:rsidR="0006537F" w:rsidRPr="0069039D" w:rsidRDefault="002D4426" w:rsidP="0069039D">
      <w:pPr>
        <w:widowControl/>
        <w:shd w:val="clear" w:color="auto" w:fill="FFFFFF"/>
        <w:tabs>
          <w:tab w:val="left" w:pos="112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>
        <w:rPr>
          <w:sz w:val="24"/>
          <w:szCs w:val="24"/>
        </w:rPr>
        <w:tab/>
        <w:t xml:space="preserve">A 16.5. albekezdés hatályát veszti. </w:t>
      </w:r>
    </w:p>
    <w:p w14:paraId="2CB22D41" w14:textId="3EF765B1" w:rsidR="0006537F" w:rsidRPr="0069039D" w:rsidRDefault="002D4426" w:rsidP="0069039D">
      <w:pPr>
        <w:widowControl/>
        <w:shd w:val="clear" w:color="auto" w:fill="FFFFFF"/>
        <w:tabs>
          <w:tab w:val="left" w:pos="112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1.6.</w:t>
      </w:r>
      <w:r>
        <w:rPr>
          <w:sz w:val="24"/>
          <w:szCs w:val="24"/>
        </w:rPr>
        <w:tab/>
        <w:t>A 16.6. albekezdés az alábbiak szerint módosul:</w:t>
      </w:r>
    </w:p>
    <w:sdt>
      <w:sdtPr>
        <w:rPr>
          <w:sz w:val="24"/>
          <w:szCs w:val="24"/>
        </w:rPr>
        <w:alias w:val="16.6."/>
        <w:tag w:val="part_df1752c0b3654ac5b43a0bc628b3d40d"/>
        <w:id w:val="685799395"/>
      </w:sdtPr>
      <w:sdtEndPr/>
      <w:sdtContent>
        <w:p w14:paraId="4A7EEF07" w14:textId="531B3309" w:rsidR="008E38C6" w:rsidRPr="0069039D" w:rsidRDefault="004955E5" w:rsidP="0069039D">
          <w:pPr>
            <w:widowControl/>
            <w:ind w:firstLine="709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„16.4. A nyert pénz teljes összege vagy a kreditek száma;”</w:t>
          </w:r>
        </w:p>
      </w:sdtContent>
    </w:sdt>
    <w:p w14:paraId="58ED6ABC" w14:textId="77777777" w:rsidR="003D5E68" w:rsidRPr="0069039D" w:rsidRDefault="003D5E68" w:rsidP="0069039D">
      <w:pPr>
        <w:widowControl/>
        <w:shd w:val="clear" w:color="auto" w:fill="FFFFFF"/>
        <w:tabs>
          <w:tab w:val="left" w:pos="112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1.7. A 26.2. albekezdés szövege az alábbiak szerint módosul:</w:t>
      </w:r>
    </w:p>
    <w:p w14:paraId="4EB6E148" w14:textId="41D4BDE0" w:rsidR="003D5E68" w:rsidRPr="00B4222E" w:rsidRDefault="003D5E68" w:rsidP="0069039D">
      <w:pPr>
        <w:widowControl/>
        <w:shd w:val="clear" w:color="auto" w:fill="FFFFFF"/>
        <w:tabs>
          <w:tab w:val="left" w:pos="1123"/>
        </w:tabs>
        <w:ind w:firstLine="709"/>
        <w:jc w:val="both"/>
        <w:rPr>
          <w:spacing w:val="-4"/>
          <w:sz w:val="24"/>
          <w:szCs w:val="24"/>
        </w:rPr>
      </w:pPr>
      <w:r w:rsidRPr="00B4222E">
        <w:rPr>
          <w:spacing w:val="-4"/>
          <w:sz w:val="24"/>
          <w:szCs w:val="24"/>
        </w:rPr>
        <w:t>„26.2. a nyereményalap elméleti arányát mutatja, és részletesen elmagyarázza megállapításának módját, valamint azt, hogy a játékos hogyan érheti el (pl. optimális stratégia alkalmazásával);”</w:t>
      </w:r>
    </w:p>
    <w:p w14:paraId="02A4C646" w14:textId="213475DA" w:rsidR="00B450B2" w:rsidRPr="0069039D" w:rsidRDefault="002D4426" w:rsidP="0069039D">
      <w:pPr>
        <w:widowControl/>
        <w:shd w:val="clear" w:color="auto" w:fill="FFFFFF"/>
        <w:tabs>
          <w:tab w:val="left" w:pos="112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1.8.</w:t>
      </w:r>
      <w:r>
        <w:rPr>
          <w:sz w:val="24"/>
          <w:szCs w:val="24"/>
        </w:rPr>
        <w:tab/>
        <w:t>A 43. bekezdés szövege az alábbiak szerint módosul:</w:t>
      </w:r>
    </w:p>
    <w:p w14:paraId="06572008" w14:textId="77777777" w:rsidR="004955E5" w:rsidRPr="0069039D" w:rsidRDefault="008E38C6" w:rsidP="0069039D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„43. Ha az optimális szerencsejáték-stratégia a szerencsejáték szabályaiban meghatározott információkon alapul, a nyereményalap aránya nem lehet alacsonyabb a szerencsejáték szabályaiban meghatározott aránynál.”</w:t>
      </w:r>
    </w:p>
    <w:p w14:paraId="3AFC9283" w14:textId="0A6514CB" w:rsidR="00DB4C25" w:rsidRDefault="00DB4C25" w:rsidP="0069039D">
      <w:pPr>
        <w:widowControl/>
        <w:shd w:val="clear" w:color="auto" w:fill="FFFFFF"/>
        <w:tabs>
          <w:tab w:val="left" w:pos="112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1.9.</w:t>
      </w:r>
      <w:r>
        <w:rPr>
          <w:sz w:val="24"/>
          <w:szCs w:val="24"/>
        </w:rPr>
        <w:tab/>
        <w:t>A szöveg az alábbi VI. fejezettel egészül ki:</w:t>
      </w:r>
    </w:p>
    <w:p w14:paraId="62DB5881" w14:textId="77777777" w:rsidR="00BD3E12" w:rsidRPr="0069039D" w:rsidRDefault="00BD3E12" w:rsidP="0069039D">
      <w:pPr>
        <w:widowControl/>
        <w:shd w:val="clear" w:color="auto" w:fill="FFFFFF"/>
        <w:tabs>
          <w:tab w:val="left" w:pos="1123"/>
        </w:tabs>
        <w:ind w:firstLine="709"/>
        <w:jc w:val="both"/>
        <w:rPr>
          <w:sz w:val="24"/>
          <w:szCs w:val="24"/>
          <w:lang w:val="lt-LT"/>
        </w:rPr>
      </w:pPr>
    </w:p>
    <w:p w14:paraId="6C41E256" w14:textId="61843D4B" w:rsidR="00DB4C25" w:rsidRPr="00D07729" w:rsidRDefault="00DB4C25" w:rsidP="00BD3E12">
      <w:pPr>
        <w:keepNext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„VI. FEJEZET</w:t>
      </w:r>
    </w:p>
    <w:p w14:paraId="3694F43B" w14:textId="370DB3F7" w:rsidR="00DB4C25" w:rsidRPr="0069039D" w:rsidRDefault="00DB4C25" w:rsidP="00BD3E12">
      <w:pPr>
        <w:keepNext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ÉLŐ ASZTALI TÁVJÁTÉKOKRA VONATKOZÓ KÜLÖNLEGES KÖVETELMÉNYEK</w:t>
      </w:r>
    </w:p>
    <w:p w14:paraId="0B6A3FFF" w14:textId="77777777" w:rsidR="00DB4C25" w:rsidRPr="0069039D" w:rsidRDefault="00DB4C25" w:rsidP="0069039D">
      <w:pPr>
        <w:widowControl/>
        <w:jc w:val="center"/>
        <w:rPr>
          <w:b/>
          <w:sz w:val="24"/>
          <w:szCs w:val="24"/>
          <w:lang w:val="lt-LT"/>
        </w:rPr>
      </w:pPr>
    </w:p>
    <w:p w14:paraId="7462B5E2" w14:textId="47820F84" w:rsidR="00DB4C25" w:rsidRPr="0069039D" w:rsidRDefault="00B3605B" w:rsidP="0069039D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55. Az élő asztali távjátékokat folyamatosan videóra kell venni oly módon, hogy a videón világosan láthatók legyenek a krupié mozdulatai, továbbá biztosítani kell, hogy a játékot a jóváhagyott szabályoknak megfelelően vezessék.</w:t>
      </w:r>
    </w:p>
    <w:p w14:paraId="692CA0F6" w14:textId="0ED2E809" w:rsidR="00DB4C25" w:rsidRPr="0069039D" w:rsidRDefault="0043585C" w:rsidP="0069039D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56. A követelmények 55. cikkében említett videófelvételt időbélyeggel kell ellátni, és 90 napig meg kell őrizni.” </w:t>
      </w:r>
    </w:p>
    <w:p w14:paraId="57749A04" w14:textId="77777777" w:rsidR="004955E5" w:rsidRPr="0069039D" w:rsidRDefault="004955E5" w:rsidP="0069039D">
      <w:pPr>
        <w:widowControl/>
        <w:shd w:val="clear" w:color="auto" w:fill="FFFFFF"/>
        <w:ind w:firstLine="709"/>
        <w:jc w:val="both"/>
        <w:rPr>
          <w:sz w:val="24"/>
          <w:szCs w:val="24"/>
          <w:lang w:val="lt-LT"/>
        </w:rPr>
      </w:pPr>
      <w:bookmarkStart w:id="0" w:name="_GoBack"/>
      <w:bookmarkEnd w:id="0"/>
    </w:p>
    <w:p w14:paraId="2F456463" w14:textId="77777777" w:rsidR="004955E5" w:rsidRPr="0069039D" w:rsidRDefault="004955E5" w:rsidP="0069039D">
      <w:pPr>
        <w:widowControl/>
        <w:shd w:val="clear" w:color="auto" w:fill="FFFFFF"/>
        <w:ind w:firstLine="709"/>
        <w:jc w:val="both"/>
        <w:rPr>
          <w:sz w:val="24"/>
          <w:szCs w:val="24"/>
          <w:lang w:val="lt-LT"/>
        </w:rPr>
      </w:pPr>
    </w:p>
    <w:p w14:paraId="1428E576" w14:textId="77777777" w:rsidR="004955E5" w:rsidRPr="0069039D" w:rsidRDefault="004955E5" w:rsidP="0069039D">
      <w:pPr>
        <w:widowControl/>
        <w:shd w:val="clear" w:color="auto" w:fill="FFFFFF"/>
        <w:ind w:firstLine="709"/>
        <w:jc w:val="both"/>
        <w:rPr>
          <w:sz w:val="24"/>
          <w:szCs w:val="24"/>
          <w:lang w:val="lt-LT"/>
        </w:rPr>
      </w:pPr>
    </w:p>
    <w:p w14:paraId="582F7429" w14:textId="23BDDCEE" w:rsidR="004955E5" w:rsidRPr="0069039D" w:rsidRDefault="005310C6" w:rsidP="0069039D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Igazgató</w:t>
      </w:r>
    </w:p>
    <w:sectPr w:rsidR="004955E5" w:rsidRPr="0069039D" w:rsidSect="005310C6">
      <w:headerReference w:type="default" r:id="rId9"/>
      <w:pgSz w:w="11907" w:h="16839" w:code="9"/>
      <w:pgMar w:top="1134" w:right="567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F8019" w14:textId="77777777" w:rsidR="006B77A3" w:rsidRDefault="006B77A3" w:rsidP="005310C6">
      <w:r>
        <w:separator/>
      </w:r>
    </w:p>
  </w:endnote>
  <w:endnote w:type="continuationSeparator" w:id="0">
    <w:p w14:paraId="189BB6C8" w14:textId="77777777" w:rsidR="006B77A3" w:rsidRDefault="006B77A3" w:rsidP="0053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65E96" w14:textId="77777777" w:rsidR="006B77A3" w:rsidRDefault="006B77A3" w:rsidP="005310C6">
      <w:r>
        <w:separator/>
      </w:r>
    </w:p>
  </w:footnote>
  <w:footnote w:type="continuationSeparator" w:id="0">
    <w:p w14:paraId="044DEE31" w14:textId="77777777" w:rsidR="006B77A3" w:rsidRDefault="006B77A3" w:rsidP="00531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AF5C9" w14:textId="77777777" w:rsidR="00030DAA" w:rsidRPr="00030DAA" w:rsidRDefault="00030DAA" w:rsidP="00030DAA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Tervezet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660F6"/>
    <w:multiLevelType w:val="multilevel"/>
    <w:tmpl w:val="F4586C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E1741A1"/>
    <w:multiLevelType w:val="singleLevel"/>
    <w:tmpl w:val="1CEE31B2"/>
    <w:lvl w:ilvl="0">
      <w:start w:val="1"/>
      <w:numFmt w:val="decimal"/>
      <w:lvlText w:val="46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">
    <w:nsid w:val="43BE0C9E"/>
    <w:multiLevelType w:val="singleLevel"/>
    <w:tmpl w:val="C2FCDFBA"/>
    <w:lvl w:ilvl="0">
      <w:start w:val="2"/>
      <w:numFmt w:val="decimal"/>
      <w:lvlText w:val="45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396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MTc2NDUysDAwtTRQ0lEKTi0uzszPAykwrgUAA8OM/ywAAAA="/>
  </w:docVars>
  <w:rsids>
    <w:rsidRoot w:val="00054517"/>
    <w:rsid w:val="00030DAA"/>
    <w:rsid w:val="00054517"/>
    <w:rsid w:val="00063F8E"/>
    <w:rsid w:val="0006537F"/>
    <w:rsid w:val="0009144C"/>
    <w:rsid w:val="000B1881"/>
    <w:rsid w:val="00133DF7"/>
    <w:rsid w:val="001366D3"/>
    <w:rsid w:val="001B4095"/>
    <w:rsid w:val="00230B81"/>
    <w:rsid w:val="002D4426"/>
    <w:rsid w:val="003B185D"/>
    <w:rsid w:val="003D5E68"/>
    <w:rsid w:val="003E4243"/>
    <w:rsid w:val="0043585C"/>
    <w:rsid w:val="00467BAD"/>
    <w:rsid w:val="004955E5"/>
    <w:rsid w:val="004F5600"/>
    <w:rsid w:val="00521A71"/>
    <w:rsid w:val="005310C6"/>
    <w:rsid w:val="005372BF"/>
    <w:rsid w:val="005457E8"/>
    <w:rsid w:val="005E5583"/>
    <w:rsid w:val="00611A88"/>
    <w:rsid w:val="00627321"/>
    <w:rsid w:val="00645A24"/>
    <w:rsid w:val="0069039D"/>
    <w:rsid w:val="006B77A3"/>
    <w:rsid w:val="006F38BC"/>
    <w:rsid w:val="006F6BA4"/>
    <w:rsid w:val="00705EB7"/>
    <w:rsid w:val="007966D7"/>
    <w:rsid w:val="007B1173"/>
    <w:rsid w:val="0085394E"/>
    <w:rsid w:val="00896A5C"/>
    <w:rsid w:val="008E38C6"/>
    <w:rsid w:val="0095733D"/>
    <w:rsid w:val="00990664"/>
    <w:rsid w:val="00997509"/>
    <w:rsid w:val="009A7800"/>
    <w:rsid w:val="009E1DE0"/>
    <w:rsid w:val="00A2425F"/>
    <w:rsid w:val="00A4125B"/>
    <w:rsid w:val="00AC3E17"/>
    <w:rsid w:val="00AE1305"/>
    <w:rsid w:val="00AE7A34"/>
    <w:rsid w:val="00B3095F"/>
    <w:rsid w:val="00B3605B"/>
    <w:rsid w:val="00B4222E"/>
    <w:rsid w:val="00B450B2"/>
    <w:rsid w:val="00BC7673"/>
    <w:rsid w:val="00BD3E12"/>
    <w:rsid w:val="00C079A7"/>
    <w:rsid w:val="00C87F9F"/>
    <w:rsid w:val="00CA150C"/>
    <w:rsid w:val="00CB1A49"/>
    <w:rsid w:val="00CD05FD"/>
    <w:rsid w:val="00CF1769"/>
    <w:rsid w:val="00D07729"/>
    <w:rsid w:val="00D231B9"/>
    <w:rsid w:val="00DB4C25"/>
    <w:rsid w:val="00EB542F"/>
    <w:rsid w:val="00F1482C"/>
    <w:rsid w:val="00F53A29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67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85D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5310C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310C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0C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C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0C6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3605B"/>
    <w:pPr>
      <w:ind w:left="720"/>
      <w:contextualSpacing/>
    </w:pPr>
  </w:style>
  <w:style w:type="paragraph" w:customStyle="1" w:styleId="T-Block">
    <w:name w:val="T-Block"/>
    <w:basedOn w:val="Normal"/>
    <w:rsid w:val="00CD05FD"/>
    <w:pPr>
      <w:widowControl/>
      <w:tabs>
        <w:tab w:val="left" w:pos="454"/>
        <w:tab w:val="left" w:pos="907"/>
        <w:tab w:val="left" w:pos="1361"/>
      </w:tabs>
      <w:autoSpaceDE/>
      <w:autoSpaceDN/>
      <w:adjustRightInd/>
      <w:spacing w:after="240" w:line="360" w:lineRule="exact"/>
      <w:ind w:left="454" w:hanging="454"/>
      <w:jc w:val="both"/>
    </w:pPr>
    <w:rPr>
      <w:rFonts w:ascii="Arial" w:eastAsia="Times New Roman" w:hAnsi="Arial"/>
      <w:sz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85D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5310C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310C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0C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C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0C6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3605B"/>
    <w:pPr>
      <w:ind w:left="720"/>
      <w:contextualSpacing/>
    </w:pPr>
  </w:style>
  <w:style w:type="paragraph" w:customStyle="1" w:styleId="T-Block">
    <w:name w:val="T-Block"/>
    <w:basedOn w:val="Normal"/>
    <w:rsid w:val="00CD05FD"/>
    <w:pPr>
      <w:widowControl/>
      <w:tabs>
        <w:tab w:val="left" w:pos="454"/>
        <w:tab w:val="left" w:pos="907"/>
        <w:tab w:val="left" w:pos="1361"/>
      </w:tabs>
      <w:autoSpaceDE/>
      <w:autoSpaceDN/>
      <w:adjustRightInd/>
      <w:spacing w:after="240" w:line="360" w:lineRule="exact"/>
      <w:ind w:left="454" w:hanging="454"/>
      <w:jc w:val="both"/>
    </w:pPr>
    <w:rPr>
      <w:rFonts w:ascii="Arial" w:eastAsia="Times New Roman" w:hAnsi="Arial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E5679-F167-47EE-BC82-FA530CFC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 Kaluina</dc:creator>
  <cp:lastModifiedBy>Diana STOICA</cp:lastModifiedBy>
  <cp:revision>5</cp:revision>
  <cp:lastPrinted>2018-09-28T09:56:00Z</cp:lastPrinted>
  <dcterms:created xsi:type="dcterms:W3CDTF">2020-01-29T07:47:00Z</dcterms:created>
  <dcterms:modified xsi:type="dcterms:W3CDTF">2020-02-05T12:24:00Z</dcterms:modified>
</cp:coreProperties>
</file>