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PROPOSITION DE LOI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A57D62" w:rsidRDefault="0040649C" w:rsidP="0040649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visant à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renforcer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le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contrôle parental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sur les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moyens </w:t>
      </w:r>
      <w:r>
        <w:rPr>
          <w:rFonts w:ascii="Times New Roman" w:hAnsi="Times New Roman" w:cs="Times New Roman"/>
          <w:i/>
          <w:iCs/>
          <w:sz w:val="28"/>
          <w:szCs w:val="28"/>
        </w:rPr>
        <w:t>d’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accès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à </w:t>
      </w:r>
      <w:r>
        <w:rPr>
          <w:rFonts w:ascii="Times New Roman" w:hAnsi="Times New Roman" w:cs="Times New Roman"/>
          <w:b/>
          <w:bCs/>
          <w:sz w:val="28"/>
          <w:szCs w:val="28"/>
        </w:rPr>
        <w:t>internet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40649C" w:rsidRDefault="0040649C" w:rsidP="0040649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0649C" w:rsidRDefault="0040649C" w:rsidP="0040649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 1</w:t>
      </w:r>
      <w:r w:rsidRPr="0040649C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er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– La section 5 du chapitre II du titre I</w:t>
      </w:r>
      <w:r>
        <w:rPr>
          <w:rFonts w:ascii="Times New Roman" w:hAnsi="Times New Roman" w:cs="Times New Roman"/>
          <w:sz w:val="18"/>
          <w:szCs w:val="18"/>
        </w:rPr>
        <w:t xml:space="preserve">er </w:t>
      </w:r>
      <w:r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livre II du code des postes et </w:t>
      </w:r>
      <w:r>
        <w:rPr>
          <w:rFonts w:ascii="Times New Roman" w:hAnsi="Times New Roman" w:cs="Times New Roman"/>
          <w:sz w:val="28"/>
          <w:szCs w:val="28"/>
        </w:rPr>
        <w:t>des communications électroniques est complétée</w:t>
      </w:r>
      <w:r>
        <w:rPr>
          <w:rFonts w:ascii="Times New Roman" w:hAnsi="Times New Roman" w:cs="Times New Roman"/>
          <w:sz w:val="28"/>
          <w:szCs w:val="28"/>
        </w:rPr>
        <w:t xml:space="preserve"> par un article L. 34-9-3 ainsi </w:t>
      </w:r>
      <w:r>
        <w:rPr>
          <w:rFonts w:ascii="Times New Roman" w:hAnsi="Times New Roman" w:cs="Times New Roman"/>
          <w:sz w:val="28"/>
          <w:szCs w:val="28"/>
        </w:rPr>
        <w:t>rédigé :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i/>
          <w:iCs/>
          <w:sz w:val="28"/>
          <w:szCs w:val="28"/>
        </w:rPr>
        <w:t>Art. L. 34-9-3</w:t>
      </w:r>
      <w:r>
        <w:rPr>
          <w:rFonts w:ascii="Times New Roman" w:hAnsi="Times New Roman" w:cs="Times New Roman"/>
          <w:sz w:val="28"/>
          <w:szCs w:val="28"/>
        </w:rPr>
        <w:t>. – I. – Les équipements terminaux destinés à l’</w:t>
      </w:r>
      <w:r>
        <w:rPr>
          <w:rFonts w:ascii="Times New Roman" w:hAnsi="Times New Roman" w:cs="Times New Roman"/>
          <w:sz w:val="28"/>
          <w:szCs w:val="28"/>
        </w:rPr>
        <w:t xml:space="preserve">utilisation de </w:t>
      </w:r>
      <w:r>
        <w:rPr>
          <w:rFonts w:ascii="Times New Roman" w:hAnsi="Times New Roman" w:cs="Times New Roman"/>
          <w:sz w:val="28"/>
          <w:szCs w:val="28"/>
        </w:rPr>
        <w:t xml:space="preserve">services de communication au public en ligne </w:t>
      </w:r>
      <w:r>
        <w:rPr>
          <w:rFonts w:ascii="Times New Roman" w:hAnsi="Times New Roman" w:cs="Times New Roman"/>
          <w:sz w:val="28"/>
          <w:szCs w:val="28"/>
        </w:rPr>
        <w:t xml:space="preserve">donnant accès à des services et </w:t>
      </w:r>
      <w:r>
        <w:rPr>
          <w:rFonts w:ascii="Times New Roman" w:hAnsi="Times New Roman" w:cs="Times New Roman"/>
          <w:sz w:val="28"/>
          <w:szCs w:val="28"/>
        </w:rPr>
        <w:t>contenus susceptibles de nuire à l’épanouiss</w:t>
      </w:r>
      <w:r>
        <w:rPr>
          <w:rFonts w:ascii="Times New Roman" w:hAnsi="Times New Roman" w:cs="Times New Roman"/>
          <w:sz w:val="28"/>
          <w:szCs w:val="28"/>
        </w:rPr>
        <w:t xml:space="preserve">ement physique, mental ou moral </w:t>
      </w:r>
      <w:r>
        <w:rPr>
          <w:rFonts w:ascii="Times New Roman" w:hAnsi="Times New Roman" w:cs="Times New Roman"/>
          <w:sz w:val="28"/>
          <w:szCs w:val="28"/>
        </w:rPr>
        <w:t>des mineurs sont équipés d’un dispositif aiséme</w:t>
      </w:r>
      <w:r>
        <w:rPr>
          <w:rFonts w:ascii="Times New Roman" w:hAnsi="Times New Roman" w:cs="Times New Roman"/>
          <w:sz w:val="28"/>
          <w:szCs w:val="28"/>
        </w:rPr>
        <w:t xml:space="preserve">nt accessible et compréhensible </w:t>
      </w:r>
      <w:r>
        <w:rPr>
          <w:rFonts w:ascii="Times New Roman" w:hAnsi="Times New Roman" w:cs="Times New Roman"/>
          <w:sz w:val="28"/>
          <w:szCs w:val="28"/>
        </w:rPr>
        <w:t>permettant à leurs utilisateurs de restreindre ou de contrôler l’</w:t>
      </w:r>
      <w:r>
        <w:rPr>
          <w:rFonts w:ascii="Times New Roman" w:hAnsi="Times New Roman" w:cs="Times New Roman"/>
          <w:sz w:val="28"/>
          <w:szCs w:val="28"/>
        </w:rPr>
        <w:t xml:space="preserve">accès de telles </w:t>
      </w:r>
      <w:r>
        <w:rPr>
          <w:rFonts w:ascii="Times New Roman" w:hAnsi="Times New Roman" w:cs="Times New Roman"/>
          <w:sz w:val="28"/>
          <w:szCs w:val="28"/>
        </w:rPr>
        <w:t>personnes à ces services et contenus.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L’activation du dispositif prévu au </w:t>
      </w:r>
      <w:r>
        <w:rPr>
          <w:rFonts w:ascii="Times New Roman" w:hAnsi="Times New Roman" w:cs="Times New Roman"/>
          <w:sz w:val="28"/>
          <w:szCs w:val="28"/>
        </w:rPr>
        <w:t xml:space="preserve">premier alinéa du présent I est </w:t>
      </w:r>
      <w:r>
        <w:rPr>
          <w:rFonts w:ascii="Times New Roman" w:hAnsi="Times New Roman" w:cs="Times New Roman"/>
          <w:sz w:val="28"/>
          <w:szCs w:val="28"/>
        </w:rPr>
        <w:t>proposée à l’utilisateur lors de la première mise en service de l’</w:t>
      </w:r>
      <w:r>
        <w:rPr>
          <w:rFonts w:ascii="Times New Roman" w:hAnsi="Times New Roman" w:cs="Times New Roman"/>
          <w:sz w:val="28"/>
          <w:szCs w:val="28"/>
        </w:rPr>
        <w:t xml:space="preserve">équipement. Les </w:t>
      </w:r>
      <w:r>
        <w:rPr>
          <w:rFonts w:ascii="Times New Roman" w:hAnsi="Times New Roman" w:cs="Times New Roman"/>
          <w:sz w:val="28"/>
          <w:szCs w:val="28"/>
        </w:rPr>
        <w:t>données personnelles des mineurs collectées ou générées lors de l’</w:t>
      </w:r>
      <w:r>
        <w:rPr>
          <w:rFonts w:ascii="Times New Roman" w:hAnsi="Times New Roman" w:cs="Times New Roman"/>
          <w:sz w:val="28"/>
          <w:szCs w:val="28"/>
        </w:rPr>
        <w:t xml:space="preserve">activation de </w:t>
      </w:r>
      <w:r>
        <w:rPr>
          <w:rFonts w:ascii="Times New Roman" w:hAnsi="Times New Roman" w:cs="Times New Roman"/>
          <w:sz w:val="28"/>
          <w:szCs w:val="28"/>
        </w:rPr>
        <w:t>ce dispositif ne doivent pas, y compris après l</w:t>
      </w:r>
      <w:r>
        <w:rPr>
          <w:rFonts w:ascii="Times New Roman" w:hAnsi="Times New Roman" w:cs="Times New Roman"/>
          <w:sz w:val="28"/>
          <w:szCs w:val="28"/>
        </w:rPr>
        <w:t xml:space="preserve">a majorité des intéressés, être </w:t>
      </w:r>
      <w:r>
        <w:rPr>
          <w:rFonts w:ascii="Times New Roman" w:hAnsi="Times New Roman" w:cs="Times New Roman"/>
          <w:sz w:val="28"/>
          <w:szCs w:val="28"/>
        </w:rPr>
        <w:t>utilisées à des fins commerciales, telles que le marke</w:t>
      </w:r>
      <w:r>
        <w:rPr>
          <w:rFonts w:ascii="Times New Roman" w:hAnsi="Times New Roman" w:cs="Times New Roman"/>
          <w:sz w:val="28"/>
          <w:szCs w:val="28"/>
        </w:rPr>
        <w:t xml:space="preserve">ting direct, le profilage et la </w:t>
      </w:r>
      <w:r>
        <w:rPr>
          <w:rFonts w:ascii="Times New Roman" w:hAnsi="Times New Roman" w:cs="Times New Roman"/>
          <w:sz w:val="28"/>
          <w:szCs w:val="28"/>
        </w:rPr>
        <w:t>publicité ciblée sur le comportement.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Les fabricants s’assurent, lors de</w:t>
      </w:r>
      <w:r>
        <w:rPr>
          <w:rFonts w:ascii="Times New Roman" w:hAnsi="Times New Roman" w:cs="Times New Roman"/>
          <w:sz w:val="28"/>
          <w:szCs w:val="28"/>
        </w:rPr>
        <w:t xml:space="preserve"> la mise sur le marché de leurs </w:t>
      </w:r>
      <w:r>
        <w:rPr>
          <w:rFonts w:ascii="Times New Roman" w:hAnsi="Times New Roman" w:cs="Times New Roman"/>
          <w:sz w:val="28"/>
          <w:szCs w:val="28"/>
        </w:rPr>
        <w:t>équipements terminaux, que les systèmes d’</w:t>
      </w:r>
      <w:r>
        <w:rPr>
          <w:rFonts w:ascii="Times New Roman" w:hAnsi="Times New Roman" w:cs="Times New Roman"/>
          <w:sz w:val="28"/>
          <w:szCs w:val="28"/>
        </w:rPr>
        <w:t xml:space="preserve">exploitation installés sur ces </w:t>
      </w:r>
      <w:r>
        <w:rPr>
          <w:rFonts w:ascii="Times New Roman" w:hAnsi="Times New Roman" w:cs="Times New Roman"/>
          <w:sz w:val="28"/>
          <w:szCs w:val="28"/>
        </w:rPr>
        <w:t>équipements intègrent le dispositif prévu au même premier alinéa. L’</w:t>
      </w:r>
      <w:r>
        <w:rPr>
          <w:rFonts w:ascii="Times New Roman" w:hAnsi="Times New Roman" w:cs="Times New Roman"/>
          <w:sz w:val="28"/>
          <w:szCs w:val="28"/>
        </w:rPr>
        <w:t xml:space="preserve">activation, </w:t>
      </w:r>
      <w:r>
        <w:rPr>
          <w:rFonts w:ascii="Times New Roman" w:hAnsi="Times New Roman" w:cs="Times New Roman"/>
          <w:sz w:val="28"/>
          <w:szCs w:val="28"/>
        </w:rPr>
        <w:t>l’utilisation et, le cas échéant, la désinstallation</w:t>
      </w:r>
      <w:r>
        <w:rPr>
          <w:rFonts w:ascii="Times New Roman" w:hAnsi="Times New Roman" w:cs="Times New Roman"/>
          <w:sz w:val="28"/>
          <w:szCs w:val="28"/>
        </w:rPr>
        <w:t xml:space="preserve"> de ce dispositif sont permises </w:t>
      </w:r>
      <w:r>
        <w:rPr>
          <w:rFonts w:ascii="Times New Roman" w:hAnsi="Times New Roman" w:cs="Times New Roman"/>
          <w:sz w:val="28"/>
          <w:szCs w:val="28"/>
        </w:rPr>
        <w:t>sans surcoût pour l’utilisateur.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Le cas échéant, le fournisseur du système d’</w:t>
      </w:r>
      <w:r>
        <w:rPr>
          <w:rFonts w:ascii="Times New Roman" w:hAnsi="Times New Roman" w:cs="Times New Roman"/>
          <w:sz w:val="28"/>
          <w:szCs w:val="28"/>
        </w:rPr>
        <w:t xml:space="preserve">exploitation, lorsque le </w:t>
      </w:r>
      <w:r>
        <w:rPr>
          <w:rFonts w:ascii="Times New Roman" w:hAnsi="Times New Roman" w:cs="Times New Roman"/>
          <w:sz w:val="28"/>
          <w:szCs w:val="28"/>
        </w:rPr>
        <w:t>fabricant lui en fait la demande, s’assure et certi</w:t>
      </w:r>
      <w:r>
        <w:rPr>
          <w:rFonts w:ascii="Times New Roman" w:hAnsi="Times New Roman" w:cs="Times New Roman"/>
          <w:sz w:val="28"/>
          <w:szCs w:val="28"/>
        </w:rPr>
        <w:t xml:space="preserve">fie auprès de ce dernier que le </w:t>
      </w:r>
      <w:r>
        <w:rPr>
          <w:rFonts w:ascii="Times New Roman" w:hAnsi="Times New Roman" w:cs="Times New Roman"/>
          <w:sz w:val="28"/>
          <w:szCs w:val="28"/>
        </w:rPr>
        <w:t>système d’exploitation destiné à être installé sur l’</w:t>
      </w:r>
      <w:r>
        <w:rPr>
          <w:rFonts w:ascii="Times New Roman" w:hAnsi="Times New Roman" w:cs="Times New Roman"/>
          <w:sz w:val="28"/>
          <w:szCs w:val="28"/>
        </w:rPr>
        <w:t xml:space="preserve">équipement terminal intègre le </w:t>
      </w:r>
      <w:r>
        <w:rPr>
          <w:rFonts w:ascii="Times New Roman" w:hAnsi="Times New Roman" w:cs="Times New Roman"/>
          <w:sz w:val="28"/>
          <w:szCs w:val="28"/>
        </w:rPr>
        <w:t>dispositif prévu audit premier alinéa.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Les fabricants certifient auprès des importa</w:t>
      </w:r>
      <w:r>
        <w:rPr>
          <w:rFonts w:ascii="Times New Roman" w:hAnsi="Times New Roman" w:cs="Times New Roman"/>
          <w:sz w:val="28"/>
          <w:szCs w:val="28"/>
        </w:rPr>
        <w:t xml:space="preserve">teurs, des distributeurs et des </w:t>
      </w:r>
      <w:r>
        <w:rPr>
          <w:rFonts w:ascii="Times New Roman" w:hAnsi="Times New Roman" w:cs="Times New Roman"/>
          <w:sz w:val="28"/>
          <w:szCs w:val="28"/>
        </w:rPr>
        <w:t>prestataires de services d’exécution de</w:t>
      </w:r>
      <w:r>
        <w:rPr>
          <w:rFonts w:ascii="Times New Roman" w:hAnsi="Times New Roman" w:cs="Times New Roman"/>
          <w:sz w:val="28"/>
          <w:szCs w:val="28"/>
        </w:rPr>
        <w:t xml:space="preserve">s commandes que les équipements </w:t>
      </w:r>
      <w:r>
        <w:rPr>
          <w:rFonts w:ascii="Times New Roman" w:hAnsi="Times New Roman" w:cs="Times New Roman"/>
          <w:sz w:val="28"/>
          <w:szCs w:val="28"/>
        </w:rPr>
        <w:t>terminaux mis sur le marché intègrent le d</w:t>
      </w:r>
      <w:r>
        <w:rPr>
          <w:rFonts w:ascii="Times New Roman" w:hAnsi="Times New Roman" w:cs="Times New Roman"/>
          <w:sz w:val="28"/>
          <w:szCs w:val="28"/>
        </w:rPr>
        <w:t xml:space="preserve">ispositif prévu au même premier </w:t>
      </w:r>
      <w:r>
        <w:rPr>
          <w:rFonts w:ascii="Times New Roman" w:hAnsi="Times New Roman" w:cs="Times New Roman"/>
          <w:sz w:val="28"/>
          <w:szCs w:val="28"/>
        </w:rPr>
        <w:t xml:space="preserve">alinéa. </w:t>
      </w:r>
      <w:r>
        <w:rPr>
          <w:rFonts w:ascii="Times New Roman" w:hAnsi="Times New Roman" w:cs="Times New Roman"/>
          <w:sz w:val="28"/>
          <w:szCs w:val="28"/>
        </w:rPr>
        <w:lastRenderedPageBreak/>
        <w:t>Dans le cas prévu au quatrième alinéa du présent I, le fabricant transmet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à ces mêmes personnes le certificat du fournisseur du système d’exploitation.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Les importateurs, les distributeurs </w:t>
      </w:r>
      <w:r>
        <w:rPr>
          <w:rFonts w:ascii="Times New Roman" w:hAnsi="Times New Roman" w:cs="Times New Roman"/>
          <w:sz w:val="28"/>
          <w:szCs w:val="28"/>
        </w:rPr>
        <w:t xml:space="preserve">et les prestataires de services </w:t>
      </w:r>
      <w:r>
        <w:rPr>
          <w:rFonts w:ascii="Times New Roman" w:hAnsi="Times New Roman" w:cs="Times New Roman"/>
          <w:sz w:val="28"/>
          <w:szCs w:val="28"/>
        </w:rPr>
        <w:t>d’exécution des commandes vérifient que</w:t>
      </w:r>
      <w:r>
        <w:rPr>
          <w:rFonts w:ascii="Times New Roman" w:hAnsi="Times New Roman" w:cs="Times New Roman"/>
          <w:sz w:val="28"/>
          <w:szCs w:val="28"/>
        </w:rPr>
        <w:t xml:space="preserve"> les équipements terminaux sont </w:t>
      </w:r>
      <w:r>
        <w:rPr>
          <w:rFonts w:ascii="Times New Roman" w:hAnsi="Times New Roman" w:cs="Times New Roman"/>
          <w:sz w:val="28"/>
          <w:szCs w:val="28"/>
        </w:rPr>
        <w:t>certifiés par les fabricants ou, le cas échéant</w:t>
      </w:r>
      <w:r>
        <w:rPr>
          <w:rFonts w:ascii="Times New Roman" w:hAnsi="Times New Roman" w:cs="Times New Roman"/>
          <w:sz w:val="28"/>
          <w:szCs w:val="28"/>
        </w:rPr>
        <w:t xml:space="preserve">, par le fournisseur du système </w:t>
      </w:r>
      <w:r>
        <w:rPr>
          <w:rFonts w:ascii="Times New Roman" w:hAnsi="Times New Roman" w:cs="Times New Roman"/>
          <w:sz w:val="28"/>
          <w:szCs w:val="28"/>
        </w:rPr>
        <w:t>d’exploitation dans les conditions prévues au</w:t>
      </w:r>
      <w:r>
        <w:rPr>
          <w:rFonts w:ascii="Times New Roman" w:hAnsi="Times New Roman" w:cs="Times New Roman"/>
          <w:sz w:val="28"/>
          <w:szCs w:val="28"/>
        </w:rPr>
        <w:t xml:space="preserve"> cinquième alinéa du présent I.</w:t>
      </w:r>
    </w:p>
    <w:p w:rsidR="0040649C" w:rsidRP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 Le dispositif prévu au premier alinéa du présent I ne s’</w:t>
      </w:r>
      <w:r>
        <w:rPr>
          <w:rFonts w:ascii="Times New Roman" w:hAnsi="Times New Roman" w:cs="Times New Roman"/>
          <w:sz w:val="28"/>
          <w:szCs w:val="28"/>
        </w:rPr>
        <w:t xml:space="preserve">applique pas aux </w:t>
      </w:r>
      <w:r>
        <w:rPr>
          <w:rFonts w:ascii="Times New Roman" w:hAnsi="Times New Roman" w:cs="Times New Roman"/>
          <w:sz w:val="28"/>
          <w:szCs w:val="28"/>
        </w:rPr>
        <w:t>équipements mis sur le marché sans système d’exploitation.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Les obligations prévues aux troisième et</w:t>
      </w:r>
      <w:r>
        <w:rPr>
          <w:rFonts w:ascii="Times New Roman" w:hAnsi="Times New Roman" w:cs="Times New Roman"/>
          <w:sz w:val="28"/>
          <w:szCs w:val="28"/>
        </w:rPr>
        <w:t xml:space="preserve"> cinquième alinéas du présent I </w:t>
      </w:r>
      <w:r>
        <w:rPr>
          <w:rFonts w:ascii="Times New Roman" w:hAnsi="Times New Roman" w:cs="Times New Roman"/>
          <w:sz w:val="28"/>
          <w:szCs w:val="28"/>
        </w:rPr>
        <w:t>s’appliquent, le cas échéant, au mandataire du fabricant.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Les personnes qui commercial</w:t>
      </w:r>
      <w:r>
        <w:rPr>
          <w:rFonts w:ascii="Times New Roman" w:hAnsi="Times New Roman" w:cs="Times New Roman"/>
          <w:sz w:val="28"/>
          <w:szCs w:val="28"/>
        </w:rPr>
        <w:t xml:space="preserve">isent les équipements terminaux </w:t>
      </w:r>
      <w:r>
        <w:rPr>
          <w:rFonts w:ascii="Times New Roman" w:hAnsi="Times New Roman" w:cs="Times New Roman"/>
          <w:sz w:val="28"/>
          <w:szCs w:val="28"/>
        </w:rPr>
        <w:t>mentionnés au premier alinéa du présent I, lorsqu’ils sont d’</w:t>
      </w:r>
      <w:r>
        <w:rPr>
          <w:rFonts w:ascii="Times New Roman" w:hAnsi="Times New Roman" w:cs="Times New Roman"/>
          <w:sz w:val="28"/>
          <w:szCs w:val="28"/>
        </w:rPr>
        <w:t xml:space="preserve">occasion au sens du </w:t>
      </w:r>
      <w:r>
        <w:rPr>
          <w:rFonts w:ascii="Times New Roman" w:hAnsi="Times New Roman" w:cs="Times New Roman"/>
          <w:sz w:val="28"/>
          <w:szCs w:val="28"/>
        </w:rPr>
        <w:t>troisième alinéa de l’article L. 321-1 du code de commerce, s’</w:t>
      </w:r>
      <w:r>
        <w:rPr>
          <w:rFonts w:ascii="Times New Roman" w:hAnsi="Times New Roman" w:cs="Times New Roman"/>
          <w:sz w:val="28"/>
          <w:szCs w:val="28"/>
        </w:rPr>
        <w:t xml:space="preserve">assurent que ces </w:t>
      </w:r>
      <w:r>
        <w:rPr>
          <w:rFonts w:ascii="Times New Roman" w:hAnsi="Times New Roman" w:cs="Times New Roman"/>
          <w:sz w:val="28"/>
          <w:szCs w:val="28"/>
        </w:rPr>
        <w:t>équipements intègrent le dispositif prévu au premier alinéa du présent I.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II. – Un décret en Conseil d’État, p</w:t>
      </w:r>
      <w:r>
        <w:rPr>
          <w:rFonts w:ascii="Times New Roman" w:hAnsi="Times New Roman" w:cs="Times New Roman"/>
          <w:sz w:val="28"/>
          <w:szCs w:val="28"/>
        </w:rPr>
        <w:t xml:space="preserve">ris après avis de la Commission </w:t>
      </w:r>
      <w:r>
        <w:rPr>
          <w:rFonts w:ascii="Times New Roman" w:hAnsi="Times New Roman" w:cs="Times New Roman"/>
          <w:sz w:val="28"/>
          <w:szCs w:val="28"/>
        </w:rPr>
        <w:t>nationale de l’informatique et des libertés, détermine :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1° Les modalités d’application du I</w:t>
      </w:r>
      <w:r>
        <w:rPr>
          <w:rFonts w:ascii="Times New Roman" w:hAnsi="Times New Roman" w:cs="Times New Roman"/>
          <w:sz w:val="28"/>
          <w:szCs w:val="28"/>
        </w:rPr>
        <w:t xml:space="preserve">, y compris les fonctionnalités </w:t>
      </w:r>
      <w:r>
        <w:rPr>
          <w:rFonts w:ascii="Times New Roman" w:hAnsi="Times New Roman" w:cs="Times New Roman"/>
          <w:sz w:val="28"/>
          <w:szCs w:val="28"/>
        </w:rPr>
        <w:t xml:space="preserve">minimales et les caractéristiques techniques </w:t>
      </w:r>
      <w:r>
        <w:rPr>
          <w:rFonts w:ascii="Times New Roman" w:hAnsi="Times New Roman" w:cs="Times New Roman"/>
          <w:sz w:val="28"/>
          <w:szCs w:val="28"/>
        </w:rPr>
        <w:t xml:space="preserve">du dispositif prévu au premier </w:t>
      </w:r>
      <w:r>
        <w:rPr>
          <w:rFonts w:ascii="Times New Roman" w:hAnsi="Times New Roman" w:cs="Times New Roman"/>
          <w:sz w:val="28"/>
          <w:szCs w:val="28"/>
        </w:rPr>
        <w:t xml:space="preserve">alinéa du même I, ainsi que les moyens mis </w:t>
      </w:r>
      <w:r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>
        <w:rPr>
          <w:rFonts w:ascii="Times New Roman" w:hAnsi="Times New Roman" w:cs="Times New Roman"/>
          <w:sz w:val="28"/>
          <w:szCs w:val="28"/>
        </w:rPr>
        <w:t>oeuvre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 le fabricant pour </w:t>
      </w:r>
      <w:r>
        <w:rPr>
          <w:rFonts w:ascii="Times New Roman" w:hAnsi="Times New Roman" w:cs="Times New Roman"/>
          <w:sz w:val="28"/>
          <w:szCs w:val="28"/>
        </w:rPr>
        <w:t>faciliter l’utilisation de ce dispositif ;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bis </w:t>
      </w:r>
      <w:r>
        <w:rPr>
          <w:rFonts w:ascii="Times New Roman" w:hAnsi="Times New Roman" w:cs="Times New Roman"/>
          <w:sz w:val="28"/>
          <w:szCs w:val="28"/>
        </w:rPr>
        <w:t>Les modalités selon lesquelles les fa</w:t>
      </w:r>
      <w:r>
        <w:rPr>
          <w:rFonts w:ascii="Times New Roman" w:hAnsi="Times New Roman" w:cs="Times New Roman"/>
          <w:sz w:val="28"/>
          <w:szCs w:val="28"/>
        </w:rPr>
        <w:t xml:space="preserve">bricants et, le cas échéant, le </w:t>
      </w:r>
      <w:r>
        <w:rPr>
          <w:rFonts w:ascii="Times New Roman" w:hAnsi="Times New Roman" w:cs="Times New Roman"/>
          <w:sz w:val="28"/>
          <w:szCs w:val="28"/>
        </w:rPr>
        <w:t>fournisseur du système d’exploitation certifient que les systèmes d’</w:t>
      </w:r>
      <w:r>
        <w:rPr>
          <w:rFonts w:ascii="Times New Roman" w:hAnsi="Times New Roman" w:cs="Times New Roman"/>
          <w:sz w:val="28"/>
          <w:szCs w:val="28"/>
        </w:rPr>
        <w:t xml:space="preserve">exploitation </w:t>
      </w:r>
      <w:r>
        <w:rPr>
          <w:rFonts w:ascii="Times New Roman" w:hAnsi="Times New Roman" w:cs="Times New Roman"/>
          <w:sz w:val="28"/>
          <w:szCs w:val="28"/>
        </w:rPr>
        <w:t>installés sur les équipements terminaux intègr</w:t>
      </w:r>
      <w:r>
        <w:rPr>
          <w:rFonts w:ascii="Times New Roman" w:hAnsi="Times New Roman" w:cs="Times New Roman"/>
          <w:sz w:val="28"/>
          <w:szCs w:val="28"/>
        </w:rPr>
        <w:t xml:space="preserve">ent le dispositif prévu au même </w:t>
      </w:r>
      <w:r>
        <w:rPr>
          <w:rFonts w:ascii="Times New Roman" w:hAnsi="Times New Roman" w:cs="Times New Roman"/>
          <w:sz w:val="28"/>
          <w:szCs w:val="28"/>
        </w:rPr>
        <w:t>premier alinéa ;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2° Les conditions dans lesquelles l’autor</w:t>
      </w:r>
      <w:r>
        <w:rPr>
          <w:rFonts w:ascii="Times New Roman" w:hAnsi="Times New Roman" w:cs="Times New Roman"/>
          <w:sz w:val="28"/>
          <w:szCs w:val="28"/>
        </w:rPr>
        <w:t xml:space="preserve">ité compétente peut restreindre </w:t>
      </w:r>
      <w:r>
        <w:rPr>
          <w:rFonts w:ascii="Times New Roman" w:hAnsi="Times New Roman" w:cs="Times New Roman"/>
          <w:sz w:val="28"/>
          <w:szCs w:val="28"/>
        </w:rPr>
        <w:t>ou interdire la mise sur le marché des équipem</w:t>
      </w:r>
      <w:r>
        <w:rPr>
          <w:rFonts w:ascii="Times New Roman" w:hAnsi="Times New Roman" w:cs="Times New Roman"/>
          <w:sz w:val="28"/>
          <w:szCs w:val="28"/>
        </w:rPr>
        <w:t xml:space="preserve">ents terminaux mentionnés audit </w:t>
      </w:r>
      <w:r>
        <w:rPr>
          <w:rFonts w:ascii="Times New Roman" w:hAnsi="Times New Roman" w:cs="Times New Roman"/>
          <w:sz w:val="28"/>
          <w:szCs w:val="28"/>
        </w:rPr>
        <w:t>premier alinéa qui présentent un risque ou un</w:t>
      </w:r>
      <w:r>
        <w:rPr>
          <w:rFonts w:ascii="Times New Roman" w:hAnsi="Times New Roman" w:cs="Times New Roman"/>
          <w:sz w:val="28"/>
          <w:szCs w:val="28"/>
        </w:rPr>
        <w:t xml:space="preserve">e non-conformité et celles dans </w:t>
      </w:r>
      <w:r>
        <w:rPr>
          <w:rFonts w:ascii="Times New Roman" w:hAnsi="Times New Roman" w:cs="Times New Roman"/>
          <w:sz w:val="28"/>
          <w:szCs w:val="28"/>
        </w:rPr>
        <w:t>lesquelles l’autorité compétente peut faire procéder</w:t>
      </w:r>
      <w:r>
        <w:rPr>
          <w:rFonts w:ascii="Times New Roman" w:hAnsi="Times New Roman" w:cs="Times New Roman"/>
          <w:sz w:val="28"/>
          <w:szCs w:val="28"/>
        </w:rPr>
        <w:t xml:space="preserve"> au rappel ou au retrait de ces </w:t>
      </w:r>
      <w:r>
        <w:rPr>
          <w:rFonts w:ascii="Times New Roman" w:hAnsi="Times New Roman" w:cs="Times New Roman"/>
          <w:sz w:val="28"/>
          <w:szCs w:val="28"/>
        </w:rPr>
        <w:t>derniers ;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3° Les modalités selon lesquelles les fabric</w:t>
      </w:r>
      <w:r>
        <w:rPr>
          <w:rFonts w:ascii="Times New Roman" w:hAnsi="Times New Roman" w:cs="Times New Roman"/>
          <w:sz w:val="28"/>
          <w:szCs w:val="28"/>
        </w:rPr>
        <w:t xml:space="preserve">ants contribuent à la diffusion </w:t>
      </w:r>
      <w:r>
        <w:rPr>
          <w:rFonts w:ascii="Times New Roman" w:hAnsi="Times New Roman" w:cs="Times New Roman"/>
          <w:sz w:val="28"/>
          <w:szCs w:val="28"/>
        </w:rPr>
        <w:t>de l’information disponible en matière de risques liés à l’</w:t>
      </w:r>
      <w:r>
        <w:rPr>
          <w:rFonts w:ascii="Times New Roman" w:hAnsi="Times New Roman" w:cs="Times New Roman"/>
          <w:sz w:val="28"/>
          <w:szCs w:val="28"/>
        </w:rPr>
        <w:t xml:space="preserve">utilisation de services </w:t>
      </w:r>
      <w:r>
        <w:rPr>
          <w:rFonts w:ascii="Times New Roman" w:hAnsi="Times New Roman" w:cs="Times New Roman"/>
          <w:sz w:val="28"/>
          <w:szCs w:val="28"/>
        </w:rPr>
        <w:t>de communication au public en ligne par les personnes mineures, à l’</w:t>
      </w:r>
      <w:r>
        <w:rPr>
          <w:rFonts w:ascii="Times New Roman" w:hAnsi="Times New Roman" w:cs="Times New Roman"/>
          <w:sz w:val="28"/>
          <w:szCs w:val="28"/>
        </w:rPr>
        <w:t xml:space="preserve">exposition </w:t>
      </w:r>
      <w:r>
        <w:rPr>
          <w:rFonts w:ascii="Times New Roman" w:hAnsi="Times New Roman" w:cs="Times New Roman"/>
          <w:sz w:val="28"/>
          <w:szCs w:val="28"/>
        </w:rPr>
        <w:t>précoce des enfants aux écrans et aux moyens de prévenir ces risques. »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II. – Le dernier alinéa du I de l’article L. 3</w:t>
      </w:r>
      <w:r>
        <w:rPr>
          <w:rFonts w:ascii="Times New Roman" w:hAnsi="Times New Roman" w:cs="Times New Roman"/>
          <w:sz w:val="28"/>
          <w:szCs w:val="28"/>
        </w:rPr>
        <w:t xml:space="preserve">4-9-3 du code des postes et des </w:t>
      </w:r>
      <w:r>
        <w:rPr>
          <w:rFonts w:ascii="Times New Roman" w:hAnsi="Times New Roman" w:cs="Times New Roman"/>
          <w:sz w:val="28"/>
          <w:szCs w:val="28"/>
        </w:rPr>
        <w:t>communications électroniques est applicable au</w:t>
      </w:r>
      <w:r>
        <w:rPr>
          <w:rFonts w:ascii="Times New Roman" w:hAnsi="Times New Roman" w:cs="Times New Roman"/>
          <w:sz w:val="28"/>
          <w:szCs w:val="28"/>
        </w:rPr>
        <w:t xml:space="preserve">x équipements terminaux dont la </w:t>
      </w:r>
      <w:r>
        <w:rPr>
          <w:rFonts w:ascii="Times New Roman" w:hAnsi="Times New Roman" w:cs="Times New Roman"/>
          <w:sz w:val="28"/>
          <w:szCs w:val="28"/>
        </w:rPr>
        <w:t>première mise sur le marché est postérieure à la publication du décret en Consei</w:t>
      </w:r>
      <w:r>
        <w:rPr>
          <w:rFonts w:ascii="Times New Roman" w:hAnsi="Times New Roman" w:cs="Times New Roman"/>
          <w:sz w:val="28"/>
          <w:szCs w:val="28"/>
        </w:rPr>
        <w:t xml:space="preserve">l </w:t>
      </w:r>
      <w:r>
        <w:rPr>
          <w:rFonts w:ascii="Times New Roman" w:hAnsi="Times New Roman" w:cs="Times New Roman"/>
          <w:sz w:val="28"/>
          <w:szCs w:val="28"/>
        </w:rPr>
        <w:t>d’État prévu au même article L. 34-9-3.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Numero" w:eastAsia="Numero" w:hAnsi="Times New Roman" w:cs="Numero"/>
          <w:sz w:val="34"/>
          <w:szCs w:val="34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 décret en Conseil d’État détermine les</w:t>
      </w:r>
      <w:r>
        <w:rPr>
          <w:rFonts w:ascii="Times New Roman" w:hAnsi="Times New Roman" w:cs="Times New Roman"/>
          <w:sz w:val="28"/>
          <w:szCs w:val="28"/>
        </w:rPr>
        <w:t xml:space="preserve"> conditions dans lesquelles les </w:t>
      </w:r>
      <w:r>
        <w:rPr>
          <w:rFonts w:ascii="Times New Roman" w:hAnsi="Times New Roman" w:cs="Times New Roman"/>
          <w:sz w:val="28"/>
          <w:szCs w:val="28"/>
        </w:rPr>
        <w:t>personnes mentionnées au dernier alinéa du I du</w:t>
      </w:r>
      <w:r>
        <w:rPr>
          <w:rFonts w:ascii="Times New Roman" w:hAnsi="Times New Roman" w:cs="Times New Roman"/>
          <w:sz w:val="28"/>
          <w:szCs w:val="28"/>
        </w:rPr>
        <w:t xml:space="preserve">dit article L. 34-9-3, pour les </w:t>
      </w:r>
      <w:r>
        <w:rPr>
          <w:rFonts w:ascii="Times New Roman" w:hAnsi="Times New Roman" w:cs="Times New Roman"/>
          <w:sz w:val="28"/>
          <w:szCs w:val="28"/>
        </w:rPr>
        <w:t xml:space="preserve">équipements dont la première mise sur le marché </w:t>
      </w:r>
      <w:r>
        <w:rPr>
          <w:rFonts w:ascii="Times New Roman" w:hAnsi="Times New Roman" w:cs="Times New Roman"/>
          <w:sz w:val="28"/>
          <w:szCs w:val="28"/>
        </w:rPr>
        <w:t xml:space="preserve">est antérieure à la publication </w:t>
      </w:r>
      <w:r>
        <w:rPr>
          <w:rFonts w:ascii="Times New Roman" w:hAnsi="Times New Roman" w:cs="Times New Roman"/>
          <w:sz w:val="28"/>
          <w:szCs w:val="28"/>
        </w:rPr>
        <w:t>du décret en Conseil d’État prévu au mê</w:t>
      </w:r>
      <w:r>
        <w:rPr>
          <w:rFonts w:ascii="Times New Roman" w:hAnsi="Times New Roman" w:cs="Times New Roman"/>
          <w:sz w:val="28"/>
          <w:szCs w:val="28"/>
        </w:rPr>
        <w:t xml:space="preserve">me article L. 34-9-3, informent </w:t>
      </w:r>
      <w:r>
        <w:rPr>
          <w:rFonts w:ascii="Times New Roman" w:hAnsi="Times New Roman" w:cs="Times New Roman"/>
          <w:sz w:val="28"/>
          <w:szCs w:val="28"/>
        </w:rPr>
        <w:t xml:space="preserve">l’utilisateur de l’existence de dispositifs lui </w:t>
      </w:r>
      <w:r>
        <w:rPr>
          <w:rFonts w:ascii="Times New Roman" w:hAnsi="Times New Roman" w:cs="Times New Roman"/>
          <w:sz w:val="28"/>
          <w:szCs w:val="28"/>
        </w:rPr>
        <w:t xml:space="preserve">permettant de restreindre ou de </w:t>
      </w:r>
      <w:r>
        <w:rPr>
          <w:rFonts w:ascii="Times New Roman" w:hAnsi="Times New Roman" w:cs="Times New Roman"/>
          <w:sz w:val="28"/>
          <w:szCs w:val="28"/>
        </w:rPr>
        <w:t>contrôler l’accès de personnes mineures à des se</w:t>
      </w:r>
      <w:r>
        <w:rPr>
          <w:rFonts w:ascii="Times New Roman" w:hAnsi="Times New Roman" w:cs="Times New Roman"/>
          <w:sz w:val="28"/>
          <w:szCs w:val="28"/>
        </w:rPr>
        <w:t xml:space="preserve">rvices et contenus susceptibles </w:t>
      </w:r>
      <w:r>
        <w:rPr>
          <w:rFonts w:ascii="Times New Roman" w:hAnsi="Times New Roman" w:cs="Times New Roman"/>
          <w:sz w:val="28"/>
          <w:szCs w:val="28"/>
        </w:rPr>
        <w:t>de nuire à l’épanouissement physique, mental ou moral des mineurs.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Article 3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bis</w:t>
      </w: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présente loi entre en vigueur à une date fixée par décret qui ne peut êtr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postérieure de plus de trois mois à la date de r</w:t>
      </w:r>
      <w:r>
        <w:rPr>
          <w:rFonts w:ascii="Times New Roman" w:hAnsi="Times New Roman" w:cs="Times New Roman"/>
          <w:sz w:val="28"/>
          <w:szCs w:val="28"/>
        </w:rPr>
        <w:t xml:space="preserve">éception par le Gouvernement de </w:t>
      </w:r>
      <w:r>
        <w:rPr>
          <w:rFonts w:ascii="Times New Roman" w:hAnsi="Times New Roman" w:cs="Times New Roman"/>
          <w:sz w:val="28"/>
          <w:szCs w:val="28"/>
        </w:rPr>
        <w:t>la réponse de la Commission européenne permett</w:t>
      </w:r>
      <w:r>
        <w:rPr>
          <w:rFonts w:ascii="Times New Roman" w:hAnsi="Times New Roman" w:cs="Times New Roman"/>
          <w:sz w:val="28"/>
          <w:szCs w:val="28"/>
        </w:rPr>
        <w:t xml:space="preserve">ant de considérer le dispositif </w:t>
      </w:r>
      <w:r>
        <w:rPr>
          <w:rFonts w:ascii="Times New Roman" w:hAnsi="Times New Roman" w:cs="Times New Roman"/>
          <w:sz w:val="28"/>
          <w:szCs w:val="28"/>
        </w:rPr>
        <w:t>législatif lui ayant été notifié comme conforme au droit de l’Union européenne.</w:t>
      </w:r>
    </w:p>
    <w:p w:rsidR="0040649C" w:rsidRDefault="0040649C" w:rsidP="0040649C">
      <w:pPr>
        <w:jc w:val="both"/>
      </w:pPr>
      <w:bookmarkStart w:id="0" w:name="_GoBack"/>
      <w:bookmarkEnd w:id="0"/>
    </w:p>
    <w:sectPr w:rsidR="0040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mero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9C"/>
    <w:rsid w:val="0040649C"/>
    <w:rsid w:val="00A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58F22-4C65-4FF2-AC15-9BE63125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836</Words>
  <Characters>4602</Characters>
  <Application>Microsoft Office Word</Application>
  <DocSecurity>0</DocSecurity>
  <Lines>38</Lines>
  <Paragraphs>10</Paragraphs>
  <ScaleCrop>false</ScaleCrop>
  <Company>Secrétariat Général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BORTOLUZZI Noemie</dc:creator>
  <cp:keywords/>
  <dc:description/>
  <cp:lastModifiedBy>BORTOLUZZI Noemie</cp:lastModifiedBy>
  <cp:revision>1</cp:revision>
  <dcterms:created xsi:type="dcterms:W3CDTF">2022-02-22T14:47:00Z</dcterms:created>
  <dcterms:modified xsi:type="dcterms:W3CDTF">2022-02-22T14:52:00Z</dcterms:modified>
</cp:coreProperties>
</file>