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4"/>
      </w:tblGrid>
      <w:tr w:rsidR="00080401" w:rsidRPr="00080401" w14:paraId="3EF4E0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21036" w14:textId="1470ADA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caps/>
                <w:sz w:val="24"/>
                <w:rFonts w:ascii="Times New Roman" w:hAnsi="Times New Roman"/>
              </w:rPr>
              <w:t xml:space="preserve">FEDERALNA SŁUŻBA PUBLICZNA DS. ZDROWIA</w:t>
            </w:r>
          </w:p>
        </w:tc>
      </w:tr>
      <w:tr w:rsidR="00080401" w:rsidRPr="00080401" w14:paraId="488AE5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5A416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Projekt ustawy o wprowadzeniu oceny możliwości naprawy i trwałości oraz rozpowszechnianiu informacji na temat okresu kompatybilności oprogramowania produktów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7A4BB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89BF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87188A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B7B367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FILIP,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E6A3CE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BELGÓW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B0270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do wszystkich żyjących i przyszłych obywateli,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CD592E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 POZDROWIENIAMI.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ECBB64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4354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Na wniosek naszego Ministra ds. Klimatu, Środowiska, Zrównoważonego Rozwoju i Zielonego Ładu,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7CE85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CE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3553BC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5F92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SPIS TREŚCI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F63E4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651FB7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Celem projektu tej ustawy jest promowanie napraw i wydłużania trwałości użytkowej produktów w celu ograniczenia ich wpływu na środowisko.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Projekt ustawy stanowi również podstawę prawną do stworzenia oceny możliwości naprawy, która zostanie uzupełniona o ocenę trwałości, obowiązek dostarczania informacji na temat okresu kompatybilności oprogramowania oraz rozporządzenia wykonawcze, które zostaną wydane w tym kontekście.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228D3E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3066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E3F1E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AF46B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8864A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NOTA WYJAŚNIAJĄCA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A490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4D893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Panie i panowie,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494FDD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DAB6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Projekt ten ma na celu promowanie napraw i wydłużania trwałości użytkowej produktów w celu ograniczenia ich wpływu na środowisko.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W tym celu wprowadza się ocenę możliwości naprawy i trwałości.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Te oceny są obliczane na podstawie obiektywnych kryteriów, które umożliwiają ocenę możliwości naprawy i trwałości produktu.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Projekt przewiduje również wprowadzenie obowiązku dostarczania informacji na temat okresu kompatybilności oprogramowania.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Obowiązek ten polega na informowaniu użytkownika końcowego o okresie, przez jaki produkt będzie w stanie przyjmować kolejne aktualizacje, które są niezbędne do jego prawidłowego funkcjonowania.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BA4FD2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Stworzenie oceny możliwości naprawy, która zostanie ostatecznie uzupełniona o ocenę trwałości i wprowadzenie obowiązku dostarczania informacji na temat okresu kompatybilności oprogramowania, ma na celu wydłużenie trwałości użytkowej produktów, co ze względów środowiskowych jest obecnie niezbędne.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39040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Każdego roku na rynek belgijski jest wprowadzanych około 160 milionów urządzeń elektrycznych i elektronicznych o masie 245 000 ton.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Szacuje się, że 420 milionów sztuk jest nadal w obiegu, z czego 87% nadal jest w użyciu.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Te urządzenia gospodarstwa domowego, od sprzętu RTV i AGD po małe urządzenia elektroniczne, takie jak smartfony i laptopy, mają znaczący wpływ na środowisko.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FFE810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Ponadto każdego roku wytwarzanych jest około 120 000 ton odpadów elektrycznych i elektronicznych.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Liczba ta jest w rzeczywistości zaniżona, ponieważ znaczna część tych odpadów znika za pośrednictwem kanałów, dla których nie przewiduje się żadnej metody rejestracji.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Część tych odpadów jest przetwarzana nielegalnymi kanałami.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Niektóre urządzenia wycofane z eksploatacji są nawet eksportowane do krajów, w których nie ma możliwości recyklingu i w których utylizacja odpadów odbywa się bez kontroli, ze szkodą dla środowiska i zdrowia.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Dłuższa trwałość użytkowa zmniejszy zatem ilość odpadów.</w:t>
            </w:r>
            <w:r>
              <w:rPr>
                <w:sz w:val="24"/>
                <w:rFonts w:ascii="Times New Roman" w:hAnsi="Times New Roman"/>
              </w:rPr>
              <w:t xml:space="preserve">    </w:t>
            </w:r>
          </w:p>
          <w:p w14:paraId="11A84A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Ponadto szybkie pozbywanie się tych produktów prowadzi do utraty znacznej ilości surowców.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W rzeczywistości około 14% śladu materiałowego związanego z wykorzystaniem towarów konsumpcyjnych przez belgijskie gospodarstwa domowe pochodzi z urządzeń elektrycznych.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Wydobycie surowców prowadzi do dużej presji środowiskowej na poziomie lokalnym w wyniku działalności wydobywczej.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Powoduje to poważne zakłócenia ekosystemów oraz lokalne skażenia wody i gleby.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Rosnące zapotrzebowanie na surowce prowadzi do planów otwarcia nowych kopalń w Europie.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Rośnie również zapotrzebowanie na górnictwo głębinowe na dużą skalę.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Takie wydobycie doprowadziłoby do zakłócenia środowiska morskiego.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Niektóre z tych surowców są uważane za krytyczne, tj. są ważne z ekonomicznego punktu widzenia, ale nie są one pozyskiwane ze względów gospodarczych lub geopolitycznych.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03169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Lista surowców uznanych za krytyczne, po raz pierwszy sporządzona przez Komisję Europejską w 2011 r., powiększa się w miarę jej aktualizacji.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Stanowi to zatem zagrożenie dla transformacji energetycznej i cyfryzacji, które wymagają wielu surowców uznanych za krytyczne, zwłaszcza w dziedzinie tworzenia infrastruktury do wytwarzania i magazynowania zielonej energii (panele słoneczne, turbiny wiatrowe i akumulatory).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2ACEB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Produkcja urządzeń elektrycznych jest źródłem znacznych emisji CO2.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Około 16% śladu węglowego związanego z wykorzystaniem towarów konsumpcyjnych przez belgijskie gospodarstwa domowe pochodzi z urządzeń elektrycznych.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Produkcja urządzeń elektrycznych powoduje emisję około 3 000 000 ton CO2 rocznie.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Dłuższa trwałość użytkowa urządzeń prowadzi zatem do zmniejszenia emisji CO2 w całym łańcuchu produkcyjnym.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ED71E5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Ze względów społeczno-ekonomicznych pożądane jest również, aby na rynku była dostępna większa liczba urządzeń, które są łatwiejsze do naprawy.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Podczas gdy nowe urządzenia są produkowane głównie poza Belgią, naprawa wpływa na tworzenie miejsc pracy na szczeblu lokalnym.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Branża napraw już dziś odgrywa istotną rolę.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Belg wydaje średnio 10 euro rocznie na naprawę sprzętu gospodarstwa domowego.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Ta kwota uwzględnia tylko te naprawy, dla których istnieją oficjalne dane liczbowe.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Szacunki wskazują, że w praktyce około połowa napraw odbywa się w środowisku nieoficjalnym.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Dłuższa trwałość użytkowa zmniejsza koszt cyklu życia urządzenia.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Jest to koszt, który uwzględnia zarówno cenę zakupu, jak i trwałość użytkową urządzenia, a także koszt jego konserwacji i napraw.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Studia przypadków dla odkurzaczy i pralek pokazują, że naprawa urządzenia jest często tańsza niż zastąpienie go nowym.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Urządzenia o dłuższej trwałości użytkowej tworzą również większy rynek sprzedaży urządzeń używanych.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Prawie 40% gospodarstw domowych posiada jedno lub więcej urządzeń używanych.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10% urządzeń to urządzenia używane.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21% używanych urządzeń elektrycznych zastępuje nowe.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Nie tylko zmniejsza to szkody środowiskowe, ale także zapewnia urządzenia w niższej cenie, dzięki czemu urządzenia dobrej jakości są dostępne dla większej liczby osób.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B36B3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Niniejsza inicjatywa ustawodawcza jest częścią federalnego planu działania na rzecz gospodarki o obiegu zamkniętym przyjętego przez Radę Ministrów w dniu 17 grudnia 2021 r.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Jest ona w dużej mierze zainspirowana przez Francję, która wdrożyła ocenę możliwości naprawy oraz obowiązek dostarczania informacji na temat kompatybilności oprogramowania w dniu 1</w:t>
            </w:r>
            <w:r>
              <w:rPr>
                <w:sz w:val="24"/>
                <w:rFonts w:ascii="Times New Roman" w:hAnsi="Times New Roman"/>
              </w:rPr>
              <w:t xml:space="preserve"> stycznia 2021 r. w ramach ustawy o przeciwdziałaniu odpadom oraz na rzecz gospodarki o obiegu zamkniętym ogłoszonej 10 lutego 2020 r.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7263BA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Niniejsza inicjatywa ustawodawcza przyczynia się zatem do ochrony środowiska naturalnego poprzez promowanie produktów trwałych i zapewniających możliwość naprawy.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Ułatwi ona użytkownikowi końcowemu uzyskanie informacji na temat możliwości naprawy i trwałości produktu, który chce kupić.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Po drugie, przewiduje ona, że wprowadzenie omawianych produktów do obrotu będzie uzależnione od uzyskania minimalnego wyniku.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0CA975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Projekt ustawy jest zatem narzędziem do walki z szybkim starzeniem się produktów, tak aby uniknąć ich przedwczesnej utylizacji i zachować zasoby naturalne niezbędne do ich produkcji.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1C7DC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Zakres tych środków będzie realizowany etapami.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Kategorie produktów, o których mowa, zostaną zdefiniowane i mogą zostać poszerzone na mocy dekretów królewskich rozpatrzonych w Radzie Ministrów.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123C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Przekazywanie ocen oraz informacji na temat kompatybilności oprogramowania zostanie również określone w dekrecie królewskim.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Jest to uzasadnione z organizacyjnego punktu widzenia.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Praca etapowa zapewnia praktyczną wykonalność tych środków, które wymagają pewnego czasu na dostosowanie.</w:t>
            </w:r>
            <w:r>
              <w:rPr>
                <w:sz w:val="24"/>
                <w:rFonts w:ascii="Times New Roman" w:hAnsi="Times New Roman"/>
              </w:rPr>
              <w:t xml:space="preserve">   </w:t>
            </w:r>
          </w:p>
        </w:tc>
      </w:tr>
      <w:tr w:rsidR="00080401" w:rsidRPr="00080401" w14:paraId="6E75A05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39A4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47C2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4704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UWAGI DO ARTYKUŁÓW</w:t>
            </w:r>
            <w:r>
              <w:rPr>
                <w:sz w:val="24"/>
                <w:b/>
                <w:u w:val="single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8C7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BE9F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sz w:val="24"/>
                <w:rFonts w:ascii="Times New Roman" w:hAnsi="Times New Roman"/>
              </w:rPr>
              <w:t xml:space="preserve">Artykuł 1</w:t>
            </w:r>
            <w:r>
              <w:rPr>
                <w:sz w:val="19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6B68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F704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określa konstytucyjne podstawy kompetencji.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10BBE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B11E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AE36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A8D1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zawiera definicje poszczególnych terminów użytych w ustawie i jej dekretach.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66F30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A3EA7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3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A9DD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55F6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zawiera cel ustawy.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1A44E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B4332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4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64E96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1B8B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W tym artykule określono kryteria, które należy wziąć pod uwagę przy ustalaniu oceny możliwości naprawy.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7A929A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rozpatrzonego w Radzie Ministrów listę produktów objętych oceną możliwości naprawy, normy techniczne według kategorii produktów umożliwiające ustalenie wyników dla każdego z kryteriów oceny oraz sposób obliczania ogólnej oceny możliwości naprawy.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B034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metody i format komunikacji oceny, a także dostępność norm technicznych.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5C8BF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rozpatrzonego w Radzie Ministrów minimalną wartość oceny możliwości naprawy dla każdej odpowiedniej kategorii produktów jako warunek ich wprowadzenia do obrotu.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Regiony są zaangażowane w ten projekt dekretu królewskiego w ramach Międzyresortowej Konferencji ds. Środowiska.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Zwrócono się do Centralnej Rady Gospodarczej, Rady ds. Konsumentów i Federalnej Rady ds. Zrównoważonego Rozwoju o wydanie opinii w sprawie tego projektu dekretu królewskiego.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15F76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AF2741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D618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071E1F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5C9B9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przewiduje, że osoba odpowiedzialna za wprowadzenie produktów na rynek będzie zobowiązana do dostarczenia informacji na temat okresu kompatybilności oprogramowania tych produktów.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5C954F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rozpatrzonego w Radzie Ministrów wykaz objętych nim produktów.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7CD0C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metody i format komunikacji informacji na temat okresu kompatybilności oprogramowania.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Król określa również dostępność parametrów, które umożliwiły ustalenie okresu kompatybilności oprogramowania.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</w:tc>
      </w:tr>
      <w:tr w:rsidR="00080401" w:rsidRPr="00080401" w14:paraId="7299DE1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F7202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0B4B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B369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rozpatrzonego w Radzie Ministrów listę produktów objętych oceną trwałości, normy techniczne według kategorii produktów umożliwiające ustalenie wyników dla każdego z kryteriów oceny oraz sposób obliczania ogólnej oceny trwałości.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198E9F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metody i format komunikacji oceny, a także dostępność norm technicznych.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25540D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rozpatrzonego w Radzie Ministrów minimalną wartość oceny trwałości dla każdej odpowiedniej kategorii produktów jako warunek ich wprowadzenia do obrotu.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Regiony są zaangażowane w ten projekt dekretu królewskiego w ramach Międzyresortowej Konferencji ds. Środowiska.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Zwrócono się do Centralnej Rady Gospodarczej, Rady ds. Konsumentów i Federalnej Rady ds. Zrównoważonego Rozwoju o wydanie opinii w sprawie tego projektu dekretu królewskiego.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3BA4445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W niniejszym artykule ustanawia się kryterium oceny trwałości, które w drugim etapie uzupełni ocenę możliwości naprawy.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DF13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4F1A1A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3ABC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7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A1FD2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D230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przewiduje przetwarzanie danych osobowych w art. 8, 9, 10 i 11.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FA3C10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932EF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8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23DA8F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31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określa odpowiedzialność producentów, importerów, dystrybutorów i sprzedawców produktów poprzez rozróżnienie między dostarczaniem informacji a rozpowszechnianiem informacji.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48E8F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91DC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48EBBE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1DF4A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określa inspektorów właściwych do kontroli projektu ustawy.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Są to służby kontrolne Dyrekcji Generalnej ds. Środowiska Federalnej Służby Publicznej ds. Zdrowia, Bezpieczeństwa Łańcucha Żywnościowego oraz Środowiska.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3F182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Król określa na mocy dekretu królewskiego przepisy techniczne dotyczące kontroli, w tym w kontekście kontroli produktów sprzedawanych online.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2095CF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B730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3372E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3F4B4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zawiera system sankcji karnych przewidzianych w art. 4 ust. 4 i art. 6 ust. 4.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E7F6B4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539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26040B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42CA8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zawiera przepisy proceduralne mające zastosowanie do sankcji karnych.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717AF5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9F4B4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5EA16E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AF9B6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zawiera system sankcji administracyjnych przewidzianych w projekcie ustawy.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FBADDE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7CD31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Artykuł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B59F02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E03B9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Ten artykuł dotyczy wejścia w życie ustawy, a konkretnie sześć miesięcy po jej opublikowaniu w belgijskim Dzienniku Urzędowym.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49F0B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011F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0A51C2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9198F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NINIEJSZYM USTANAWIAMY, CO NASTĘPUJE: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66F487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35223D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449058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3CC4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Minister ds. Klimatu, Środowiska, Zrównoważonego Rozwoju i Zielonego Ładu jest odpowiedzialny za wprowadzenie w naszym imieniu do Izby Reprezentantów następującego projektu ustawy: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95015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519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6B404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60536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I – Przepisy wstępne</w:t>
            </w: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1334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925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516A9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1F6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 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6162BDF" w14:textId="77777777" w:rsidTr="00080401">
        <w:trPr>
          <w:trHeight w:val="57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720AD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Niniejsza ustawa reguluje kwestię, o której mowa w art. 74 Konstytucji.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890569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E077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F2526A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569ED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Do celów niniejszej ustawy stosuje się następujące definicje: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18A2F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E30465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„ocena możliwości naprawy”: ocena możliwości demontażu i naprawy produktu;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D07D11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 „kompatybilność oprogramowania”: informacje na temat okresu, przez jaki producent lub dostawca obsługują i aktualizują system operacyjny lub oprogramowanie w celu zapewnienia normalnego użytkowania produktu przez ostrożnego i rozsądnego użytkownika;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FEE77B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 „ocena trwałości”: ocena solidności i niezawodności produktu;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737F3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 „norma techniczna”: norma dotycząca charakterystyki technicznej produktu w celu obliczenia wyniku dla każdego kryterium;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BE47C1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 „instrukcja konserwacji”: dokument informacyjny mający na celu wyjaśnienie i ułatwienie konserwacji produktu;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7790B5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(6) „instrukcja naprawy”:</w:t>
            </w:r>
            <w:r>
              <w:rPr>
                <w:sz w:val="24"/>
                <w:rFonts w:ascii="Times New Roman" w:hAnsi="Times New Roman"/>
              </w:rPr>
              <w:t xml:space="preserve">  </w:t>
            </w:r>
            <w:r>
              <w:rPr>
                <w:sz w:val="24"/>
                <w:rFonts w:ascii="Times New Roman" w:hAnsi="Times New Roman"/>
              </w:rPr>
              <w:t xml:space="preserve">dokument informacyjny mający na celu wyjaśnienie i ułatwienie naprawy produktu;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9B40C8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(7) „niezawodność produktu”: prawdopodobieństwo, że produkt będzie pełnił swoje zamierzone funkcje w określonym czasie;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B515250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(8) „solidność produktu”: solidność i wytrzymałość produktu;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9CF948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(9) „wprowadzenie do obrotu”:</w:t>
            </w:r>
            <w:r>
              <w:rPr>
                <w:sz w:val="24"/>
                <w:rFonts w:ascii="Times New Roman" w:hAnsi="Times New Roman"/>
              </w:rPr>
              <w:t xml:space="preserve">  </w:t>
            </w:r>
            <w:r>
              <w:rPr>
                <w:sz w:val="24"/>
                <w:rFonts w:ascii="Times New Roman" w:hAnsi="Times New Roman"/>
              </w:rPr>
              <w:t xml:space="preserve">wprowadzanie, importowanie lub przechowywanie w celu sprzedaży lub udostępnianie stronom trzecim, oferowanie sprzedaży, sprzedaż, wynajem, leasing lub przekazanie odpłatnie lub nieodpłatnie, w tym sprzedaż online;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B8244E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(10)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„osoba odpowiedzialna za wprowadzenie do obrotu”: producenci, importerzy, dystrybutorzy i sprzedawcy produktów objętych oceną możliwości naprawy i trwałości oraz obowiązkiem dostarczania informacji na temat okresu kompatybilności oprogramowania.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7F9B2D4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D94F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8CC7A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97EF23" w14:textId="77777777" w:rsidTr="00080401">
        <w:trPr>
          <w:trHeight w:val="48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C1DF14" w14:textId="74ABF0CD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24"/>
                <w:szCs w:val="24"/>
                <w:rFonts w:ascii="Times New Roman" w:eastAsia="Times New Roman" w:hAnsi="Times New Roman" w:cs="Times New Roman"/>
              </w:rPr>
            </w:pPr>
            <w:r>
              <w:rPr>
                <w:color w:val="000000"/>
                <w:sz w:val="24"/>
                <w:shd w:val="clear" w:color="auto" w:fill="FFFFFF"/>
                <w:rStyle w:val="normaltextrun"/>
                <w:b/>
                <w:rFonts w:ascii="Times New Roman" w:hAnsi="Times New Roman"/>
              </w:rPr>
              <w:t xml:space="preserve">ROZDZIAŁ II – Przepisy ogólne</w:t>
            </w:r>
            <w:r>
              <w:rPr>
                <w:color w:val="000000"/>
                <w:sz w:val="24"/>
                <w:shd w:val="clear" w:color="auto" w:fill="FFFFFF"/>
                <w:rStyle w:val="eop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8925D4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BDE8A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538D7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1233A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E5F231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F03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F1B1E1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Celem tej ustawy jest ochrona środowiska poprzez wprowadzenie oceny możliwości naprawy, która zostanie uzupełniona oceną trwałości, a także informowanie o kompatybilności oprogramowania produktów w celu promowania ich naprawy i wydłużenia okresu ich użytkowania.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Produkty objęte niniejszą ustawą odnoszą się wyłącznie do sprzedawanych nowych produktów, z wyłączeniem produktów używanych.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7876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1FA34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36C33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61564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III – Ocena możliwości naprawy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22E45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ED143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FCDCFB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2DE599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4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54D9F0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73F2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Dla produktów, o których mowa w art. 4 ust. 2, ustala się ocenę możliwości naprawy na podstawie następujących kryteriów: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C2DBB0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Dostępność informacji technicznych oraz instrukcji konserwacji i naprawy.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16D579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(2)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Łatwość demontażu danego produktu.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AC6C18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(3)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Dostępność na rynku części zamiennych oraz czas ich dostawy.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5FA56C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(4)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Cena części zamiennych.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FE076F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(5)</w:t>
            </w:r>
            <w:r>
              <w:rPr>
                <w:sz w:val="24"/>
                <w:rFonts w:ascii="Times New Roman" w:hAnsi="Times New Roman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Inne kryteria związane z produktem.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141F8E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0AF61E0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EEA5B8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rozpatrzonego w Radzie Ministrów listę produktów objętych oceną możliwości naprawy oraz normy techniczne według kategorii produktów umożliwiające ustalenie wyników dla każdego z powyższych kryteriów.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również sposób obliczania ogólnej oceny możliwości naprawy.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FC6A00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metody i format komunikacji oceny możliwości naprawy.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również dostępność norm technicznych i obliczenie wyniku.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1F6707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rozpatrzonego w Radzie Ministrów minimalną wartość oceny możliwości naprawy dla każdej odpowiedniej kategorii produktów określonych w art. 4 ust. 2 niniejszej ustawy jako warunek ich wprowadzenia do obrotu.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Regiony są zaangażowane w ten projekt dekretu królewskiego w ramach Międzyresortowej Konferencji ds. Środowiska.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Zwrócono się do Centralnej Rady Gospodarczej, Rady ds. Konsumentów i Federalnej Rady ds. Zrównoważonego Rozwoju o wydanie opinii w sprawie tego projektu dekretu królewskiego.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645F82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DA83534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98AA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5BA2288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DE94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IV – Informacje na temat kompatybilności oprogramowania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71089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B6C9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ECF3FB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2A3B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5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27115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CCAEC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W przypadku produktów, o których mowa w art. 5 ust. 2, osoba odpowiedzialna za wprowadzenie do obrotu dostarcza</w:t>
            </w:r>
            <w:r>
              <w:rPr>
                <w:sz w:val="24"/>
                <w:rFonts w:ascii="Times New Roman" w:hAnsi="Times New Roman"/>
              </w:rPr>
              <w:t xml:space="preserve"> użytkownikowi końcowemu informacje na temat okresu kompatybilności oprogramowania.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A597A2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Ocena utrzymania cech występujących przy zakupie produktu uwzględnia zużycie związane z czasem, przez jaki produkt jest używany przez ostrożnego i starannego użytkownika.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5AF379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DF4F33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922C6D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633F63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rozpatrzonego w Radzie Ministrów wykaz produktów objętych obowiązkiem dostarczania informacji na temat okresu kompatybilności oprogramowania.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727A2F7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47CCA7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metody i format komunikacji informacji na temat kompatybilności oprogramowania.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również dostępność parametrów, które umożliwiły ustalenie okresu kompatybilności oprogramowania.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7009B18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EEF28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60287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EBE294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V – Ocena trwałości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F116CA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FE7D1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D8F54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828E0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6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D3F0C4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BB915F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Ocena trwałości, która uzupełnia ocenę możliwości naprawy, o której mowa w art. 4, dla produktów, o których mowa w art. 6 ust. 2, obliczona na podstawie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szczególnej niezawodności i solidności każdej kategorii produktów.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CC4DD4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rozpatrzonego w Radzie Ministrów listę produktów objętych oceną trwałości oraz normy techniczne umożliwiające ustalenie wyników i metodę obliczania wyników.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2769B8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metody i format komunikacji oceny trwałości.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również dostępność informacji, które umożliwiły ustalenie oceny trwałości.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1DDF5E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królewskiego rozpatrzonego w Radzie Ministrów minimalną wartość oceny trwałości dla każdej odpowiedniej kategorii produktów określonych w art. 6 ust. 2 niniejszej ustawy jako warunek ich wprowadzenia do obrotu.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Regiony są zaangażowane w ten projekt dekretu królewskiego w ramach Międzyresortowej Konferencji ds. Środowiska.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Zwrócono się do Centralnej Rady Gospodarczej, Rady ds. Konsumentów i Federalnej Rady ds. Zrównoważonego Rozwoju o wydanie opinii w sprawie tego projektu dekretu królewskiego.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644A7C8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C6D0F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b/>
                <w:rFonts w:ascii="Times New Roman" w:hAnsi="Times New Roman"/>
              </w:rPr>
              <w:t xml:space="preserve">Rozdział VI – Przetwarzanie danych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C07B43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980BC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B0C16D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9A9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Artykuł 7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46A5B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D4D74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Federalna Służba Publiczna ds. Zdrowia jest jedyną organizacją publiczną właściwą i odpowiedzialną za przetwarzanie danych osobowych w ramach art. 8, 9, 10 i 11 niniejszej ustawy.</w:t>
            </w:r>
            <w:r>
              <w:rPr>
                <w:sz w:val="24"/>
                <w:rFonts w:ascii="Times New Roman" w:hAnsi="Times New Roman"/>
              </w:rPr>
              <w:t xml:space="preserve"> 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Maksymalny okres przechowywania danych osobowych, które mają być przetwarzane, wynosi pięć lat.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4F4AE4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8106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Rozdział VII – Odpowiedzialność</w:t>
            </w:r>
            <w:r>
              <w:rPr>
                <w:rFonts w:ascii="Times New Roman" w:hAnsi="Times New Roman"/>
              </w:rPr>
              <w:t xml:space="preserve"> </w:t>
            </w:r>
          </w:p>
          <w:p w14:paraId="4AE4C20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608C21C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CFDAC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94C3C5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0B807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b/>
                <w:rFonts w:ascii="Times New Roman" w:hAnsi="Times New Roman"/>
              </w:rPr>
              <w:t xml:space="preserve">Artykuł 8</w:t>
            </w:r>
            <w:r>
              <w:rPr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0351C5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3605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Producenci i importerzy produktów, o których mowa w art. 4 ust. 2, art. 5 ust. 2 i art. 6 ust. 2 niniejszej ustawy, są odpowiedzialni za zapewnienie oceny możliwości naprawy,</w:t>
            </w:r>
            <w:r>
              <w:rPr>
                <w:sz w:val="24"/>
                <w:rFonts w:ascii="Times New Roman" w:hAnsi="Times New Roman"/>
              </w:rPr>
              <w:t xml:space="preserve"> oceny trwałości oraz informacji na temat okresu kompatybilności oprogramowania produktów.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288302A8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4509AAD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Sprzedawcy i dystrybutorzy produktów, o których mowa w art. 4 ust. 2, art. 5 ust. 2 i art. 6 ust. 2 niniejszej ustawy, są odpowiedzialni za przekazanie oceny możliwości naprawy, oceny</w:t>
            </w:r>
            <w:r>
              <w:rPr>
                <w:sz w:val="24"/>
                <w:rFonts w:ascii="Times New Roman" w:hAnsi="Times New Roman"/>
              </w:rPr>
              <w:t xml:space="preserve"> trwałości oraz informacji na temat okresu kompatybilności oprogramowania produktów.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EEBE2B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Są oni również odpowiedzialni za dostęp do informacji technicznych.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A65031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228710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8D2746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707A333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5407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VIII – Kontrola i sankcje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1E1657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0CB751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5585BB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FE1AD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9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A8AA01E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3120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Wdrożenie tej ustawy będzie nadzorowane przez departament kontroli Dyrekcji Generalnej ds. Środowiska Federalnej Służby Publicznej ds. Zdrowia, Bezpieczeństwa Łańcucha Żywnościowego oraz Środowiska.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B97B09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555EA27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Król określa na mocy dekretu ministerialnego przepisy techniczne dotyczące kontroli, w tym w kontekście kontroli produktów sprzedawanych online, w tym zasady nakładania kar administracyjnych.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</w:tc>
      </w:tr>
      <w:tr w:rsidR="00080401" w:rsidRPr="00080401" w14:paraId="22DF77F0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D7B4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C4DE62F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8F28C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10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10EFBD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8486B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Każdy, kto narusza art. 4 ust. 4 i art. 6 ust. 4 niniejszej ustawy, podlega karze grzywny w wysokości od 100 do 100 000 EUR.</w:t>
            </w:r>
            <w:r>
              <w:rPr>
                <w:sz w:val="24"/>
                <w:rFonts w:ascii="Segoe UI" w:hAnsi="Segoe UI"/>
              </w:rPr>
              <w:t xml:space="preserve">  </w:t>
            </w:r>
          </w:p>
          <w:p w14:paraId="7E302A89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Kary grzywny przewidziane w § 1 muszą zostać podwyższone zgodnie z ustawą z dnia 5 marca 1952 r. o opłatach dodatkowych do kar grzywny.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8DCBBB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671AFFC6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1D33F0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02598D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Times New Roman" w:hAnsi="Times New Roman"/>
              </w:rPr>
              <w:t xml:space="preserve">W celu ochrony środowiska sędzia karny może zarządzić następujące środki:</w:t>
            </w: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6D64DA13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(1) zakaz importu produktu będącego przedmiotem wykroczenia;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(2) wycofanie z obrotu produktu będącego przedmiotem wykroczenia;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  <w:r>
              <w:rPr>
                <w:sz w:val="24"/>
                <w:rFonts w:ascii="Times New Roman" w:hAnsi="Times New Roman"/>
              </w:rPr>
              <w:br/>
            </w:r>
            <w:r>
              <w:rPr>
                <w:sz w:val="24"/>
                <w:rFonts w:ascii="Times New Roman" w:hAnsi="Times New Roman"/>
              </w:rPr>
              <w:t xml:space="preserve">(3) opublikowanie orzeczenia według uznania sędziego oraz na koszt skazanego.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E2B241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F76F0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11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05324B8A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D0BA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1.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Członkowie personelu statutowego lub kontraktowego powołanego przez króla zgodnie z art. 9 ust. 2 niniejszej ustawy przesyłają protokół stwierdzający popełnienie wykroczenia.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F14EDAC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30EE9775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2.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Prokurator podejmuje decyzję o wszczęciu postępowania karnego.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Postępowanie karne wyklucza możliwość zastosowania kary administracyjnej, nawet jeśli w przypadku uniewinnienia postępowanie zostanie zamknięte.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4C35314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6FB400" w14:textId="77777777" w:rsidR="00880EA5" w:rsidRDefault="00080401" w:rsidP="00080401">
            <w:pPr>
              <w:spacing w:after="0" w:line="240" w:lineRule="auto"/>
              <w:jc w:val="both"/>
              <w:textAlignment w:val="baseline"/>
              <w:rPr>
                <w:sz w:val="24"/>
                <w:rFonts w:ascii="Segoe UI" w:hAnsi="Segoe UI"/>
              </w:rPr>
            </w:pPr>
            <w:r>
              <w:rPr>
                <w:sz w:val="24"/>
                <w:rFonts w:ascii="Segoe UI" w:hAnsi="Segoe UI"/>
              </w:rPr>
              <w:t xml:space="preserve">§ 3.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W ciągu trzech miesięcy od daty otrzymania protokołu prokurator ma obowiązek powiadomić o swojej decyzji urzędnika wyznaczonego przez Króla zgodnie z art. 9 ust. 2 niniejszej ustawy.</w:t>
            </w:r>
          </w:p>
          <w:p w14:paraId="2FB05F77" w14:textId="09083F43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W przypadku gdy prokurator odstąpi od postępowania karnego lub nie powiadomi o swojej decyzji w wyznaczonym terminie, zgodnie z art. 9 ust. 2 niniejszej ustawy urzędnik rządowy wyznaczony przez Króla, zgodnie z warunkami przez niego ustanowionymi, podejmuje decyzję, po umożliwieniu zainteresowanej osobie przedstawienia obrony, czy stosowne jest zaproponowanie kary administracyjnej w związku z popełnionym wykroczeniem.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1C4B1693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 4.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Urzędnik może zaproponować sprawcy karę administracyjną po umożliwieniu zainteresowanej osobie przedstawienia obrony.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W przypadku braku propozycji kary administracyjnej protokół przekazuje się prokuratorowi.</w:t>
            </w:r>
            <w:r>
              <w:rPr>
                <w:sz w:val="24"/>
                <w:rFonts w:ascii="Segoe UI" w:hAnsi="Segoe UI"/>
              </w:rPr>
              <w:t xml:space="preserve"> </w:t>
            </w:r>
            <w:r>
              <w:rPr>
                <w:sz w:val="24"/>
                <w:rFonts w:ascii="Segoe UI" w:hAnsi="Segoe UI"/>
              </w:rPr>
              <w:t xml:space="preserve">W przypadku złożenia propozycji kary administracyjnej kopię protokołu przesyła się prokuratorowi do celów informacyjnych.</w:t>
            </w:r>
            <w:r>
              <w:rPr>
                <w:sz w:val="24"/>
                <w:rFonts w:ascii="Segoe UI" w:hAnsi="Segoe UI"/>
              </w:rPr>
              <w:t xml:space="preserve"> </w:t>
            </w:r>
          </w:p>
          <w:p w14:paraId="07ADBDAD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F525922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7609D0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8ACF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12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103EC49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74136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Segoe UI" w:hAnsi="Segoe UI"/>
              </w:rPr>
              <w:t xml:space="preserve">§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1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 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Niezależnie od zgodności z art. 10 niniejszej ustawy kara administracyjna w wysokości od 100 do 30 000 EUR nakładana jest w przypadku naruszenia art. 4, 5 i 6.</w:t>
            </w:r>
            <w:r>
              <w:rPr>
                <w:sz w:val="24"/>
                <w:color w:val="000000"/>
                <w:rFonts w:ascii="Times New Roman" w:hAnsi="Times New Roman"/>
              </w:rPr>
              <w:t xml:space="preserve"> </w:t>
            </w:r>
          </w:p>
          <w:p w14:paraId="3018CFFA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42EF6BF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60E64EE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2.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Opłaty dodatkowe, o których mowa w art. 1 ust. 1 ustawy z dnia 5 marca 1952 r. o opłatach dodatkowych do kar grzywny, stosuje się również do kar administracyjnych, o których mowa w §1 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niniejszego artykułu.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 </w:t>
            </w:r>
          </w:p>
          <w:p w14:paraId="2142FC1E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color w:val="000000"/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1CED5E7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3.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Za zarządzanie i wydawanie kar administracyjnych odpowiada Wydział Prawny Federalnej Służby Publicznej ds. Zdrowia, Bezpieczeństwa Łańcucha Żywnościowego oraz Środowiska.</w:t>
            </w:r>
            <w:r>
              <w:rPr>
                <w:color w:val="000000"/>
                <w:sz w:val="24"/>
                <w:rFonts w:ascii="Segoe UI" w:hAnsi="Segoe UI"/>
              </w:rPr>
              <w:t xml:space="preserve"> </w:t>
            </w:r>
          </w:p>
          <w:p w14:paraId="16F0D1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2FB2C7EB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78AC5324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color w:val="000000"/>
                <w:sz w:val="24"/>
                <w:rFonts w:ascii="Segoe UI" w:hAnsi="Segoe UI"/>
              </w:rPr>
              <w:t xml:space="preserve">§ 4.</w:t>
            </w:r>
            <w:r>
              <w:rPr>
                <w:color w:val="000000"/>
                <w:sz w:val="24"/>
                <w:rFonts w:ascii="Segoe UI" w:hAnsi="Segoe UI"/>
              </w:rPr>
              <w:t xml:space="preserve"> </w:t>
            </w:r>
            <w:r>
              <w:rPr>
                <w:color w:val="000000"/>
                <w:sz w:val="24"/>
                <w:rFonts w:ascii="Segoe UI" w:hAnsi="Segoe UI"/>
              </w:rPr>
              <w:t xml:space="preserve">Kary administracyjne nakładane w wyniku protokołu sporządzonego przez departamenty, o których mowa w art. 9 ust. 1, są wypłacane Funduszowi Budżetowemu na surowce i produkty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.</w:t>
            </w:r>
            <w:r>
              <w:rPr>
                <w:color w:val="000000"/>
                <w:sz w:val="24"/>
                <w:rFonts w:ascii="Times New Roman" w:hAnsi="Times New Roman"/>
              </w:rPr>
              <w:t xml:space="preserve"> </w:t>
            </w:r>
          </w:p>
          <w:p w14:paraId="05FE84F1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C25EF06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82FFD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4973EE5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FAB85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ROZDZIAŁ IX – Przepisy końcowe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CBD48C9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BAEC9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F48C1A5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E12E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b/>
                <w:rFonts w:ascii="Times New Roman" w:hAnsi="Times New Roman"/>
              </w:rPr>
              <w:t xml:space="preserve">Artykuł 13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26D17A42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9D5F2" w14:textId="77777777" w:rsidR="00080401" w:rsidRPr="00080401" w:rsidRDefault="00080401" w:rsidP="00080401">
            <w:pPr>
              <w:spacing w:after="0" w:line="240" w:lineRule="auto"/>
              <w:jc w:val="both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Niniejsza ustawa wchodzi w życie sześć miesięcy po dacie publikacji w belgijskim Dzienniku Urzędowym.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963BDF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4C0B8B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5E49F71F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BB135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Wydano w Brukseli dnia .../.../2022 r.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7AAD46D3" w14:textId="77777777" w:rsidTr="00080401">
        <w:trPr>
          <w:trHeight w:val="300"/>
        </w:trPr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9A5B4C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W imieniu Króla: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2E2A157" w14:textId="77777777" w:rsidTr="00080401">
        <w:trPr>
          <w:trHeight w:val="2235"/>
        </w:trPr>
        <w:tc>
          <w:tcPr>
            <w:tcW w:w="90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831326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13827472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B9F2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0E994ECE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A70E5B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48287B4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 </w:t>
            </w:r>
          </w:p>
          <w:p w14:paraId="540D8983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FILIPA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26614E11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  <w:p w14:paraId="7DFCB618" w14:textId="77777777" w:rsidR="00080401" w:rsidRPr="00080401" w:rsidRDefault="00080401" w:rsidP="00080401">
            <w:pPr>
              <w:spacing w:after="0" w:line="240" w:lineRule="auto"/>
              <w:jc w:val="center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61C22787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472BB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sz w:val="18"/>
                <w:szCs w:val="18"/>
                <w:rFonts w:ascii="Segoe UI" w:eastAsia="Times New Roman" w:hAnsi="Segoe UI" w:cs="Segoe UI"/>
              </w:rPr>
            </w:pPr>
            <w:r>
              <w:rPr>
                <w:sz w:val="24"/>
                <w:rFonts w:ascii="Times New Roman" w:hAnsi="Times New Roman"/>
              </w:rPr>
              <w:t xml:space="preserve">Minister ds. Klimatu, Środowiska, Zrównoważonego Rozwoju i Zielonego Ładu,</w:t>
            </w:r>
            <w:r>
              <w:rPr>
                <w:sz w:val="24"/>
                <w:rFonts w:ascii="Times New Roman" w:hAnsi="Times New Roman"/>
              </w:rPr>
              <w:t xml:space="preserve"> </w:t>
            </w:r>
          </w:p>
        </w:tc>
      </w:tr>
      <w:tr w:rsidR="00080401" w:rsidRPr="00080401" w14:paraId="3C914ECD" w14:textId="77777777" w:rsidTr="00080401">
        <w:tc>
          <w:tcPr>
            <w:tcW w:w="9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0D34E0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5B23BCE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31AD4426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eop"/>
              </w:rPr>
              <w:t xml:space="preserve"> </w:t>
            </w:r>
          </w:p>
          <w:p w14:paraId="5F1C3860" w14:textId="77777777" w:rsidR="00080401" w:rsidRDefault="00080401" w:rsidP="00080401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 </w:t>
            </w:r>
            <w:r>
              <w:rPr>
                <w:rStyle w:val="eop"/>
              </w:rPr>
              <w:t xml:space="preserve"> </w:t>
            </w:r>
          </w:p>
          <w:p w14:paraId="58AB9B28" w14:textId="77777777" w:rsidR="00080401" w:rsidRDefault="00080401" w:rsidP="0008040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  <w:rFonts w:ascii="Segoe UI" w:hAnsi="Segoe UI" w:cs="Segoe UI"/>
              </w:rPr>
            </w:pPr>
            <w:r>
              <w:rPr>
                <w:rStyle w:val="normaltextrun"/>
              </w:rPr>
              <w:t xml:space="preserve">Z. KHATTABI</w:t>
            </w:r>
            <w:r>
              <w:rPr>
                <w:rStyle w:val="eop"/>
              </w:rPr>
              <w:t xml:space="preserve"> </w:t>
            </w:r>
          </w:p>
          <w:p w14:paraId="03430130" w14:textId="77777777" w:rsidR="00080401" w:rsidRPr="00080401" w:rsidRDefault="00080401" w:rsidP="0008040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r-BE"/>
              </w:rPr>
            </w:pPr>
          </w:p>
        </w:tc>
      </w:tr>
    </w:tbl>
    <w:p w14:paraId="789A0E68" w14:textId="77777777" w:rsidR="006E076C" w:rsidRDefault="006E076C"/>
    <w:sectPr w:rsidR="006E076C" w:rsidSect="001B64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01"/>
    <w:rsid w:val="00080401"/>
    <w:rsid w:val="001B64FB"/>
    <w:rsid w:val="005770C7"/>
    <w:rsid w:val="006E076C"/>
    <w:rsid w:val="007B4C8F"/>
    <w:rsid w:val="008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1B86F"/>
  <w15:chartTrackingRefBased/>
  <w15:docId w15:val="{6A6BA2B3-5A85-40BE-8A42-DE457D1D1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8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normaltextrun">
    <w:name w:val="normaltextrun"/>
    <w:basedOn w:val="DefaultParagraphFont"/>
    <w:rsid w:val="00080401"/>
  </w:style>
  <w:style w:type="character" w:customStyle="1" w:styleId="eop">
    <w:name w:val="eop"/>
    <w:basedOn w:val="DefaultParagraphFont"/>
    <w:rsid w:val="00080401"/>
  </w:style>
  <w:style w:type="character" w:customStyle="1" w:styleId="scxw201559074">
    <w:name w:val="scxw201559074"/>
    <w:basedOn w:val="DefaultParagraphFont"/>
    <w:rsid w:val="00080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9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2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4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29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8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4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0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7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9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28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3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9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9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6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2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2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7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5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7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0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59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4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4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2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5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9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5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9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85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2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2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9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86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05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28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80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1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0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34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8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1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9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3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9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5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9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6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4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3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4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4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2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3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60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9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4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0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9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7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8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1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1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7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91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5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1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4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7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5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6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0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1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44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7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9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1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0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0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3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5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7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27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9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6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3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3327</Words>
  <Characters>18969</Characters>
  <Application>Microsoft Office Word</Application>
  <DocSecurity>0</DocSecurity>
  <Lines>158</Lines>
  <Paragraphs>44</Paragraphs>
  <ScaleCrop>false</ScaleCrop>
  <Company/>
  <LinksUpToDate>false</LinksUpToDate>
  <CharactersWithSpaces>22252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Sirine Echakafi (SPF Santé Publique - FOD Volksgezondheid)</dc:creator>
  <cp:keywords/>
  <dc:description/>
  <cp:lastModifiedBy>Dimitris Dimitriadis</cp:lastModifiedBy>
  <cp:revision>3</cp:revision>
  <dcterms:created xsi:type="dcterms:W3CDTF">2022-09-21T09:27:00Z</dcterms:created>
  <dcterms:modified xsi:type="dcterms:W3CDTF">2022-09-26T11:32:00Z</dcterms:modified>
</cp:coreProperties>
</file>