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C8FF7" w14:textId="77777777" w:rsidR="009811D9" w:rsidRPr="009811D9" w:rsidRDefault="009811D9" w:rsidP="009811D9">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Decreto n.º 2021-1943, de 31 de diciembre de 2021, sobre el período de disponibilidad de piezas de repuesto para ordenadores portátiles y teléfonos móviles inteligentes</w:t>
      </w:r>
    </w:p>
    <w:p w14:paraId="192BF00B" w14:textId="77777777" w:rsidR="009811D9" w:rsidRPr="009811D9" w:rsidRDefault="009811D9" w:rsidP="009811D9">
      <w:pPr>
        <w:spacing w:after="0" w:line="240" w:lineRule="auto"/>
        <w:rPr>
          <w:rFonts w:ascii="Times New Roman" w:eastAsia="Times New Roman" w:hAnsi="Times New Roman" w:cs="Times New Roman"/>
          <w:sz w:val="24"/>
          <w:szCs w:val="24"/>
        </w:rPr>
      </w:pPr>
      <w:r>
        <w:rPr>
          <w:rFonts w:ascii="Times New Roman" w:hAnsi="Times New Roman"/>
          <w:sz w:val="24"/>
        </w:rPr>
        <w:t>NOR: ECOC2105006D</w:t>
      </w:r>
      <w:r>
        <w:rPr>
          <w:rFonts w:ascii="Times New Roman" w:hAnsi="Times New Roman"/>
          <w:sz w:val="24"/>
        </w:rPr>
        <w:br/>
        <w:t>ELI: https://www.legifrance.gouv.fr/eli/decret/2021/12/31/ECOC2105006D/jo/texte</w:t>
      </w:r>
      <w:r>
        <w:rPr>
          <w:rFonts w:ascii="Times New Roman" w:hAnsi="Times New Roman"/>
          <w:sz w:val="24"/>
        </w:rPr>
        <w:br/>
        <w:t>Alias: https://www.legifrance.gouv.fr/eli/decret/2021/12/31/2021-1943/jo/texte</w:t>
      </w:r>
      <w:r>
        <w:rPr>
          <w:rFonts w:ascii="Times New Roman" w:hAnsi="Times New Roman"/>
          <w:sz w:val="24"/>
        </w:rPr>
        <w:br/>
        <w:t>Boletín Oficial de la República Francesa n.º 0001de 1 de enero de 2022</w:t>
      </w:r>
      <w:r>
        <w:rPr>
          <w:rFonts w:ascii="Times New Roman" w:hAnsi="Times New Roman"/>
          <w:sz w:val="24"/>
        </w:rPr>
        <w:br/>
        <w:t>Texto n.º 17</w:t>
      </w:r>
    </w:p>
    <w:p w14:paraId="45A48C65" w14:textId="77777777"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Personas a las que afecta: fabricantes e importadores de ordenadores portátiles y teléfonos inteligentes. </w:t>
      </w:r>
      <w:r>
        <w:rPr>
          <w:rFonts w:ascii="Times New Roman" w:hAnsi="Times New Roman"/>
          <w:sz w:val="24"/>
        </w:rPr>
        <w:br/>
        <w:t xml:space="preserve">Objeto: establecer una lista de las categorías de equipos (ordenadores portátiles y teléfonos inteligentes) y piezas de repuesto que deben comercializarse durante un período mínimo de cinco años a partir de la fecha en que se comercialice la última unidad del modelo de equipo en cuestión. </w:t>
      </w:r>
      <w:r>
        <w:rPr>
          <w:rFonts w:ascii="Times New Roman" w:hAnsi="Times New Roman"/>
          <w:sz w:val="24"/>
        </w:rPr>
        <w:br/>
        <w:t xml:space="preserve">Entrada en vigor: 1 de enero de 2022. </w:t>
      </w:r>
      <w:r>
        <w:rPr>
          <w:rFonts w:ascii="Times New Roman" w:hAnsi="Times New Roman"/>
          <w:sz w:val="24"/>
        </w:rPr>
        <w:br/>
        <w:t xml:space="preserve">Nota explicativa: el Decreto se emite para la aplicación del artículo L. 111-4 del Código de Consumo, que obliga a los productores (fabricantes e importadores) de electrodomésticos, pequeños equipos informáticos y de telecomunicaciones, pantallas y monitores a poner a disposición piezas de repuesto durante el período de comercialización de los modelos de productos de que se trate, así como un periodo mínimo adicional a partir de la fecha en que se comercialice la última unidad de estos modelos. La duración de este período mínimo adicional no podrá ser inferior a cinco años. Las disposiciones relativas al período de disponibilidad de piezas para determinados electrodomésticos, pantallas y monitores también se establecen en los reglamentos de ejecución de la Directiva 2009/125/CE del Parlamento Europeo y del Consejo, de 21 de octubre de 2009, por la que se instaura un marco para el establecimiento de requisitos de diseño ecológico aplicables a los productos relacionados con la energía. </w:t>
      </w:r>
      <w:r>
        <w:rPr>
          <w:rFonts w:ascii="Times New Roman" w:hAnsi="Times New Roman"/>
          <w:sz w:val="24"/>
        </w:rPr>
        <w:br/>
        <w:t xml:space="preserve">Referencias: el presente Decreto podrá consultarse en el sitio web de </w:t>
      </w:r>
      <w:proofErr w:type="spellStart"/>
      <w:r>
        <w:rPr>
          <w:rFonts w:ascii="Times New Roman" w:hAnsi="Times New Roman"/>
          <w:sz w:val="24"/>
        </w:rPr>
        <w:t>Légifrance</w:t>
      </w:r>
      <w:proofErr w:type="spellEnd"/>
      <w:r>
        <w:rPr>
          <w:rFonts w:ascii="Times New Roman" w:hAnsi="Times New Roman"/>
          <w:sz w:val="24"/>
        </w:rPr>
        <w:t xml:space="preserve"> (http://www.legifrance.gouv.fr).  </w:t>
      </w:r>
    </w:p>
    <w:p w14:paraId="54AAD396" w14:textId="77777777"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El Primer Ministro,</w:t>
      </w:r>
      <w:r>
        <w:rPr>
          <w:rFonts w:ascii="Times New Roman" w:hAnsi="Times New Roman"/>
          <w:sz w:val="24"/>
        </w:rPr>
        <w:br/>
        <w:t>A raíz del informe del Ministro de Economía, Hacienda y Recuperación;</w:t>
      </w:r>
      <w:r>
        <w:rPr>
          <w:rFonts w:ascii="Times New Roman" w:hAnsi="Times New Roman"/>
          <w:sz w:val="24"/>
        </w:rPr>
        <w:br/>
        <w:t>Vista la Directiva (UE) 2015/1535 del Parlamento Europeo y del Consejo, de 9 de septiembre de 2015, por la que se establece un procedimiento de información en materia de reglamentaciones técnicas y de reglas relativas a los servicios de la sociedad de la información, así como la notificación enviada a la Comisión Europea el 28 de junio de 2021;</w:t>
      </w:r>
      <w:r>
        <w:rPr>
          <w:rFonts w:ascii="Times New Roman" w:hAnsi="Times New Roman"/>
          <w:sz w:val="24"/>
        </w:rPr>
        <w:br/>
        <w:t>Visto el Código Civil, en particular el artículo 1;</w:t>
      </w:r>
      <w:r>
        <w:rPr>
          <w:rFonts w:ascii="Times New Roman" w:hAnsi="Times New Roman"/>
          <w:sz w:val="24"/>
        </w:rPr>
        <w:br/>
        <w:t>Visto el Código de Consumo, en particular el artículo L. 111-4 en su redacción resultante del artículo 19 de la Ley n.º 2020-105, de 10 de febrero de 2020, sobre la lucha contra los desperdicios y la economía circular; en su versión modificada por el artículo 30 de la Ley n.º 2021-1104, de 22 de agosto de 2021, sobre la lucha contra el cambio climático y el fortalecimiento de la resiliencia a sus efectos;</w:t>
      </w:r>
      <w:r>
        <w:rPr>
          <w:rFonts w:ascii="Times New Roman" w:hAnsi="Times New Roman"/>
          <w:sz w:val="24"/>
        </w:rPr>
        <w:br/>
        <w:t>Vista la Ley n.º 2020-105 sobre la lucha contra los desperdicios y la economía circular, en particular los artículos 19 y 130;</w:t>
      </w:r>
      <w:r>
        <w:rPr>
          <w:rFonts w:ascii="Times New Roman" w:hAnsi="Times New Roman"/>
          <w:sz w:val="24"/>
        </w:rPr>
        <w:br/>
        <w:t>Previa consulta al Consejo de Estado (sección de finanzas);</w:t>
      </w:r>
      <w:r>
        <w:rPr>
          <w:rFonts w:ascii="Times New Roman" w:hAnsi="Times New Roman"/>
          <w:sz w:val="24"/>
        </w:rPr>
        <w:br/>
      </w:r>
      <w:r>
        <w:rPr>
          <w:rFonts w:ascii="Times New Roman" w:hAnsi="Times New Roman"/>
          <w:sz w:val="24"/>
        </w:rPr>
        <w:lastRenderedPageBreak/>
        <w:t>Vista la urgencia,</w:t>
      </w:r>
      <w:r>
        <w:rPr>
          <w:rFonts w:ascii="Times New Roman" w:hAnsi="Times New Roman"/>
          <w:sz w:val="24"/>
        </w:rPr>
        <w:br/>
        <w:t>decreta:</w:t>
      </w:r>
    </w:p>
    <w:p w14:paraId="3883F39D" w14:textId="77777777" w:rsidR="009811D9" w:rsidRPr="009811D9" w:rsidRDefault="009811D9" w:rsidP="009811D9">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1</w:t>
      </w:r>
    </w:p>
    <w:p w14:paraId="3925AADF" w14:textId="77777777"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Después del artículo D. 111-4 del Código de Consumo, se añaden tres artículos con la siguiente redacción: </w:t>
      </w:r>
    </w:p>
    <w:p w14:paraId="751908DF" w14:textId="7A6A1919"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D30592">
        <w:rPr>
          <w:rFonts w:ascii="Times New Roman" w:hAnsi="Times New Roman"/>
          <w:sz w:val="24"/>
        </w:rPr>
        <w:t>“</w:t>
      </w:r>
      <w:r>
        <w:rPr>
          <w:rFonts w:ascii="Times New Roman" w:hAnsi="Times New Roman"/>
          <w:sz w:val="24"/>
        </w:rPr>
        <w:t xml:space="preserve">Artículo R. 111-4-1. - A efectos del artículo L. 111-4, se entenderá por: </w:t>
      </w:r>
      <w:r>
        <w:rPr>
          <w:rFonts w:ascii="Times New Roman" w:hAnsi="Times New Roman"/>
          <w:sz w:val="24"/>
        </w:rPr>
        <w:br/>
        <w:t xml:space="preserve">“ordenador portátil” un ordenador especialmente diseñado para ser portátil y funcionar durante un largo período de tiempo con o sin conexión directa a una fuente de CA. Los ordenadores portátiles utilizan una pantalla integrada con una diagonal visible de al menos 22,86 cm (9 pulgadas) y pueden operar con una batería integrada u otra fuente de alimentación portátil. </w:t>
      </w:r>
      <w:r>
        <w:rPr>
          <w:rFonts w:ascii="Times New Roman" w:hAnsi="Times New Roman"/>
          <w:sz w:val="24"/>
        </w:rPr>
        <w:br/>
        <w:t xml:space="preserve">“ordenador tableta” un ordenador portátil con pantalla táctil y teclado físico; </w:t>
      </w:r>
      <w:r>
        <w:rPr>
          <w:rFonts w:ascii="Times New Roman" w:hAnsi="Times New Roman"/>
          <w:sz w:val="24"/>
        </w:rPr>
        <w:br/>
        <w:t xml:space="preserve">“ordenador pizarra” un ordenador portátil con una pantalla táctil incorporada pero sin un teclado físico inamovible; </w:t>
      </w:r>
      <w:r>
        <w:rPr>
          <w:rFonts w:ascii="Times New Roman" w:hAnsi="Times New Roman"/>
          <w:sz w:val="24"/>
        </w:rPr>
        <w:br/>
        <w:t xml:space="preserve">“ordenador conocido como cliente ligero móvil” un ordenador portátil que se basa en una conexión a recursos informáticos remotos (servidor informático, estación de trabajo remota) para la funcionalidad básica y no tiene medios de almacenamiento de disco integrados; </w:t>
      </w:r>
      <w:r>
        <w:rPr>
          <w:rFonts w:ascii="Times New Roman" w:hAnsi="Times New Roman"/>
          <w:sz w:val="24"/>
        </w:rPr>
        <w:br/>
        <w:t xml:space="preserve">«teléfono móvil inteligente» un dispositivo electrónico utilizado para la comunicación de largo alcance a través de una red celular de estaciones base y que tiene una funcionalidad similar a un ordenador portátil inalámbrico diseñado principalmente para el modo de batería y que tiene una interfaz táctil. </w:t>
      </w:r>
    </w:p>
    <w:p w14:paraId="5C764760" w14:textId="0F1C25B7"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D30592">
        <w:rPr>
          <w:rFonts w:ascii="Times New Roman" w:hAnsi="Times New Roman"/>
          <w:sz w:val="24"/>
        </w:rPr>
        <w:t>“</w:t>
      </w:r>
      <w:r>
        <w:rPr>
          <w:rFonts w:ascii="Times New Roman" w:hAnsi="Times New Roman"/>
          <w:sz w:val="24"/>
        </w:rPr>
        <w:t xml:space="preserve">Artículo R. 111-4-2.-Los fabricantes e importadores de ordenadores portátiles, con excepción de los ordenadores tableta, los ordenadores pizarra y los ordenadores conocidos como clientes ligeros móviles, garantizarán: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1) a partir de la fecha de comercialización en el mercado nacional de la primera unidad de un modelo, la disponibilidad de las siguientes piezas de repuesto de dicho modelo: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a) componentes de memoria de gran capacidad (HDD – SSD);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b) dispositivos de visualización;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c) baterías;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d) conectores de alimentación;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e) cargadores;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2) a más tardar dos años después de la fecha de la comercialización en el mercado nacional de la primera unidad de un modelo, la disponibilidad de las siguientes piezas de repuesto para dicho modelo: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a) placas base;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b) memorias de acceso aleatorio;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c) ventiladores;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d) radiadores;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e) teclados;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f) puertos, conectores. </w:t>
      </w:r>
      <w:r>
        <w:rPr>
          <w:rFonts w:ascii="Times New Roman" w:hAnsi="Times New Roman"/>
          <w:sz w:val="24"/>
        </w:rPr>
        <w:br/>
        <w:t xml:space="preserve">También garantizarán que las piezas de repuesto mencionadas en los puntos 1 y 2 estén disponibles durante un período mínimo de cinco años a partir de la fecha de </w:t>
      </w:r>
      <w:r>
        <w:rPr>
          <w:rFonts w:ascii="Times New Roman" w:hAnsi="Times New Roman"/>
          <w:sz w:val="24"/>
        </w:rPr>
        <w:lastRenderedPageBreak/>
        <w:t xml:space="preserve">comercialización en el mercado nacional de la última unidad del modelo de ordenador portátil en cuestión. </w:t>
      </w:r>
    </w:p>
    <w:p w14:paraId="409D0B29" w14:textId="277CF2CF"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D30592">
        <w:rPr>
          <w:rFonts w:ascii="Times New Roman" w:hAnsi="Times New Roman"/>
          <w:sz w:val="24"/>
        </w:rPr>
        <w:t>“</w:t>
      </w:r>
      <w:r>
        <w:rPr>
          <w:rFonts w:ascii="Times New Roman" w:hAnsi="Times New Roman"/>
          <w:sz w:val="24"/>
        </w:rPr>
        <w:t xml:space="preserve">Artículo R. 111-4-3.-Los fabricantes e importadores de teléfonos móviles inteligentes garantizarán: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1) a partir de la fecha de comercialización en el mercado nacional de la primera unidad de un modelo, la disponibilidad de las siguientes piezas de repuesto de dicho modelo: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a) unidades de visualización;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b) baterías;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c) cámaras frontales;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d) cámaras traseras;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e) cargadores;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2) a más tardar dos años después de la fecha de comercialización en el mercado nacional de la primera unidad de un modelo, la disponibilidad de las siguientes piezas de repuesto para dicho modelo: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a) conectores de carga;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b) conectores;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c) placas base;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d) teclas;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e) micrófonos; </w:t>
      </w:r>
      <w:r>
        <w:rPr>
          <w:rFonts w:ascii="Times New Roman" w:hAnsi="Times New Roman"/>
          <w:sz w:val="24"/>
        </w:rPr>
        <w:br/>
      </w:r>
      <w:r w:rsidR="00D30592">
        <w:rPr>
          <w:rFonts w:ascii="Times New Roman" w:hAnsi="Times New Roman"/>
          <w:sz w:val="24"/>
        </w:rPr>
        <w:t>“</w:t>
      </w:r>
      <w:r>
        <w:rPr>
          <w:rFonts w:ascii="Times New Roman" w:hAnsi="Times New Roman"/>
          <w:sz w:val="24"/>
        </w:rPr>
        <w:t xml:space="preserve">f) altavoces. </w:t>
      </w:r>
      <w:r>
        <w:rPr>
          <w:rFonts w:ascii="Times New Roman" w:hAnsi="Times New Roman"/>
          <w:sz w:val="24"/>
        </w:rPr>
        <w:br/>
        <w:t>También garantizarán que las piezas de repuesto mencionadas en los puntos 1 y 2 estén disponibles durante un período mínimo de cinco años a partir de la fecha de comercialización en el mercado nacional de la última unidad del modelo en cuestión».</w:t>
      </w:r>
    </w:p>
    <w:p w14:paraId="63C20334" w14:textId="77777777" w:rsidR="009811D9" w:rsidRPr="009811D9" w:rsidRDefault="009811D9" w:rsidP="009811D9">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2</w:t>
      </w:r>
    </w:p>
    <w:p w14:paraId="2501BD88" w14:textId="77777777"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El </w:t>
      </w:r>
      <w:proofErr w:type="gramStart"/>
      <w:r>
        <w:rPr>
          <w:rFonts w:ascii="Times New Roman" w:hAnsi="Times New Roman"/>
          <w:sz w:val="24"/>
        </w:rPr>
        <w:t>Ministro</w:t>
      </w:r>
      <w:proofErr w:type="gramEnd"/>
      <w:r>
        <w:rPr>
          <w:rFonts w:ascii="Times New Roman" w:hAnsi="Times New Roman"/>
          <w:sz w:val="24"/>
        </w:rPr>
        <w:t xml:space="preserve"> de Economía, Hacienda y Recuperación será el responsable de la ejecución del presente Decreto, que se publicará en el Boletín Oficial de la República Francesa y entrará en vigor de inmediato.</w:t>
      </w:r>
    </w:p>
    <w:p w14:paraId="4ED0C380" w14:textId="77777777"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 31 de diciembre de 2021.</w:t>
      </w:r>
    </w:p>
    <w:p w14:paraId="39E8EF13" w14:textId="77777777"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 xml:space="preserve">Por el </w:t>
      </w:r>
      <w:proofErr w:type="gramStart"/>
      <w:r>
        <w:rPr>
          <w:rFonts w:ascii="Times New Roman" w:hAnsi="Times New Roman"/>
          <w:sz w:val="24"/>
        </w:rPr>
        <w:t>Primer Ministro</w:t>
      </w:r>
      <w:proofErr w:type="gramEnd"/>
      <w:r>
        <w:rPr>
          <w:rFonts w:ascii="Times New Roman" w:hAnsi="Times New Roman"/>
          <w:sz w:val="24"/>
        </w:rPr>
        <w:t>:</w:t>
      </w:r>
    </w:p>
    <w:p w14:paraId="3828831F" w14:textId="7470FD78"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El </w:t>
      </w:r>
      <w:proofErr w:type="gramStart"/>
      <w:r>
        <w:rPr>
          <w:rFonts w:ascii="Times New Roman" w:hAnsi="Times New Roman"/>
          <w:sz w:val="24"/>
        </w:rPr>
        <w:t>Ministro</w:t>
      </w:r>
      <w:proofErr w:type="gramEnd"/>
      <w:r>
        <w:rPr>
          <w:rFonts w:ascii="Times New Roman" w:hAnsi="Times New Roman"/>
          <w:sz w:val="24"/>
        </w:rPr>
        <w:t xml:space="preserve"> de Economía, Hacienda y Recuperación,</w:t>
      </w:r>
      <w:r>
        <w:rPr>
          <w:rFonts w:ascii="Times New Roman" w:hAnsi="Times New Roman"/>
          <w:sz w:val="24"/>
        </w:rPr>
        <w:br/>
        <w:t>Bruno Le Maire</w:t>
      </w:r>
    </w:p>
    <w:p w14:paraId="053B003A" w14:textId="77777777" w:rsidR="00AB5D0A" w:rsidRDefault="00AB5D0A"/>
    <w:sectPr w:rsidR="00AB5D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1D9"/>
    <w:rsid w:val="000E7ED9"/>
    <w:rsid w:val="003E4C59"/>
    <w:rsid w:val="005572C3"/>
    <w:rsid w:val="009811D9"/>
    <w:rsid w:val="00AB5D0A"/>
    <w:rsid w:val="00D30592"/>
    <w:rsid w:val="00EC3D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F5137"/>
  <w15:chartTrackingRefBased/>
  <w15:docId w15:val="{4EFA3766-1A45-4A3F-AA36-24CE8901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919352">
      <w:bodyDiv w:val="1"/>
      <w:marLeft w:val="0"/>
      <w:marRight w:val="0"/>
      <w:marTop w:val="0"/>
      <w:marBottom w:val="0"/>
      <w:divBdr>
        <w:top w:val="none" w:sz="0" w:space="0" w:color="auto"/>
        <w:left w:val="none" w:sz="0" w:space="0" w:color="auto"/>
        <w:bottom w:val="none" w:sz="0" w:space="0" w:color="auto"/>
        <w:right w:val="none" w:sz="0" w:space="0" w:color="auto"/>
      </w:divBdr>
      <w:divsChild>
        <w:div w:id="12885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5825</Characters>
  <Application>Microsoft Office Word</Application>
  <DocSecurity>0</DocSecurity>
  <Lines>132</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Čarija</cp:lastModifiedBy>
  <cp:revision>3</cp:revision>
  <dcterms:created xsi:type="dcterms:W3CDTF">2022-03-07T09:28:00Z</dcterms:created>
  <dcterms:modified xsi:type="dcterms:W3CDTF">2022-03-07T10:10:00Z</dcterms:modified>
</cp:coreProperties>
</file>