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8FF7" w14:textId="77777777" w:rsidR="009811D9" w:rsidRPr="009811D9" w:rsidRDefault="009811D9" w:rsidP="009811D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 nr. 1943/2021 din 31 decembrie 2021 privind perioada de disponibilitate a pieselor de schimb pentru telefoane mobile multifuncționale și laptopuri</w:t>
      </w:r>
    </w:p>
    <w:p w14:paraId="192BF00B" w14:textId="77777777" w:rsidR="009811D9" w:rsidRPr="009811D9" w:rsidRDefault="009811D9" w:rsidP="009811D9">
      <w:pPr>
        <w:spacing w:after="0" w:line="240" w:lineRule="auto"/>
        <w:rPr>
          <w:rFonts w:ascii="Times New Roman" w:eastAsia="Times New Roman" w:hAnsi="Times New Roman" w:cs="Times New Roman"/>
          <w:sz w:val="24"/>
          <w:szCs w:val="24"/>
        </w:rPr>
      </w:pPr>
      <w:r>
        <w:rPr>
          <w:rFonts w:ascii="Times New Roman" w:hAnsi="Times New Roman"/>
          <w:sz w:val="24"/>
        </w:rPr>
        <w:t>NR.: ECOC2105006D</w:t>
      </w:r>
      <w:r>
        <w:rPr>
          <w:rFonts w:ascii="Times New Roman" w:hAnsi="Times New Roman"/>
          <w:sz w:val="24"/>
        </w:rPr>
        <w:br/>
        <w:t>ELI: https://www.legifrance.gouv.fr/eli/decret/2021/12/31/ECOC2105006D/jo/texte</w:t>
      </w:r>
      <w:r>
        <w:rPr>
          <w:rFonts w:ascii="Times New Roman" w:hAnsi="Times New Roman"/>
          <w:sz w:val="24"/>
        </w:rPr>
        <w:br/>
        <w:t>Alias: https://www.legifrance.gouv.fr/eli/decret/2021/12/31/2021-1943/jo/texte</w:t>
      </w:r>
      <w:r>
        <w:rPr>
          <w:rFonts w:ascii="Times New Roman" w:hAnsi="Times New Roman"/>
          <w:sz w:val="24"/>
        </w:rPr>
        <w:br/>
        <w:t>JORF nr. 0001 din 1 ianuarie 2022</w:t>
      </w:r>
      <w:r>
        <w:rPr>
          <w:rFonts w:ascii="Times New Roman" w:hAnsi="Times New Roman"/>
          <w:sz w:val="24"/>
        </w:rPr>
        <w:br/>
        <w:t>Text nr. 17</w:t>
      </w:r>
    </w:p>
    <w:p w14:paraId="45A48C65"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Publicul vizat: producători și importatori de laptopuri și smartphone-uri; </w:t>
      </w:r>
      <w:r>
        <w:rPr>
          <w:rFonts w:ascii="Times New Roman" w:hAnsi="Times New Roman"/>
          <w:sz w:val="24"/>
        </w:rPr>
        <w:br/>
        <w:t xml:space="preserve">Obiect: stabilirea unei liste de categorii de echipamente (laptopuri și smartphone-uri) și piese de schimb care urmează să fie puse la dispoziție pe piață pentru o perioadă minimă de cinci ani de la data introducerii pe piață a ultimei unități a modelului de echipament în cauză; </w:t>
      </w:r>
      <w:r>
        <w:rPr>
          <w:rFonts w:ascii="Times New Roman" w:hAnsi="Times New Roman"/>
          <w:sz w:val="24"/>
        </w:rPr>
        <w:br/>
        <w:t xml:space="preserve">Intrare în vigoare: 1 ianuarie 2022; </w:t>
      </w:r>
      <w:r>
        <w:rPr>
          <w:rFonts w:ascii="Times New Roman" w:hAnsi="Times New Roman"/>
          <w:sz w:val="24"/>
        </w:rPr>
        <w:br/>
        <w:t xml:space="preserve">Notă: Decretul este emis pentru aplicarea articolului L. 111-4 din Legea consumului, care impune producătorilor (producători și importatori) de aparate de uz casnic, de mici echipamente informatice și de telecomunicații, ecrane și monitoare, să pună la dispoziție piese de schimb în perioada comercializării modelelor de produse în cauză, precum și pe o perioadă minimă suplimentară de la data introducerii pe piață a ultimei unități din aceste modele. Durata acestei perioade minime suplimentare nu poate fi mai mică de cinci ani. Dispozițiile privind perioada de disponibilitate a pieselor pentru anumite aparate de uz casnic, ecrane și monitoare sunt, de asemenea, stabilite prin regulamentele de punere în aplicare a Directivei 2009/125/CE a Parlamentului European și a Consiliului din 21 octombrie 2009 de instituire a unui cadru pentru stabilirea cerințelor în materie de proiectare ecologică aplicabile produselor cu impact energetic. </w:t>
      </w:r>
      <w:r>
        <w:rPr>
          <w:rFonts w:ascii="Times New Roman" w:hAnsi="Times New Roman"/>
          <w:sz w:val="24"/>
        </w:rPr>
        <w:br/>
        <w:t xml:space="preserve">Referință: Acest decret poate fi consultat pe site-ul Légifrance (http://www.legifrance.gouv.fr). </w:t>
      </w:r>
    </w:p>
    <w:p w14:paraId="54AAD396"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Primul ministru,</w:t>
      </w:r>
      <w:r>
        <w:rPr>
          <w:rFonts w:ascii="Times New Roman" w:hAnsi="Times New Roman"/>
          <w:sz w:val="24"/>
        </w:rPr>
        <w:br/>
        <w:t>în urma raportului Ministrului Economiei, Finanțelor și Relansării,</w:t>
      </w:r>
      <w:r>
        <w:rPr>
          <w:rFonts w:ascii="Times New Roman" w:hAnsi="Times New Roman"/>
          <w:sz w:val="24"/>
        </w:rPr>
        <w:br/>
        <w:t>având în vedere Directiva (UE) 2015/1535 a Parlamentului European și a Consiliului din 9 septembrie 2015 referitoare la procedura de furnizare de informații în domeniul reglementărilor tehnice și al normelor privind serviciile societății informaționale, precum și notificarea adresată Comisiei Europene din 28 iunie 2021,</w:t>
      </w:r>
      <w:r>
        <w:rPr>
          <w:rFonts w:ascii="Times New Roman" w:hAnsi="Times New Roman"/>
          <w:sz w:val="24"/>
        </w:rPr>
        <w:br/>
        <w:t>având în vedere Codul civil, în special articolul 1,</w:t>
      </w:r>
      <w:r>
        <w:rPr>
          <w:rFonts w:ascii="Times New Roman" w:hAnsi="Times New Roman"/>
          <w:sz w:val="24"/>
        </w:rPr>
        <w:br/>
        <w:t>Având în vedere Legea Consumului, în special articolul L. 111-4, astfel cum a fost modificat prin articolul 19 din Legea nr. 2020-105 din 10 februarie 2020 privind combaterea risipei și economia circulară; astfel cum a fost modificată prin articolul 30 din Legea nr. 1104/2021 din 22 august 2021 privind combaterea perturbărilor climatice și consolidarea rezistenței la efectele acestora,</w:t>
      </w:r>
      <w:r>
        <w:rPr>
          <w:rFonts w:ascii="Times New Roman" w:hAnsi="Times New Roman"/>
          <w:sz w:val="24"/>
        </w:rPr>
        <w:br/>
        <w:t>având în vedere Legea nr. 105/2020 privind lupta împotriva deșeurilor și economia circulară, în special articolele 19 și 130,</w:t>
      </w:r>
      <w:r>
        <w:rPr>
          <w:rFonts w:ascii="Times New Roman" w:hAnsi="Times New Roman"/>
          <w:sz w:val="24"/>
        </w:rPr>
        <w:br/>
        <w:t>după audierea Consiliului de Stat (Secția Financiară),</w:t>
      </w:r>
      <w:r>
        <w:rPr>
          <w:rFonts w:ascii="Times New Roman" w:hAnsi="Times New Roman"/>
          <w:sz w:val="24"/>
        </w:rPr>
        <w:br/>
        <w:t>având în vedere urgența,</w:t>
      </w:r>
      <w:r>
        <w:rPr>
          <w:rFonts w:ascii="Times New Roman" w:hAnsi="Times New Roman"/>
          <w:sz w:val="24"/>
        </w:rPr>
        <w:br/>
        <w:t>prin prezentul, hotărăște:</w:t>
      </w:r>
    </w:p>
    <w:p w14:paraId="3883F39D" w14:textId="77777777" w:rsidR="009811D9" w:rsidRPr="009811D9" w:rsidRDefault="009811D9" w:rsidP="009811D9">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Articolul 1</w:t>
      </w:r>
    </w:p>
    <w:p w14:paraId="3925AADF"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după articolul D. 111-4 din Legea Consumului, se introduc trei articole, după cum urmează: </w:t>
      </w:r>
    </w:p>
    <w:p w14:paraId="751908DF" w14:textId="2EF9BDD4"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 R. 111-4-1. </w:t>
      </w:r>
      <w:r w:rsidR="00BF0B77">
        <w:rPr>
          <w:rFonts w:ascii="Times New Roman" w:hAnsi="Times New Roman"/>
          <w:sz w:val="24"/>
        </w:rPr>
        <w:t>-</w:t>
      </w:r>
      <w:r>
        <w:rPr>
          <w:rFonts w:ascii="Times New Roman" w:hAnsi="Times New Roman"/>
          <w:sz w:val="24"/>
        </w:rPr>
        <w:t xml:space="preserve"> În sensul articolului L. 111-4, se aplică următoarele definiții: </w:t>
      </w:r>
      <w:r>
        <w:rPr>
          <w:rFonts w:ascii="Times New Roman" w:hAnsi="Times New Roman"/>
          <w:sz w:val="24"/>
        </w:rPr>
        <w:br/>
        <w:t xml:space="preserve">„Laptopul” este definit ca un computer special conceput pentru a fi portabil și pentru a funcționa pe o perioadă lungă de timp, cu sau fără o conexiune directă la o sursă de curent alternativ. Laptopurile utilizează un ecran integrat cu o diagonală vizibilă de cel puțin 22,86 cm (9 inci) și pot funcționa cu o baterie integrată sau alte surse de alimentare portabilă; </w:t>
      </w:r>
      <w:r>
        <w:rPr>
          <w:rFonts w:ascii="Times New Roman" w:hAnsi="Times New Roman"/>
          <w:sz w:val="24"/>
        </w:rPr>
        <w:br/>
        <w:t xml:space="preserve">„Tableta PC” este definită ca un laptop cu ecran tactil și tastatură fizică; </w:t>
      </w:r>
      <w:r>
        <w:rPr>
          <w:rFonts w:ascii="Times New Roman" w:hAnsi="Times New Roman"/>
          <w:sz w:val="24"/>
        </w:rPr>
        <w:br/>
        <w:t xml:space="preserve">„Calculatorul de tip slate” este definit ca un laptop cu un ecran tactil încorporat, dar fără o tastatură fizică fixă; </w:t>
      </w:r>
      <w:r>
        <w:rPr>
          <w:rFonts w:ascii="Times New Roman" w:hAnsi="Times New Roman"/>
          <w:sz w:val="24"/>
        </w:rPr>
        <w:br/>
        <w:t xml:space="preserve">„Calculatorul de tip asistent personal digital” este definit ca un laptop care se bazează pe o conexiune la resurse informatice de la distanță (server informatic, stație de lucru de la distanță) pentru funcționalitatea de bază și care nu are suport de stocare pe disc încorporat; </w:t>
      </w:r>
      <w:r>
        <w:rPr>
          <w:rFonts w:ascii="Times New Roman" w:hAnsi="Times New Roman"/>
          <w:sz w:val="24"/>
        </w:rPr>
        <w:br/>
        <w:t xml:space="preserve">„Telefonul mobil multifuncțional” este definit ca un dispozitiv electronic utilizat pentru comunicații pe distanțe lungi prin intermediul unei rețele celulare de stații de bază și cu caracteristici similare cu cele ale unui laptop fără fir destinat în principal pentru modul bateriei și cu o interfață tactilă. </w:t>
      </w:r>
    </w:p>
    <w:p w14:paraId="5C764760" w14:textId="628D641C"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„Articolul R. 111-4-2 </w:t>
      </w:r>
      <w:r w:rsidR="00BF0B77">
        <w:rPr>
          <w:rFonts w:ascii="Times New Roman" w:hAnsi="Times New Roman"/>
          <w:sz w:val="24"/>
        </w:rPr>
        <w:t>-</w:t>
      </w:r>
      <w:r>
        <w:rPr>
          <w:rFonts w:ascii="Times New Roman" w:hAnsi="Times New Roman"/>
          <w:sz w:val="24"/>
        </w:rPr>
        <w:t xml:space="preserve"> Producătorii și importatorii de laptopuri, cu excepția tabletelor, a calculatoarelor de tip slate și a computerelor de tip asistent personal digital, asigură: </w:t>
      </w:r>
      <w:r>
        <w:rPr>
          <w:rFonts w:ascii="Times New Roman" w:hAnsi="Times New Roman"/>
          <w:sz w:val="24"/>
        </w:rPr>
        <w:br/>
        <w:t xml:space="preserve">„1. De la introducerea pe piața națională a primei unități din modelul în cauză, disponibilitatea următoarelor piese de schimb ale modelului respectiv: </w:t>
      </w:r>
      <w:r>
        <w:rPr>
          <w:rFonts w:ascii="Times New Roman" w:hAnsi="Times New Roman"/>
          <w:sz w:val="24"/>
        </w:rPr>
        <w:br/>
        <w:t xml:space="preserve">„a) componentă de stocare de date (HDD </w:t>
      </w:r>
      <w:r w:rsidR="00BF0B77">
        <w:rPr>
          <w:rFonts w:ascii="Times New Roman" w:hAnsi="Times New Roman"/>
          <w:sz w:val="24"/>
        </w:rPr>
        <w:t>-</w:t>
      </w:r>
      <w:r>
        <w:rPr>
          <w:rFonts w:ascii="Times New Roman" w:hAnsi="Times New Roman"/>
          <w:sz w:val="24"/>
        </w:rPr>
        <w:t xml:space="preserve"> SSD); </w:t>
      </w:r>
      <w:r>
        <w:rPr>
          <w:rFonts w:ascii="Times New Roman" w:hAnsi="Times New Roman"/>
          <w:sz w:val="24"/>
        </w:rPr>
        <w:br/>
        <w:t xml:space="preserve">„b) dispozitiv de afișare; </w:t>
      </w:r>
      <w:r>
        <w:rPr>
          <w:rFonts w:ascii="Times New Roman" w:hAnsi="Times New Roman"/>
          <w:sz w:val="24"/>
        </w:rPr>
        <w:br/>
        <w:t xml:space="preserve">„c) baterii; </w:t>
      </w:r>
      <w:r>
        <w:rPr>
          <w:rFonts w:ascii="Times New Roman" w:hAnsi="Times New Roman"/>
          <w:sz w:val="24"/>
        </w:rPr>
        <w:br/>
        <w:t xml:space="preserve">„d) conectori de alimentare; </w:t>
      </w:r>
      <w:r>
        <w:rPr>
          <w:rFonts w:ascii="Times New Roman" w:hAnsi="Times New Roman"/>
          <w:sz w:val="24"/>
        </w:rPr>
        <w:br/>
        <w:t xml:space="preserve">„e) încărcătoare; </w:t>
      </w:r>
      <w:r>
        <w:rPr>
          <w:rFonts w:ascii="Times New Roman" w:hAnsi="Times New Roman"/>
          <w:sz w:val="24"/>
        </w:rPr>
        <w:br/>
        <w:t xml:space="preserve">„2. În termen de cel mult doi ani de la data introducerii pe piața națională a primei unități dintr-un model, disponibilitatea următoarelor piese de schimb pentru modelul respectiv: </w:t>
      </w:r>
      <w:r>
        <w:rPr>
          <w:rFonts w:ascii="Times New Roman" w:hAnsi="Times New Roman"/>
          <w:sz w:val="24"/>
        </w:rPr>
        <w:br/>
        <w:t xml:space="preserve">„a) plăci de bază; </w:t>
      </w:r>
      <w:r>
        <w:rPr>
          <w:rFonts w:ascii="Times New Roman" w:hAnsi="Times New Roman"/>
          <w:sz w:val="24"/>
        </w:rPr>
        <w:br/>
        <w:t xml:space="preserve">„b) memorie RAM; </w:t>
      </w:r>
      <w:r>
        <w:rPr>
          <w:rFonts w:ascii="Times New Roman" w:hAnsi="Times New Roman"/>
          <w:sz w:val="24"/>
        </w:rPr>
        <w:br/>
        <w:t xml:space="preserve">„c) ventilatoare; </w:t>
      </w:r>
      <w:r>
        <w:rPr>
          <w:rFonts w:ascii="Times New Roman" w:hAnsi="Times New Roman"/>
          <w:sz w:val="24"/>
        </w:rPr>
        <w:br/>
        <w:t xml:space="preserve">„d) radiatoare; </w:t>
      </w:r>
      <w:r>
        <w:rPr>
          <w:rFonts w:ascii="Times New Roman" w:hAnsi="Times New Roman"/>
          <w:sz w:val="24"/>
        </w:rPr>
        <w:br/>
        <w:t xml:space="preserve">„e) tastaturi; </w:t>
      </w:r>
      <w:r>
        <w:rPr>
          <w:rFonts w:ascii="Times New Roman" w:hAnsi="Times New Roman"/>
          <w:sz w:val="24"/>
        </w:rPr>
        <w:br/>
        <w:t xml:space="preserve">„f) porturi, conectori. </w:t>
      </w:r>
      <w:r>
        <w:rPr>
          <w:rFonts w:ascii="Times New Roman" w:hAnsi="Times New Roman"/>
          <w:sz w:val="24"/>
        </w:rPr>
        <w:br/>
        <w:t xml:space="preserve">„Aceștia se asigură că piesele de schimb menționate la punctele 1 și 2 sunt disponibile pe o perioadă minimă de cinci ani de la data introducerii pe piața națională a ultimei unități din modelul în cauză. </w:t>
      </w:r>
    </w:p>
    <w:p w14:paraId="409D0B29" w14:textId="5BB8186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„Art. R. 111-4-3. </w:t>
      </w:r>
      <w:r w:rsidR="00BF0B77">
        <w:rPr>
          <w:rFonts w:ascii="Times New Roman" w:hAnsi="Times New Roman"/>
          <w:sz w:val="24"/>
        </w:rPr>
        <w:t>-</w:t>
      </w:r>
      <w:r>
        <w:rPr>
          <w:rFonts w:ascii="Times New Roman" w:hAnsi="Times New Roman"/>
          <w:sz w:val="24"/>
        </w:rPr>
        <w:t xml:space="preserve"> Producătorii și importatorii de telefoane mobile multifuncționale asigură: </w:t>
      </w:r>
      <w:r>
        <w:rPr>
          <w:rFonts w:ascii="Times New Roman" w:hAnsi="Times New Roman"/>
          <w:sz w:val="24"/>
        </w:rPr>
        <w:br/>
      </w:r>
      <w:r>
        <w:rPr>
          <w:rFonts w:ascii="Times New Roman" w:hAnsi="Times New Roman"/>
          <w:sz w:val="24"/>
        </w:rPr>
        <w:lastRenderedPageBreak/>
        <w:t xml:space="preserve">„1. De la introducerea pe piața națională a primei unități din modelul în cauză, disponibilitatea următoarelor piese de schimb ale modelului respectiv: </w:t>
      </w:r>
      <w:r>
        <w:rPr>
          <w:rFonts w:ascii="Times New Roman" w:hAnsi="Times New Roman"/>
          <w:sz w:val="24"/>
        </w:rPr>
        <w:br/>
        <w:t xml:space="preserve">„a) unități de afișare; </w:t>
      </w:r>
      <w:r>
        <w:rPr>
          <w:rFonts w:ascii="Times New Roman" w:hAnsi="Times New Roman"/>
          <w:sz w:val="24"/>
        </w:rPr>
        <w:br/>
        <w:t xml:space="preserve">„b) baterii; </w:t>
      </w:r>
      <w:r>
        <w:rPr>
          <w:rFonts w:ascii="Times New Roman" w:hAnsi="Times New Roman"/>
          <w:sz w:val="24"/>
        </w:rPr>
        <w:br/>
        <w:t xml:space="preserve">„c) camere frontale; </w:t>
      </w:r>
      <w:r>
        <w:rPr>
          <w:rFonts w:ascii="Times New Roman" w:hAnsi="Times New Roman"/>
          <w:sz w:val="24"/>
        </w:rPr>
        <w:br/>
        <w:t xml:space="preserve">„d) camere posterioare; </w:t>
      </w:r>
      <w:r>
        <w:rPr>
          <w:rFonts w:ascii="Times New Roman" w:hAnsi="Times New Roman"/>
          <w:sz w:val="24"/>
        </w:rPr>
        <w:br/>
        <w:t xml:space="preserve">„e) încărcătoare; </w:t>
      </w:r>
      <w:r>
        <w:rPr>
          <w:rFonts w:ascii="Times New Roman" w:hAnsi="Times New Roman"/>
          <w:sz w:val="24"/>
        </w:rPr>
        <w:br/>
        <w:t xml:space="preserve">„2. În termen de cel mult doi ani de la data introducerii pe piața națională a primei unități dintr-un model, disponibilitatea următoarelor piese de schimb pentru modelul respectiv: </w:t>
      </w:r>
      <w:r>
        <w:rPr>
          <w:rFonts w:ascii="Times New Roman" w:hAnsi="Times New Roman"/>
          <w:sz w:val="24"/>
        </w:rPr>
        <w:br/>
        <w:t xml:space="preserve">„a) conectori de alimentare; </w:t>
      </w:r>
      <w:r>
        <w:rPr>
          <w:rFonts w:ascii="Times New Roman" w:hAnsi="Times New Roman"/>
          <w:sz w:val="24"/>
        </w:rPr>
        <w:br/>
        <w:t xml:space="preserve">„b) conectori; </w:t>
      </w:r>
      <w:r>
        <w:rPr>
          <w:rFonts w:ascii="Times New Roman" w:hAnsi="Times New Roman"/>
          <w:sz w:val="24"/>
        </w:rPr>
        <w:br/>
        <w:t xml:space="preserve">„c) plăci de bază; </w:t>
      </w:r>
      <w:r>
        <w:rPr>
          <w:rFonts w:ascii="Times New Roman" w:hAnsi="Times New Roman"/>
          <w:sz w:val="24"/>
        </w:rPr>
        <w:br/>
        <w:t xml:space="preserve">„d) taste; </w:t>
      </w:r>
      <w:r>
        <w:rPr>
          <w:rFonts w:ascii="Times New Roman" w:hAnsi="Times New Roman"/>
          <w:sz w:val="24"/>
        </w:rPr>
        <w:br/>
        <w:t xml:space="preserve">„e)  microfon. </w:t>
      </w:r>
      <w:r>
        <w:rPr>
          <w:rFonts w:ascii="Times New Roman" w:hAnsi="Times New Roman"/>
          <w:sz w:val="24"/>
        </w:rPr>
        <w:br/>
        <w:t xml:space="preserve">„f) difuzoare. </w:t>
      </w:r>
      <w:r>
        <w:rPr>
          <w:rFonts w:ascii="Times New Roman" w:hAnsi="Times New Roman"/>
          <w:sz w:val="24"/>
        </w:rPr>
        <w:br/>
        <w:t>„Aceștia se asigură că piesele de schimb menționate la punctele 1 și 2 sunt disponibile pe o perioadă minimă de cinci ani de la data introducerii pe piața națională a ultimei unități din modelul în cauză.”</w:t>
      </w:r>
    </w:p>
    <w:p w14:paraId="63C20334" w14:textId="77777777" w:rsidR="009811D9" w:rsidRPr="009811D9" w:rsidRDefault="009811D9" w:rsidP="009811D9">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Articolul 2</w:t>
      </w:r>
    </w:p>
    <w:p w14:paraId="2501BD88"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Ministrul Economiei, Finanțelor și Relansării este responsabil de aplicarea prezentului decret, care se va publica în Jurnalul Oficial al Republicii Franceze și va intra în vigoare imediat.</w:t>
      </w:r>
    </w:p>
    <w:p w14:paraId="4ED0C380"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Adoptat la 31 decembrie 2021</w:t>
      </w:r>
    </w:p>
    <w:p w14:paraId="664232D1" w14:textId="77777777" w:rsidR="00BF0B77" w:rsidRDefault="009811D9" w:rsidP="00BF0B77">
      <w:pPr>
        <w:spacing w:after="0" w:line="240" w:lineRule="auto"/>
        <w:rPr>
          <w:rFonts w:ascii="Times New Roman" w:hAnsi="Times New Roman"/>
          <w:sz w:val="24"/>
        </w:rPr>
      </w:pPr>
      <w:r>
        <w:rPr>
          <w:rFonts w:ascii="Times New Roman" w:hAnsi="Times New Roman"/>
          <w:sz w:val="24"/>
        </w:rPr>
        <w:br/>
      </w:r>
      <w:r w:rsidR="00BF0B77">
        <w:rPr>
          <w:rFonts w:ascii="Times New Roman" w:hAnsi="Times New Roman"/>
          <w:sz w:val="24"/>
        </w:rPr>
        <w:t xml:space="preserve">Jean Castex </w:t>
      </w:r>
    </w:p>
    <w:p w14:paraId="7FF16854" w14:textId="77777777" w:rsidR="00BF0B77" w:rsidRDefault="009811D9" w:rsidP="00BF0B77">
      <w:pPr>
        <w:pStyle w:val="BodyText"/>
        <w:rPr>
          <w:rFonts w:eastAsia="Times New Roman" w:cs="Times New Roman"/>
          <w:szCs w:val="24"/>
        </w:rPr>
      </w:pPr>
      <w:r>
        <w:t>De către Prim-Ministru,</w:t>
      </w:r>
      <w:r>
        <w:br/>
      </w:r>
    </w:p>
    <w:p w14:paraId="3828831F" w14:textId="0F17BC63" w:rsidR="009811D9" w:rsidRPr="009811D9" w:rsidRDefault="009811D9" w:rsidP="00BF0B77">
      <w:pPr>
        <w:spacing w:after="0" w:line="240" w:lineRule="auto"/>
        <w:rPr>
          <w:rFonts w:ascii="Times New Roman" w:eastAsia="Times New Roman" w:hAnsi="Times New Roman" w:cs="Times New Roman"/>
          <w:sz w:val="24"/>
          <w:szCs w:val="24"/>
        </w:rPr>
      </w:pPr>
      <w:r>
        <w:rPr>
          <w:rFonts w:ascii="Times New Roman" w:hAnsi="Times New Roman"/>
          <w:sz w:val="24"/>
        </w:rPr>
        <w:br/>
        <w:t>Ministrul Economiei, Finanțelor și</w:t>
      </w:r>
      <w:r w:rsidR="00BF0B77">
        <w:rPr>
          <w:rFonts w:ascii="Times New Roman" w:hAnsi="Times New Roman"/>
          <w:sz w:val="24"/>
        </w:rPr>
        <w:t xml:space="preserve"> </w:t>
      </w:r>
      <w:r>
        <w:rPr>
          <w:rFonts w:ascii="Times New Roman" w:hAnsi="Times New Roman"/>
          <w:sz w:val="24"/>
        </w:rPr>
        <w:t>Relansării</w:t>
      </w:r>
      <w:r>
        <w:rPr>
          <w:rFonts w:ascii="Times New Roman" w:hAnsi="Times New Roman"/>
          <w:sz w:val="24"/>
        </w:rPr>
        <w:br/>
        <w:t xml:space="preserve">Bruno </w:t>
      </w:r>
      <w:r w:rsidR="00BF0B77">
        <w:rPr>
          <w:rFonts w:ascii="Times New Roman" w:hAnsi="Times New Roman"/>
          <w:sz w:val="24"/>
        </w:rPr>
        <w:t>Le Maire</w:t>
      </w:r>
    </w:p>
    <w:p w14:paraId="053B003A" w14:textId="77777777" w:rsidR="00AB5D0A" w:rsidRDefault="00AB5D0A"/>
    <w:sectPr w:rsidR="00AB5D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D9"/>
    <w:rsid w:val="003E4C59"/>
    <w:rsid w:val="007E132A"/>
    <w:rsid w:val="009811D9"/>
    <w:rsid w:val="00AB5D0A"/>
    <w:rsid w:val="00BF0B77"/>
    <w:rsid w:val="00F810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5137"/>
  <w15:chartTrackingRefBased/>
  <w15:docId w15:val="{4EFA3766-1A45-4A3F-AA36-24CE8901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F0B77"/>
    <w:pPr>
      <w:spacing w:after="0" w:line="240" w:lineRule="auto"/>
    </w:pPr>
    <w:rPr>
      <w:rFonts w:ascii="Times New Roman" w:hAnsi="Times New Roman"/>
      <w:sz w:val="24"/>
    </w:rPr>
  </w:style>
  <w:style w:type="character" w:customStyle="1" w:styleId="BodyTextChar">
    <w:name w:val="Body Text Char"/>
    <w:basedOn w:val="DefaultParagraphFont"/>
    <w:link w:val="BodyText"/>
    <w:uiPriority w:val="99"/>
    <w:rsid w:val="00BF0B7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919352">
      <w:bodyDiv w:val="1"/>
      <w:marLeft w:val="0"/>
      <w:marRight w:val="0"/>
      <w:marTop w:val="0"/>
      <w:marBottom w:val="0"/>
      <w:divBdr>
        <w:top w:val="none" w:sz="0" w:space="0" w:color="auto"/>
        <w:left w:val="none" w:sz="0" w:space="0" w:color="auto"/>
        <w:bottom w:val="none" w:sz="0" w:space="0" w:color="auto"/>
        <w:right w:val="none" w:sz="0" w:space="0" w:color="auto"/>
      </w:divBdr>
      <w:divsChild>
        <w:div w:id="12885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5427</Characters>
  <Application>Microsoft Office Word</Application>
  <DocSecurity>0</DocSecurity>
  <Lines>123</Lines>
  <Paragraphs>15</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3</cp:revision>
  <dcterms:created xsi:type="dcterms:W3CDTF">2022-03-07T09:56:00Z</dcterms:created>
  <dcterms:modified xsi:type="dcterms:W3CDTF">2022-03-07T10:15:00Z</dcterms:modified>
</cp:coreProperties>
</file>