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Odluka od 10. svibnja 2019. o izmjeni Odluke od 30. prosinca 2011. o sigurnosnim propisima za izgradnju vrlo visokih zgrada i njihovu zaštitu od rizika od nastanka požara i panike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Zainteresirane strane: operatori i vlasnici objekata koji su otvoreni za javnost, naručitelji, izvoditelji radova, arhitekti, članovi sigurnosnih komisija, tehnički kontrolori, proizvođači i instalateri opreme koja upotrebljava rashladna sredstva.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Cilj: izmjena odredbe o značajkama električnih uređaja za hlađenje u vrlo viskom zgradama (IGH).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Stupanje na snagu: dan nakon objave u Službenom listu Francuske Republike.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Napomena: sigurnosni propisi protiv požara u objektima koji su otvoreni za javnost (ERP) izmijenjeni su kako bi se odobrila uporaba zapaljivih rashladnih sredstava, koji su do sada bili zabranjeni, te posebice njihov članak 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Člankom GH 37. stavkom 2. sigurnosnih propisa protiv požara u vrlo visokim zgradama upućuje se na odredbe članka CH 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U iščekivanju studije posebnih rizika, nužno je očuvati ograničenje uporabe zapaljivih tekućina u vrlo visokim zgradama i izbjegavati neželjeno otvaranje upućivanjem iz članka GH 37. na članak CH 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Upućivanja: tekst izmijenjen ovom Odlukom dostupan je u inačici nakon izmjene na stranici Légifrance 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Državni ministar ekološke i solidarne tranzicije, čuvar pečata, ministar pravosuđa, ministar gospodarstva i financija, ministrica rada, ministar unutarnjih poslova, ministrica visokog obrazovanja, istraživanja i inovacija, ministrica teritorijalne kohezije i odnosa sa lokalnim i regionalnim vlastima, i ministrica kulture,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Direktivu (EU) 2015/1535 Europskog parlamenta i Vijeća od 9. rujna 2015. o utvrđivanju postupka pružanja informacija u području tehničkih propisa i pravila o uslugama informacijskog društva, posebice notifikaciju br. 2018/469/F,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Zakon o gradnji i stanovanju te posebice njegov članak R. 122-4,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Odluku od 30. prosinca 2011. o sigurnosnim propisima za izgradnju vrlo visokih zgrada i njihovu zaštitu od rizika od nastanka požara i panike,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mišljenje Vrhovnog vijeća za građevinarstvo i energetsku učinkovitost od 16. listopada 2018.,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uzimajući u obzir mišljenje Nacionalnog vijeća za evaluaciju normi od 11. listopada 2018.,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ovime donosi: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1.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Odjeljak VII. poglavlja II. naslova 1. sigurnosnih propisa za izgradnju vrlo visokih zgrada i njihovu zaštitu od rizika od nastanka požara i panike, odobrenih prethodno navedenom Odlukom od 30. prosinca 2011., mijenja se u skladu s člankom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2.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članku GH 37., nakon riječi: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„appareils électriques de production de froid“ („električni uređaji za hlađenje)“, riječi: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„, n’utilisant pas de fluides frigorigènes inflammables,“ („, koji ne upotrebljavaju zapaljiva rashladna sredstva,“) umeću se.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Članak 3.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Ova će Odluka stupiti na snagu dan nakon objave u Službenom listu Francuske Republike.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Sastavljeno 10. svibnja 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Ministar unutarnjih poslova,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ministra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Voditelj službe, zamjenik glavnog ravnatelja za civilnu zaštitu i upravljanje krizama, odgovoran za odjel za vatrogasce,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Državni ministar ekološke i solidarne tranzicije,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državnog ministra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Ravnatelj uprave za stanovanje, prostorno uređenje i planiranje,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Čuvar pečata, ministar pravosuđa,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ministrice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Glavna tajnica,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Ministar gospodarstva i financija,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ministra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Voditelj Odjela za industriju,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Ministrica rada,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ministrice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Ravnatelj uprave za rad,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Ministrica visokog obrazovanja,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istraživanja i inovacija,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ministrice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Ravnateljica uprave za visoko obrazovanje i strukovnu integraciju,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Ministrica teritorijalne kohezije i odnosa s lokalnim i regionalnim vlastima,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ministra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Ravnatelj uprave za stanovanje, prostorno uređenje i planiranje,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Ministrica kulture,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U ime ministrice i na temelju ovlaštenja: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Ravnatelj uprave za kulturnu baštinu,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