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E64E0" w14:textId="70350B55" w:rsidR="0094645D" w:rsidRDefault="0094645D">
      <w:pPr>
        <w:rPr>
          <w:rFonts w:ascii="Verdana" w:hAnsi="Verdana"/>
        </w:rPr>
      </w:pPr>
      <w:bookmarkStart w:id="0" w:name="_Hlk66377407"/>
    </w:p>
    <w:p w14:paraId="3E00B0EB" w14:textId="77777777" w:rsidR="00905D0B" w:rsidRPr="003F6B93" w:rsidRDefault="00905D0B">
      <w:pPr>
        <w:rPr>
          <w:rFonts w:ascii="Verdana" w:hAnsi="Verdana"/>
        </w:rPr>
      </w:pPr>
    </w:p>
    <w:p w14:paraId="73062A11" w14:textId="77777777" w:rsidR="007879A9" w:rsidRPr="003F6B93" w:rsidRDefault="007879A9">
      <w:pPr>
        <w:rPr>
          <w:rFonts w:ascii="Verdana" w:hAnsi="Verdana"/>
        </w:rPr>
      </w:pPr>
      <w:r>
        <w:rPr>
          <w:rFonts w:ascii="Verdana" w:hAnsi="Verdana"/>
        </w:rPr>
        <w:t>Preambul</w:t>
      </w:r>
    </w:p>
    <w:p w14:paraId="46759D2E" w14:textId="77777777" w:rsidR="00D77E05" w:rsidRDefault="00D77E05" w:rsidP="007C0F01">
      <w:pPr>
        <w:ind w:left="426"/>
        <w:jc w:val="both"/>
        <w:rPr>
          <w:rFonts w:ascii="Verdana" w:hAnsi="Verdana" w:cs="EU Albertina"/>
        </w:rPr>
      </w:pPr>
    </w:p>
    <w:p w14:paraId="291BCB5F" w14:textId="77777777" w:rsidR="00D77E05" w:rsidRDefault="00D77E05" w:rsidP="00036184">
      <w:pPr>
        <w:jc w:val="both"/>
        <w:rPr>
          <w:rFonts w:ascii="Verdana" w:hAnsi="Verdana" w:cs="EU Albertina"/>
        </w:rPr>
      </w:pPr>
      <w:r>
        <w:rPr>
          <w:rFonts w:ascii="Verdana" w:hAnsi="Verdana"/>
        </w:rPr>
        <w:t xml:space="preserve">Pentru a stabili dacă, în sensul prezentului decret-lege, anumite recipiente pentru alimente ar trebui considerate produse din plastic de unică folosință, tendința acestora de a deveni deșeuri ca urmare a volumului sau a dimensiunii lor, în special în ceea ce privește serviciile individuale, joacă un rol decisiv. În cadrul acestei acțiuni ulterioare și în vederea armonizării cu ipotezele formulate pe piața unică europeană, se ține seama de considerațiile prezentate de ghidurile și regulamentele elaborate în mod specific pe această temă de către Comisia Europeană, prevăzute în Directiva (UE) 2019/904 a Parlamentului European și a Consiliului din 5 iunie 2019 privind reducerea impactului anumitor produse din plastic asupra mediului. </w:t>
      </w:r>
    </w:p>
    <w:p w14:paraId="4344E981" w14:textId="77777777" w:rsidR="007C0F01" w:rsidRPr="007C0F01" w:rsidRDefault="007C0F01" w:rsidP="00036184">
      <w:pPr>
        <w:jc w:val="both"/>
        <w:rPr>
          <w:rFonts w:ascii="Verdana" w:hAnsi="Verdana" w:cs="EU Albertina"/>
        </w:rPr>
      </w:pPr>
      <w:r>
        <w:rPr>
          <w:rFonts w:ascii="Verdana" w:hAnsi="Verdana"/>
        </w:rPr>
        <w:t>Exemple de recipiente pentru alimente care ar trebui considerate produse din plastic de unică folosință în sensul prezentului decret-lege sunt recipientele pentru alimente de tip fast food sau cutiile pentru meniuri precum sandvișuri, sandvișuri la lipie și salate, care conțin alimente calde sau reci, precum și recipientele pentru alimente proaspete sau preparate care nu necesită o preparare suplimentară, cum ar fi fructele, legumele sau deserturile. Exemple de recipiente pentru alimente care nu ar trebui considerate produse din plastic de unică folosință în sensul prezentei directive sunt recipientele pentru produse alimentare vândute care conțin alimente uscate sau reci care necesită o preparare mai îndelungată, recipientele care conțin mai mult de o porție individuală de alimente și recipientele alimentare dimensionate pentru o servire individuală și vândute în mai mult de o unitate.</w:t>
      </w:r>
    </w:p>
    <w:p w14:paraId="061F5D98" w14:textId="77777777" w:rsidR="007C0F01" w:rsidRDefault="007C0F01" w:rsidP="00036184">
      <w:pPr>
        <w:jc w:val="both"/>
        <w:rPr>
          <w:rFonts w:ascii="Verdana" w:hAnsi="Verdana" w:cs="EU Albertina"/>
        </w:rPr>
      </w:pPr>
      <w:r>
        <w:rPr>
          <w:rFonts w:ascii="Verdana" w:hAnsi="Verdana"/>
        </w:rPr>
        <w:t>Exemple de recipiente de băuturi care ar trebui considerate produse din plastic de unică folosință sunt sticlele pentru băuturi sau ambalajele pentru băuturi compozite utilizate pentru bere, vin, apă, băuturi răcoritoare lichide, sucuri și nectaruri, băuturi instant sau lapte, dar nu și paharele pentru băuturi, deoarece acestea sunt o categorie distinctă de produse din plastic de unică folosință în sensul prezentului decret-lege.</w:t>
      </w:r>
    </w:p>
    <w:p w14:paraId="711CCE6E" w14:textId="77777777" w:rsidR="00036184" w:rsidRPr="00036184" w:rsidRDefault="00036184" w:rsidP="00036184">
      <w:pPr>
        <w:jc w:val="both"/>
        <w:rPr>
          <w:rFonts w:ascii="Verdana" w:hAnsi="Verdana"/>
        </w:rPr>
      </w:pPr>
      <w:r>
        <w:rPr>
          <w:rFonts w:ascii="Verdana" w:hAnsi="Verdana"/>
        </w:rPr>
        <w:t xml:space="preserve">Prezentul decret-lege stabilește măsuri de prevenire și reducere a impactului anumitor produse din plastic de unică folosință și produse din plastic oxodegradabile asupra mediului, în special asupra mediului acvatic și asupra sănătății umane, precum și de promovare a tranziției către o economie </w:t>
      </w:r>
      <w:r>
        <w:rPr>
          <w:rFonts w:ascii="Verdana" w:hAnsi="Verdana"/>
        </w:rPr>
        <w:lastRenderedPageBreak/>
        <w:t>circulară cu modele de afaceri, produse și materiale inovatoare și durabile, contribuind astfel la funcționarea eficientă a pieței interne.</w:t>
      </w:r>
    </w:p>
    <w:p w14:paraId="79283FBA" w14:textId="76F47710" w:rsidR="00036184" w:rsidRDefault="00036184" w:rsidP="00036184">
      <w:pPr>
        <w:jc w:val="both"/>
        <w:rPr>
          <w:rFonts w:ascii="Verdana" w:hAnsi="Verdana"/>
        </w:rPr>
      </w:pPr>
      <w:r>
        <w:rPr>
          <w:rFonts w:ascii="Verdana" w:hAnsi="Verdana"/>
        </w:rPr>
        <w:t>De asemenea, promovează abordări circulare care acordă prioritate mai degrabă produselor reutilizabile și sistemelor de reutilizare sustenabile și netoxice, decât produselor de unică folosință, vizând în principal o reducere a cantității de deșeuri generate.</w:t>
      </w:r>
    </w:p>
    <w:p w14:paraId="2F500026" w14:textId="4E799E84" w:rsidR="00805BAF" w:rsidRPr="00036184" w:rsidRDefault="005D508B" w:rsidP="00036184">
      <w:pPr>
        <w:jc w:val="both"/>
        <w:rPr>
          <w:rFonts w:ascii="Verdana" w:hAnsi="Verdana"/>
        </w:rPr>
      </w:pPr>
      <w:r>
        <w:rPr>
          <w:rFonts w:ascii="Verdana" w:hAnsi="Verdana"/>
        </w:rPr>
        <w:t xml:space="preserve">Prezentul decret-lege a fost supus procedurii de furnizare de informații în domeniul reglementărilor tehnice și al normelor privind serviciile societății informaționale, prevăzută în </w:t>
      </w:r>
      <w:r>
        <w:rPr>
          <w:rFonts w:ascii="Verdana" w:hAnsi="Verdana"/>
          <w:sz w:val="21"/>
        </w:rPr>
        <w:t>Directiva (UE) 2015/1535 a Parlamentului European și a Consiliului din 9 septembrie 2015.</w:t>
      </w:r>
    </w:p>
    <w:p w14:paraId="31EF75EF" w14:textId="77777777" w:rsidR="003B7AD3" w:rsidRPr="00953C37" w:rsidRDefault="003B7AD3" w:rsidP="003B7AD3">
      <w:pPr>
        <w:jc w:val="both"/>
        <w:rPr>
          <w:rFonts w:ascii="Verdana" w:hAnsi="Verdana"/>
        </w:rPr>
      </w:pPr>
      <w:r>
        <w:rPr>
          <w:rFonts w:ascii="Verdana" w:hAnsi="Verdana"/>
        </w:rPr>
        <w:t>Prezentul decret-lege a făcut obiectul unei consultări publice în perioada xxx și xxx și face obiectul procedurii de informare în domeniul reglementărilor tehnice și al normelor privind serviciile societății informaționale prevăzute în Directiva (UE) 2015/1535 a Parlamentului European și a Consiliului din 9 septembrie 2015.</w:t>
      </w:r>
    </w:p>
    <w:p w14:paraId="708F4727" w14:textId="0CEE0C54" w:rsidR="003B7AD3" w:rsidRPr="0030214C" w:rsidRDefault="003B7AD3" w:rsidP="003B7AD3">
      <w:pPr>
        <w:jc w:val="both"/>
        <w:rPr>
          <w:rFonts w:ascii="Verdana" w:hAnsi="Verdana"/>
        </w:rPr>
      </w:pPr>
      <w:r>
        <w:rPr>
          <w:rFonts w:ascii="Verdana" w:hAnsi="Verdana"/>
        </w:rPr>
        <w:t>Au fost audiate organismele guvernamentale proprii ale Regiunilor Autonome.</w:t>
      </w:r>
    </w:p>
    <w:p w14:paraId="4FAC9822" w14:textId="77777777" w:rsidR="003B7AD3" w:rsidRDefault="003B7AD3" w:rsidP="003B7AD3">
      <w:pPr>
        <w:jc w:val="both"/>
        <w:rPr>
          <w:rFonts w:ascii="Verdana" w:hAnsi="Verdana"/>
        </w:rPr>
      </w:pPr>
    </w:p>
    <w:p w14:paraId="6C6BB1FC" w14:textId="77777777" w:rsidR="00AA1E2E" w:rsidRPr="003B7AD3" w:rsidRDefault="00AA1E2E" w:rsidP="003B7AD3">
      <w:pPr>
        <w:jc w:val="both"/>
        <w:rPr>
          <w:rFonts w:ascii="Verdana" w:hAnsi="Verdana"/>
        </w:rPr>
      </w:pPr>
    </w:p>
    <w:p w14:paraId="4F6C7BF1" w14:textId="02119500" w:rsidR="00A172F1" w:rsidRPr="00C63B34" w:rsidRDefault="00975B2D" w:rsidP="00825EEB">
      <w:pPr>
        <w:pStyle w:val="Heading1"/>
        <w:ind w:firstLine="450"/>
      </w:pPr>
      <w:r>
        <w:br/>
        <w:t>Dispoziții și principii generale</w:t>
      </w:r>
    </w:p>
    <w:p w14:paraId="7BDDF5B7" w14:textId="0ADC805D" w:rsidR="00A172F1" w:rsidRPr="00C63B34" w:rsidRDefault="009870C4" w:rsidP="009870C4">
      <w:pPr>
        <w:pStyle w:val="Heading2"/>
        <w:numPr>
          <w:ilvl w:val="0"/>
          <w:numId w:val="0"/>
        </w:numPr>
        <w:tabs>
          <w:tab w:val="clear" w:pos="1701"/>
          <w:tab w:val="left" w:pos="180"/>
        </w:tabs>
        <w:ind w:left="426"/>
      </w:pPr>
      <w:r>
        <w:t>Articolul 1</w:t>
      </w:r>
      <w:r>
        <w:br/>
        <w:t>Obiectul</w:t>
      </w:r>
    </w:p>
    <w:p w14:paraId="1B889421" w14:textId="77777777" w:rsidR="00036184" w:rsidRPr="00036184" w:rsidRDefault="00036184" w:rsidP="007E04D1">
      <w:pPr>
        <w:jc w:val="both"/>
        <w:rPr>
          <w:rFonts w:ascii="Verdana" w:hAnsi="Verdana"/>
        </w:rPr>
      </w:pPr>
    </w:p>
    <w:p w14:paraId="6C49FEDE" w14:textId="77777777" w:rsidR="00BC18BB" w:rsidRDefault="002F5931" w:rsidP="00C525D6">
      <w:pPr>
        <w:pStyle w:val="ListParagraph"/>
        <w:numPr>
          <w:ilvl w:val="0"/>
          <w:numId w:val="11"/>
        </w:numPr>
        <w:jc w:val="both"/>
        <w:rPr>
          <w:rFonts w:ascii="Verdana" w:hAnsi="Verdana"/>
        </w:rPr>
      </w:pPr>
      <w:r>
        <w:rPr>
          <w:rFonts w:ascii="Verdana" w:hAnsi="Verdana"/>
        </w:rPr>
        <w:t>Prezentul decret-lege transpune în legislația națională Directiva (UE) 2019/904 a Parlamentului European și a Consiliului din 5 iunie 2019 privind reducerea impactului anumitor produse din plastic asupra mediului.</w:t>
      </w:r>
    </w:p>
    <w:p w14:paraId="371AD20F" w14:textId="01DADD23" w:rsidR="00AA1E2E" w:rsidRPr="00BC18BB" w:rsidRDefault="009E5334" w:rsidP="00C525D6">
      <w:pPr>
        <w:pStyle w:val="ListParagraph"/>
        <w:numPr>
          <w:ilvl w:val="0"/>
          <w:numId w:val="11"/>
        </w:numPr>
        <w:jc w:val="both"/>
        <w:rPr>
          <w:rFonts w:ascii="Verdana" w:hAnsi="Verdana"/>
        </w:rPr>
      </w:pPr>
      <w:r>
        <w:rPr>
          <w:rFonts w:ascii="Verdana" w:hAnsi="Verdana"/>
        </w:rPr>
        <w:t>Prezentul proiect de decret-lege reprezintă, de asemenea, prima modificare a Legii nr. 77/2019 din 2 septembrie, care stabilește obligația de a pune la dispoziția consumatorilor alternative la distribuirea pungilor din plastic ultraușoare și a tăvițelor din plastic la punctele de vânzare a pâinii, fructelor și legumelor.</w:t>
      </w:r>
    </w:p>
    <w:p w14:paraId="392CD894" w14:textId="77777777" w:rsidR="00A756A5" w:rsidRPr="00A756A5" w:rsidRDefault="00A756A5" w:rsidP="00A756A5">
      <w:pPr>
        <w:pStyle w:val="ListParagraph"/>
        <w:jc w:val="both"/>
        <w:rPr>
          <w:rFonts w:ascii="Verdana" w:hAnsi="Verdana"/>
        </w:rPr>
      </w:pPr>
    </w:p>
    <w:p w14:paraId="76115829" w14:textId="55137B83" w:rsidR="007879A9" w:rsidRPr="00C63B34" w:rsidRDefault="004D1142" w:rsidP="009870C4">
      <w:pPr>
        <w:pStyle w:val="Heading2"/>
        <w:numPr>
          <w:ilvl w:val="0"/>
          <w:numId w:val="0"/>
        </w:numPr>
        <w:tabs>
          <w:tab w:val="clear" w:pos="1701"/>
          <w:tab w:val="left" w:pos="1276"/>
        </w:tabs>
        <w:ind w:left="426"/>
      </w:pPr>
      <w:r>
        <w:lastRenderedPageBreak/>
        <w:t>Articolul 2</w:t>
      </w:r>
      <w:r>
        <w:br/>
      </w:r>
      <w:bookmarkStart w:id="1" w:name="_Ref66177877"/>
      <w:r>
        <w:t>Domeniul de aplicare</w:t>
      </w:r>
      <w:bookmarkEnd w:id="1"/>
    </w:p>
    <w:p w14:paraId="640E56C9" w14:textId="77777777" w:rsidR="00036184" w:rsidRPr="00036184" w:rsidRDefault="00036184" w:rsidP="00036184">
      <w:pPr>
        <w:rPr>
          <w:rFonts w:ascii="Verdana" w:hAnsi="Verdana"/>
        </w:rPr>
      </w:pPr>
    </w:p>
    <w:p w14:paraId="31FE437E" w14:textId="3B1BD210" w:rsidR="008716CA" w:rsidRDefault="00A172F1" w:rsidP="00C525D6">
      <w:pPr>
        <w:pStyle w:val="ListParagraph"/>
        <w:numPr>
          <w:ilvl w:val="0"/>
          <w:numId w:val="18"/>
        </w:numPr>
        <w:jc w:val="both"/>
        <w:rPr>
          <w:rFonts w:ascii="Verdana" w:hAnsi="Verdana"/>
        </w:rPr>
      </w:pPr>
      <w:r>
        <w:t>Prezentul regulament se aplică produselor din plastic de unică folosință enumerate în anexa I, produselor fabricate din plastic oxodegradabil și echipamentelor de pescuit care conțin materiale plastice.</w:t>
      </w:r>
    </w:p>
    <w:p w14:paraId="3AC71414" w14:textId="31EFFBEF" w:rsidR="008716CA" w:rsidRPr="00D426A9" w:rsidRDefault="008716CA" w:rsidP="00C525D6">
      <w:pPr>
        <w:pStyle w:val="ListParagraph"/>
        <w:numPr>
          <w:ilvl w:val="0"/>
          <w:numId w:val="18"/>
        </w:numPr>
        <w:jc w:val="both"/>
        <w:rPr>
          <w:rFonts w:ascii="Verdana" w:hAnsi="Verdana"/>
        </w:rPr>
      </w:pPr>
      <w:r>
        <w:rPr>
          <w:rFonts w:ascii="Verdana" w:hAnsi="Verdana"/>
        </w:rPr>
        <w:t xml:space="preserve">Pentru a armoniza aplicarea acestei legislații pe piața Uniunii Europene și pentru a clarifica domeniul de aplicare prevăzut la alineatul precedent, au fost respectate normele stabilite în Orientările privind punerea în aplicare a Directivei (UE) 2019/904 a Parlamentului European și a Consiliului din 5 iunie 2019 publicată de Comisia </w:t>
      </w:r>
      <w:r w:rsidRPr="00D426A9">
        <w:rPr>
          <w:rFonts w:ascii="Verdana" w:hAnsi="Verdana"/>
        </w:rPr>
        <w:t>Europeană și pusă la dispoziție pe site-ul internet al APA, I.P.</w:t>
      </w:r>
    </w:p>
    <w:p w14:paraId="5EA0CD13" w14:textId="5455FE8B" w:rsidR="008A5EE0" w:rsidRPr="00D426A9" w:rsidRDefault="008A5EE0" w:rsidP="00C525D6">
      <w:pPr>
        <w:pStyle w:val="ListParagraph"/>
        <w:numPr>
          <w:ilvl w:val="0"/>
          <w:numId w:val="18"/>
        </w:numPr>
        <w:jc w:val="both"/>
        <w:rPr>
          <w:rFonts w:ascii="Verdana" w:hAnsi="Verdana"/>
        </w:rPr>
      </w:pPr>
      <w:r w:rsidRPr="00D426A9">
        <w:rPr>
          <w:rFonts w:ascii="Verdana" w:hAnsi="Verdana"/>
        </w:rPr>
        <w:t xml:space="preserve">Prezentul ordin se aplică, de asemenea, </w:t>
      </w:r>
      <w:bookmarkStart w:id="2" w:name="_Hlk66395090"/>
      <w:r w:rsidRPr="00D426A9">
        <w:rPr>
          <w:rFonts w:ascii="Verdana" w:hAnsi="Verdana"/>
        </w:rPr>
        <w:t xml:space="preserve">ambalajelor de unică folosință fabricate din materiale de orice fel. </w:t>
      </w:r>
    </w:p>
    <w:bookmarkEnd w:id="2"/>
    <w:p w14:paraId="6F41DA9F" w14:textId="059CEE77" w:rsidR="007879A9" w:rsidRPr="00D426A9" w:rsidRDefault="00B46206" w:rsidP="00C525D6">
      <w:pPr>
        <w:pStyle w:val="ListParagraph"/>
        <w:numPr>
          <w:ilvl w:val="0"/>
          <w:numId w:val="18"/>
        </w:numPr>
        <w:jc w:val="both"/>
        <w:rPr>
          <w:rFonts w:ascii="Verdana" w:hAnsi="Verdana"/>
        </w:rPr>
      </w:pPr>
      <w:r w:rsidRPr="00D426A9">
        <w:rPr>
          <w:rFonts w:ascii="Verdana" w:hAnsi="Verdana"/>
        </w:rPr>
        <w:t xml:space="preserve">În cazul unei neconcordanțe între Decretul-lege nr. 152-D/2017 din 11 decembrie, astfel cum a fost modificat și republicat prin </w:t>
      </w:r>
      <w:bookmarkStart w:id="3" w:name="_Hlk65346660"/>
      <w:r w:rsidRPr="00D426A9">
        <w:rPr>
          <w:rFonts w:ascii="Verdana" w:hAnsi="Verdana"/>
        </w:rPr>
        <w:t>Decretul-lege nr. 102-D/2020 din 10 decembrie</w:t>
      </w:r>
      <w:bookmarkEnd w:id="3"/>
      <w:r w:rsidRPr="00D426A9">
        <w:rPr>
          <w:rFonts w:ascii="Verdana" w:hAnsi="Verdana"/>
        </w:rPr>
        <w:t>, de stabilire a sistemului de gestionare a fluxurilor specifice de deșeuri (Unilex) și/sau a sistemului general de gestionare a deșeurilor (SSGD), aprobat prin anexa I la Decretul-lege nr. 102-D/2020 din 10 decembrie 2020, prezentul decret prevalează.</w:t>
      </w:r>
    </w:p>
    <w:p w14:paraId="4C6CF3E8" w14:textId="77777777" w:rsidR="00A172F1" w:rsidRPr="00A27EAE" w:rsidRDefault="00A172F1" w:rsidP="00A27EAE">
      <w:pPr>
        <w:pStyle w:val="ListParagraph"/>
        <w:shd w:val="clear" w:color="auto" w:fill="FFFFFF"/>
        <w:tabs>
          <w:tab w:val="left" w:pos="1134"/>
        </w:tabs>
        <w:spacing w:after="225" w:line="390" w:lineRule="atLeast"/>
        <w:ind w:left="284"/>
        <w:rPr>
          <w:rFonts w:ascii="Verdana" w:hAnsi="Verdana"/>
          <w:b/>
        </w:rPr>
      </w:pPr>
    </w:p>
    <w:p w14:paraId="57CBE0EB" w14:textId="0482498E" w:rsidR="00836720" w:rsidRPr="00C63B34" w:rsidRDefault="009870C4" w:rsidP="009870C4">
      <w:pPr>
        <w:pStyle w:val="Heading2"/>
        <w:numPr>
          <w:ilvl w:val="0"/>
          <w:numId w:val="0"/>
        </w:numPr>
        <w:tabs>
          <w:tab w:val="clear" w:pos="1701"/>
          <w:tab w:val="left" w:pos="1276"/>
        </w:tabs>
        <w:ind w:left="4050"/>
        <w:jc w:val="left"/>
      </w:pPr>
      <w:r>
        <w:t>Articolul 3</w:t>
      </w:r>
      <w:r>
        <w:br/>
        <w:t>Definiții</w:t>
      </w:r>
    </w:p>
    <w:p w14:paraId="4736A397" w14:textId="77777777" w:rsidR="00A27EAE" w:rsidRDefault="00A27EAE" w:rsidP="007E04D1">
      <w:pPr>
        <w:jc w:val="both"/>
        <w:rPr>
          <w:rFonts w:ascii="Verdana" w:hAnsi="Verdana"/>
        </w:rPr>
      </w:pPr>
    </w:p>
    <w:p w14:paraId="11A02850" w14:textId="3CB0841A" w:rsidR="008A723D" w:rsidRPr="003F6B93" w:rsidRDefault="008A723D" w:rsidP="00C525D6">
      <w:pPr>
        <w:pStyle w:val="ListParagraph"/>
        <w:numPr>
          <w:ilvl w:val="0"/>
          <w:numId w:val="17"/>
        </w:numPr>
        <w:jc w:val="both"/>
        <w:rPr>
          <w:rFonts w:ascii="Verdana" w:hAnsi="Verdana"/>
        </w:rPr>
      </w:pPr>
      <w:r>
        <w:rPr>
          <w:rFonts w:ascii="Verdana" w:hAnsi="Verdana"/>
        </w:rPr>
        <w:t xml:space="preserve">În sensul prezentului decret-lege, se aplică următoarele definiții: </w:t>
      </w:r>
    </w:p>
    <w:p w14:paraId="0D9166E3" w14:textId="50D2FAF7" w:rsidR="008A723D" w:rsidRDefault="008A723D" w:rsidP="00F7675E">
      <w:pPr>
        <w:pStyle w:val="ListParagraph"/>
        <w:numPr>
          <w:ilvl w:val="0"/>
          <w:numId w:val="1"/>
        </w:numPr>
        <w:jc w:val="both"/>
        <w:rPr>
          <w:rFonts w:ascii="Verdana" w:hAnsi="Verdana"/>
        </w:rPr>
      </w:pPr>
      <w:r>
        <w:rPr>
          <w:rFonts w:ascii="Verdana" w:hAnsi="Verdana"/>
        </w:rPr>
        <w:t xml:space="preserve">„echipamente de pescuit” înseamnă orice articol sau echipament utilizat în activitatea de pescuit sau acvacultură pentru a viza, a captura sau a crește resurse biologice marine sau care plutesc la suprafața mării și este utilizat cu scopul de a atrage și a captura sau de a crește astfel de resurse biologice marine; </w:t>
      </w:r>
    </w:p>
    <w:p w14:paraId="48F2B6B0" w14:textId="7290CA2C" w:rsidR="006336DE" w:rsidRDefault="006336DE" w:rsidP="00F7675E">
      <w:pPr>
        <w:pStyle w:val="ListParagraph"/>
        <w:numPr>
          <w:ilvl w:val="0"/>
          <w:numId w:val="1"/>
        </w:numPr>
        <w:jc w:val="both"/>
        <w:rPr>
          <w:rFonts w:ascii="Verdana" w:hAnsi="Verdana"/>
        </w:rPr>
      </w:pPr>
      <w:r>
        <w:rPr>
          <w:rFonts w:ascii="Verdana" w:hAnsi="Verdana"/>
        </w:rPr>
        <w:t xml:space="preserve">„activitate de comerț cu amănuntul” înseamnă orice activitate de revânzare către un consumator final, inclusiv către profesioniști și instituții, a bunurilor noi sau uzate, astfel cum sunt achiziționate, sau după efectuarea anumitor acțiuni legate de vânzarea cu amănuntul, cum ar fi selectarea, clasificarea sau ambalarea, </w:t>
      </w:r>
      <w:r>
        <w:rPr>
          <w:rFonts w:ascii="Verdana" w:hAnsi="Verdana"/>
        </w:rPr>
        <w:lastRenderedPageBreak/>
        <w:t>desfășurate în interiorul sau în afara unităților comerciale, în târguri, piețe municipale, comerț itinerant, la distanță, la domiciliu și prin intermediul automatelor;</w:t>
      </w:r>
    </w:p>
    <w:p w14:paraId="37A90115" w14:textId="154AA067" w:rsidR="006336DE" w:rsidRPr="00E0517F" w:rsidRDefault="006336DE" w:rsidP="00F7675E">
      <w:pPr>
        <w:pStyle w:val="ListParagraph"/>
        <w:numPr>
          <w:ilvl w:val="0"/>
          <w:numId w:val="1"/>
        </w:numPr>
        <w:jc w:val="both"/>
        <w:rPr>
          <w:rFonts w:ascii="Verdana" w:hAnsi="Verdana"/>
        </w:rPr>
      </w:pPr>
      <w:r>
        <w:rPr>
          <w:rFonts w:ascii="Verdana" w:hAnsi="Verdana"/>
        </w:rPr>
        <w:t>„activități de alimentație publică și de servire în picioare a băuturilor” înseamnă furnizarea de servicii de alimentație publică sau băuturi cu caracter sporadic anunțate în mod corespunzător publicului, indiferent dacă acestea sunt furnizate în instalații fixe sau mobile amplasate în locuri destinate pentru spectacole, târguri, expoziții sau alte spații;</w:t>
      </w:r>
    </w:p>
    <w:p w14:paraId="614A6421" w14:textId="74BD997C" w:rsidR="006336DE" w:rsidRPr="00E0517F" w:rsidRDefault="006336DE" w:rsidP="00F7675E">
      <w:pPr>
        <w:pStyle w:val="ListParagraph"/>
        <w:numPr>
          <w:ilvl w:val="0"/>
          <w:numId w:val="1"/>
        </w:numPr>
        <w:jc w:val="both"/>
        <w:rPr>
          <w:rFonts w:ascii="Verdana" w:hAnsi="Verdana"/>
        </w:rPr>
      </w:pPr>
      <w:r>
        <w:rPr>
          <w:rFonts w:ascii="Verdana" w:hAnsi="Verdana"/>
        </w:rPr>
        <w:t xml:space="preserve">„unitate de alimentație publică sau de băuturi” înseamnă unitățile ale căror activități sunt destinate să furnizeze produse alimentare sau băuturi și servicii de cafenea în interiorul sau în afara unității, indiferent de denumirea acesteia; </w:t>
      </w:r>
    </w:p>
    <w:p w14:paraId="66433F7D" w14:textId="17EDCD7E" w:rsidR="00B46206" w:rsidRPr="00FD46D9" w:rsidRDefault="00036184" w:rsidP="00F7675E">
      <w:pPr>
        <w:pStyle w:val="ListParagraph"/>
        <w:numPr>
          <w:ilvl w:val="0"/>
          <w:numId w:val="1"/>
        </w:numPr>
        <w:jc w:val="both"/>
        <w:rPr>
          <w:rFonts w:ascii="Verdana" w:hAnsi="Verdana"/>
        </w:rPr>
      </w:pPr>
      <w:r>
        <w:rPr>
          <w:rFonts w:ascii="Verdana" w:hAnsi="Verdana"/>
        </w:rPr>
        <w:t>„introducere pe piață” înseamnă prima punere la dispoziție a unui produs pe piața internă ca activitate profesională;</w:t>
      </w:r>
    </w:p>
    <w:p w14:paraId="7D04A45F" w14:textId="3D4E5D72" w:rsidR="00EC283C" w:rsidRDefault="00EC283C" w:rsidP="00F7675E">
      <w:pPr>
        <w:pStyle w:val="ListParagraph"/>
        <w:numPr>
          <w:ilvl w:val="0"/>
          <w:numId w:val="1"/>
        </w:numPr>
        <w:jc w:val="both"/>
        <w:rPr>
          <w:rFonts w:ascii="Verdana" w:hAnsi="Verdana"/>
        </w:rPr>
      </w:pPr>
      <w:r>
        <w:rPr>
          <w:rFonts w:ascii="Verdana" w:hAnsi="Verdana"/>
        </w:rPr>
        <w:t>„punere la dispoziție pe piață” înseamnă orice tip de furnizare a unui produs spre distribuire, consum sau utilizare pe piața din Portugalia, în cursul unei activități comerciale, fie în schimbul unei plăți, fie gratuit;</w:t>
      </w:r>
    </w:p>
    <w:p w14:paraId="3CE3DCF0" w14:textId="77777777" w:rsidR="00BC18BB" w:rsidRDefault="00285B71" w:rsidP="00F7675E">
      <w:pPr>
        <w:pStyle w:val="ListParagraph"/>
        <w:numPr>
          <w:ilvl w:val="0"/>
          <w:numId w:val="1"/>
        </w:numPr>
        <w:jc w:val="both"/>
        <w:rPr>
          <w:rFonts w:ascii="Verdana" w:hAnsi="Verdana"/>
        </w:rPr>
      </w:pPr>
      <w:r>
        <w:rPr>
          <w:rFonts w:ascii="Verdana" w:hAnsi="Verdana"/>
        </w:rPr>
        <w:t xml:space="preserve">„ambalator” înseamnă un ambalator astfel cum este definit la articolul 3 alineatul (1) litera (q) din Unilex; </w:t>
      </w:r>
    </w:p>
    <w:p w14:paraId="75FA7E25" w14:textId="77777777" w:rsidR="00BC18BB" w:rsidRDefault="003307FF" w:rsidP="00F7675E">
      <w:pPr>
        <w:pStyle w:val="ListParagraph"/>
        <w:numPr>
          <w:ilvl w:val="0"/>
          <w:numId w:val="1"/>
        </w:numPr>
        <w:jc w:val="both"/>
        <w:rPr>
          <w:rFonts w:ascii="Verdana" w:hAnsi="Verdana"/>
        </w:rPr>
      </w:pPr>
      <w:r>
        <w:rPr>
          <w:rFonts w:ascii="Verdana" w:hAnsi="Verdana"/>
        </w:rPr>
        <w:t xml:space="preserve">„ambalaj” înseamnă ambalajul definit la articolul 3 alineatul (1) litera (r) din Unilex; </w:t>
      </w:r>
    </w:p>
    <w:p w14:paraId="06F4B8DA" w14:textId="100831E2" w:rsidR="0091273F" w:rsidRPr="00BC18BB" w:rsidRDefault="0091273F" w:rsidP="00F7675E">
      <w:pPr>
        <w:pStyle w:val="ListParagraph"/>
        <w:numPr>
          <w:ilvl w:val="0"/>
          <w:numId w:val="1"/>
        </w:numPr>
        <w:jc w:val="both"/>
        <w:rPr>
          <w:rFonts w:ascii="Verdana" w:hAnsi="Verdana"/>
        </w:rPr>
      </w:pPr>
      <w:r>
        <w:rPr>
          <w:rFonts w:ascii="Verdana" w:hAnsi="Verdana"/>
        </w:rPr>
        <w:t xml:space="preserve">„ambalaj de unică folosință” înseamnă ambalaj nereutilizabil sau de unică folosință astfel cum este definit la articolul 3 alineatul (1) litera (u) din Unilex; </w:t>
      </w:r>
    </w:p>
    <w:p w14:paraId="6165F5F7" w14:textId="6B369E32" w:rsidR="000F077F" w:rsidRDefault="000F077F" w:rsidP="00F7675E">
      <w:pPr>
        <w:pStyle w:val="ListParagraph"/>
        <w:numPr>
          <w:ilvl w:val="0"/>
          <w:numId w:val="1"/>
        </w:numPr>
        <w:jc w:val="both"/>
        <w:rPr>
          <w:rFonts w:ascii="Verdana" w:hAnsi="Verdana"/>
        </w:rPr>
      </w:pPr>
      <w:r>
        <w:rPr>
          <w:rFonts w:ascii="Verdana" w:hAnsi="Verdana"/>
        </w:rPr>
        <w:t xml:space="preserve">„ambalaj reutilizabil” înseamnă ambalaj reutilizabil astfel cum este definit la articolul 3 alineatul (1) litera (v) din Unilex; </w:t>
      </w:r>
    </w:p>
    <w:p w14:paraId="0A6FE340" w14:textId="6089B47D" w:rsidR="00C73230" w:rsidRDefault="00C73230" w:rsidP="00F7675E">
      <w:pPr>
        <w:pStyle w:val="ListParagraph"/>
        <w:numPr>
          <w:ilvl w:val="0"/>
          <w:numId w:val="1"/>
        </w:numPr>
        <w:jc w:val="both"/>
        <w:rPr>
          <w:rFonts w:ascii="Verdana" w:hAnsi="Verdana"/>
        </w:rPr>
      </w:pPr>
      <w:r>
        <w:rPr>
          <w:rFonts w:ascii="Verdana" w:hAnsi="Verdana"/>
        </w:rPr>
        <w:t>„veselă reutilizabilă” înseamnă ustensile sau ambalaje utilizate pentru a servi și/sau a ajuta la consumul de alimente sau băuturi care au fost concepute, proiectate și introduse pe piață pentru ca, pe durata lor de viață, să fie utilizate de mai multe ori sau să fie supuse mai multor rotații prin reumplere sau reutilizare în același scop pentru care au fost concepute;</w:t>
      </w:r>
    </w:p>
    <w:p w14:paraId="5A147C8B" w14:textId="62F6B98B" w:rsidR="003307FF" w:rsidRPr="003F6B93" w:rsidRDefault="003307FF" w:rsidP="00F7675E">
      <w:pPr>
        <w:pStyle w:val="ListParagraph"/>
        <w:numPr>
          <w:ilvl w:val="0"/>
          <w:numId w:val="1"/>
        </w:numPr>
        <w:jc w:val="both"/>
        <w:rPr>
          <w:rFonts w:ascii="Verdana" w:hAnsi="Verdana"/>
        </w:rPr>
      </w:pPr>
      <w:r>
        <w:rPr>
          <w:rFonts w:ascii="Verdana" w:hAnsi="Verdana"/>
        </w:rPr>
        <w:t>„instalații portuare de preluare” înseamnă instalații portuare de preluare astfel cum sunt definite la articolul 3 alineatul (1) litera (m) din Decretul-lege nr. 102/2020 din 9 decembrie 2020;</w:t>
      </w:r>
    </w:p>
    <w:p w14:paraId="420091DC" w14:textId="1E1FA71C" w:rsidR="00EC283C" w:rsidRDefault="00EC283C" w:rsidP="00F7675E">
      <w:pPr>
        <w:pStyle w:val="ListParagraph"/>
        <w:numPr>
          <w:ilvl w:val="0"/>
          <w:numId w:val="1"/>
        </w:numPr>
        <w:jc w:val="both"/>
        <w:rPr>
          <w:rFonts w:ascii="Verdana" w:hAnsi="Verdana"/>
        </w:rPr>
      </w:pPr>
      <w:r>
        <w:rPr>
          <w:rFonts w:ascii="Verdana" w:hAnsi="Verdana"/>
        </w:rPr>
        <w:t xml:space="preserve">„standard armonizat” înseamnă un standard armonizat astfel cum este definit la articolul 2 alineatul (1) litera (c) din Regulamentul (UE) nr. 1025/2012; </w:t>
      </w:r>
    </w:p>
    <w:p w14:paraId="3F5AA973" w14:textId="61A5681F" w:rsidR="00C73230" w:rsidRPr="00E0517F" w:rsidRDefault="00C73230" w:rsidP="00F7675E">
      <w:pPr>
        <w:pStyle w:val="ListParagraph"/>
        <w:numPr>
          <w:ilvl w:val="0"/>
          <w:numId w:val="1"/>
        </w:numPr>
        <w:jc w:val="both"/>
        <w:rPr>
          <w:rFonts w:ascii="Verdana" w:hAnsi="Verdana"/>
          <w:i/>
        </w:rPr>
      </w:pPr>
      <w:r>
        <w:rPr>
          <w:rFonts w:ascii="Verdana" w:hAnsi="Verdana"/>
        </w:rPr>
        <w:lastRenderedPageBreak/>
        <w:t>„alte unități de alimentație publică sau băuturi” înseamnă locurile în care serviciile de alimentație publică sau de băuturi sunt efectuate prin servicii de alimentație publică, banchete sau alte servicii, cu condiția ca acestea să efectueze în mod regulat cel puțin 10 evenimente pe an în astfel de spații;</w:t>
      </w:r>
    </w:p>
    <w:p w14:paraId="197CE626" w14:textId="01DEE9CD" w:rsidR="008A723D" w:rsidRPr="003F6B93" w:rsidRDefault="008A723D" w:rsidP="00F7675E">
      <w:pPr>
        <w:pStyle w:val="ListParagraph"/>
        <w:numPr>
          <w:ilvl w:val="0"/>
          <w:numId w:val="1"/>
        </w:numPr>
        <w:jc w:val="both"/>
        <w:rPr>
          <w:rFonts w:ascii="Verdana" w:hAnsi="Verdana"/>
        </w:rPr>
      </w:pPr>
      <w:r>
        <w:rPr>
          <w:rFonts w:ascii="Verdana" w:hAnsi="Verdana"/>
        </w:rPr>
        <w:t xml:space="preserve">„plastic” înseamnă un material compus dintr-un polimer astfel cum este definit la articolul 3 alineatul (5) din Regulamentul (CE) nr. 1907/2006, la care pot fi adăugați aditivi sau alte substanțe și care poate funcționa ca o componentă structurală principală a produselor finite, cu excepția polimerilor naturali care nu au fost modificați chimic; </w:t>
      </w:r>
    </w:p>
    <w:p w14:paraId="55AF46E6" w14:textId="50FF4EB6" w:rsidR="003307FF" w:rsidRPr="003F6B93" w:rsidRDefault="003307FF" w:rsidP="00F7675E">
      <w:pPr>
        <w:pStyle w:val="ListParagraph"/>
        <w:numPr>
          <w:ilvl w:val="0"/>
          <w:numId w:val="1"/>
        </w:numPr>
        <w:jc w:val="both"/>
        <w:rPr>
          <w:rFonts w:ascii="Verdana" w:hAnsi="Verdana"/>
        </w:rPr>
      </w:pPr>
      <w:r>
        <w:rPr>
          <w:rFonts w:ascii="Verdana" w:hAnsi="Verdana"/>
        </w:rPr>
        <w:t>„plastic biodegradabil” înseamnă plastic care poate fi supus descompunerii fizice și biologice, astfel încât să se descompună în dioxid de carbon (CO</w:t>
      </w:r>
      <w:r>
        <w:rPr>
          <w:rFonts w:ascii="Verdana" w:hAnsi="Verdana"/>
          <w:vertAlign w:val="subscript"/>
        </w:rPr>
        <w:t>2</w:t>
      </w:r>
      <w:r>
        <w:rPr>
          <w:rFonts w:ascii="Verdana" w:hAnsi="Verdana"/>
        </w:rPr>
        <w:t>), biomasă și apă și este în conformitate cu standardele europene pentru ambalare, recuperabil prin compostare și digestie anaerobă;</w:t>
      </w:r>
    </w:p>
    <w:p w14:paraId="243D3CF3" w14:textId="064E6342" w:rsidR="008A723D" w:rsidRPr="003F6B93" w:rsidRDefault="008A723D" w:rsidP="00F7675E">
      <w:pPr>
        <w:pStyle w:val="ListParagraph"/>
        <w:numPr>
          <w:ilvl w:val="0"/>
          <w:numId w:val="1"/>
        </w:numPr>
        <w:jc w:val="both"/>
        <w:rPr>
          <w:rFonts w:ascii="Verdana" w:hAnsi="Verdana"/>
        </w:rPr>
      </w:pPr>
      <w:r>
        <w:rPr>
          <w:rFonts w:ascii="Verdana" w:hAnsi="Verdana"/>
        </w:rPr>
        <w:t xml:space="preserve">„plastic oxodegradabil” înseamnă materiale din plastic care conțin aditivi care, prin oxidare, duc la fragmentarea materialelor plastice în microparticule sau la descompunere chimică; </w:t>
      </w:r>
    </w:p>
    <w:p w14:paraId="7BF28EB9" w14:textId="4F4AE25F" w:rsidR="008A723D" w:rsidRPr="003F6B93" w:rsidRDefault="008A723D" w:rsidP="00F7675E">
      <w:pPr>
        <w:pStyle w:val="ListParagraph"/>
        <w:numPr>
          <w:ilvl w:val="0"/>
          <w:numId w:val="1"/>
        </w:numPr>
        <w:jc w:val="both"/>
        <w:rPr>
          <w:rFonts w:ascii="Verdana" w:hAnsi="Verdana"/>
        </w:rPr>
      </w:pPr>
      <w:r>
        <w:rPr>
          <w:rFonts w:ascii="Verdana" w:hAnsi="Verdana"/>
        </w:rPr>
        <w:t xml:space="preserve">„produs din plastic de unică folosință” înseamnă un produs care este fabricat în întregime sau parțial din plastic și care nu este conceput, proiectat sau introdus pe piață pentru a realiza, în cadrul ciclului său de viață, mai multe cicluri sau rotații prin returnare la producător pentru a fi reumplut sau reutilizat în același scop pentru care a fost conceput; </w:t>
      </w:r>
    </w:p>
    <w:p w14:paraId="3B015B5D" w14:textId="6D7B7308" w:rsidR="003307FF" w:rsidRPr="003F6B93" w:rsidRDefault="003307FF" w:rsidP="00F7675E">
      <w:pPr>
        <w:pStyle w:val="ListParagraph"/>
        <w:numPr>
          <w:ilvl w:val="0"/>
          <w:numId w:val="1"/>
        </w:numPr>
        <w:jc w:val="both"/>
        <w:rPr>
          <w:rFonts w:ascii="Verdana" w:hAnsi="Verdana"/>
        </w:rPr>
      </w:pPr>
      <w:r>
        <w:rPr>
          <w:rFonts w:ascii="Verdana" w:hAnsi="Verdana"/>
        </w:rPr>
        <w:t>„producător” înseamnă un producător al produsului astfel cum este definit la articolul 3 alineatul (1) litera (r) din Unilex, care introduce pe piață produse din plastic de unică folosință, produse din plastic de unică folosință umplute sau echipamente de pescuit care conțin plastic, altele decât persoanele care desfășoară activități de pescuit, astfel cum sunt definite la articolul 4 punctul 28 din Regulamentul (UE) nr. 1380/2013 al Parlamentului European și al Consiliului;</w:t>
      </w:r>
    </w:p>
    <w:p w14:paraId="6BD3956F" w14:textId="4A211B1E" w:rsidR="003307FF" w:rsidRDefault="003307FF" w:rsidP="00F7675E">
      <w:pPr>
        <w:pStyle w:val="ListParagraph"/>
        <w:numPr>
          <w:ilvl w:val="0"/>
          <w:numId w:val="1"/>
        </w:numPr>
        <w:jc w:val="both"/>
        <w:rPr>
          <w:rFonts w:ascii="Verdana" w:hAnsi="Verdana"/>
        </w:rPr>
      </w:pPr>
      <w:r>
        <w:rPr>
          <w:rFonts w:ascii="Verdana" w:hAnsi="Verdana"/>
        </w:rPr>
        <w:t>„produse din tutun” înseamnă produsele din tutun astfel cum sunt definite la articolul 2 litera (e) din Legea nr. 37/2007 din 14 august, în varianta sa actuală;</w:t>
      </w:r>
    </w:p>
    <w:p w14:paraId="6000B528" w14:textId="731A3572" w:rsidR="003A6EB6" w:rsidRPr="003F6B93" w:rsidRDefault="003A6EB6" w:rsidP="00F7675E">
      <w:pPr>
        <w:pStyle w:val="ListParagraph"/>
        <w:numPr>
          <w:ilvl w:val="0"/>
          <w:numId w:val="1"/>
        </w:numPr>
        <w:jc w:val="both"/>
        <w:rPr>
          <w:rFonts w:ascii="Verdana" w:hAnsi="Verdana"/>
        </w:rPr>
      </w:pPr>
      <w:r>
        <w:rPr>
          <w:rFonts w:ascii="Verdana" w:hAnsi="Verdana"/>
        </w:rPr>
        <w:t xml:space="preserve">„colectare” înseamnă colectarea astfel cum este definită la articolul 3 alineatul (1) litera (x) din Sistemul general de gestionare a deșeurilor (SGGD); </w:t>
      </w:r>
    </w:p>
    <w:p w14:paraId="7203E680" w14:textId="77777777" w:rsidR="00397D00" w:rsidRDefault="003A6EB6" w:rsidP="00F7675E">
      <w:pPr>
        <w:pStyle w:val="ListParagraph"/>
        <w:numPr>
          <w:ilvl w:val="0"/>
          <w:numId w:val="1"/>
        </w:numPr>
        <w:jc w:val="both"/>
        <w:rPr>
          <w:rFonts w:ascii="Verdana" w:hAnsi="Verdana"/>
        </w:rPr>
      </w:pPr>
      <w:r>
        <w:rPr>
          <w:rFonts w:ascii="Verdana" w:hAnsi="Verdana"/>
        </w:rPr>
        <w:t>„colectare selectivă” înseamnă colectarea selectivă astfel cum este definită la articolul 3 alineatul (1) litera (j) din SGGD;</w:t>
      </w:r>
    </w:p>
    <w:p w14:paraId="4F7991B3" w14:textId="1C62BF7C" w:rsidR="00397D00" w:rsidRPr="00397D00" w:rsidRDefault="00397D00" w:rsidP="00F7675E">
      <w:pPr>
        <w:pStyle w:val="ListParagraph"/>
        <w:numPr>
          <w:ilvl w:val="0"/>
          <w:numId w:val="1"/>
        </w:numPr>
        <w:jc w:val="both"/>
        <w:rPr>
          <w:rFonts w:ascii="Verdana" w:hAnsi="Verdana"/>
        </w:rPr>
      </w:pPr>
      <w:r>
        <w:rPr>
          <w:rFonts w:ascii="Verdana" w:hAnsi="Verdana"/>
        </w:rPr>
        <w:lastRenderedPageBreak/>
        <w:t>„meniuri gata de consum, de consum pe loc și la pachet sau pentru livrare la domiciliu” înseamnă meniuri gata de consum pe loc și la pachet sau pentru livrare la domiciliu, astfel cum este definită la articolul 3 alineatul (1) litera (ss) din Unilex;</w:t>
      </w:r>
    </w:p>
    <w:p w14:paraId="4361DB13" w14:textId="755AE130" w:rsidR="00EC283C" w:rsidRPr="003F6B93" w:rsidRDefault="00EC283C" w:rsidP="00F7675E">
      <w:pPr>
        <w:pStyle w:val="ListParagraph"/>
        <w:numPr>
          <w:ilvl w:val="0"/>
          <w:numId w:val="1"/>
        </w:numPr>
        <w:jc w:val="both"/>
        <w:rPr>
          <w:rFonts w:ascii="Verdana" w:hAnsi="Verdana"/>
        </w:rPr>
      </w:pPr>
      <w:r>
        <w:rPr>
          <w:rFonts w:ascii="Verdana" w:hAnsi="Verdana"/>
        </w:rPr>
        <w:t>„schemă de răspundere extinsă a producătorilor” înseamnă o schemă de răspundere extinsă a producătorilor astfel cum este definită la articolul 12 din SGGD;</w:t>
      </w:r>
    </w:p>
    <w:p w14:paraId="52DDA252" w14:textId="1BBC69FE" w:rsidR="00EC283C" w:rsidRPr="003F6B93" w:rsidRDefault="00EC283C" w:rsidP="00F7675E">
      <w:pPr>
        <w:pStyle w:val="ListParagraph"/>
        <w:numPr>
          <w:ilvl w:val="0"/>
          <w:numId w:val="1"/>
        </w:numPr>
        <w:jc w:val="both"/>
        <w:rPr>
          <w:rFonts w:ascii="Verdana" w:hAnsi="Verdana"/>
        </w:rPr>
      </w:pPr>
      <w:r>
        <w:rPr>
          <w:rFonts w:ascii="Verdana" w:hAnsi="Verdana"/>
        </w:rPr>
        <w:t>„deșeu” înseamnă deșeuri astfel cum sunt definite la articolul 3 alineatul (1) litera (aa) din SGGD;</w:t>
      </w:r>
    </w:p>
    <w:p w14:paraId="0AD5E5B9" w14:textId="244FF434" w:rsidR="00A172F1" w:rsidRDefault="008A723D" w:rsidP="00F7675E">
      <w:pPr>
        <w:pStyle w:val="ListParagraph"/>
        <w:numPr>
          <w:ilvl w:val="0"/>
          <w:numId w:val="1"/>
        </w:numPr>
        <w:jc w:val="both"/>
        <w:rPr>
          <w:rFonts w:ascii="Verdana" w:hAnsi="Verdana"/>
        </w:rPr>
      </w:pPr>
      <w:r>
        <w:rPr>
          <w:rFonts w:ascii="Verdana" w:hAnsi="Verdana"/>
        </w:rPr>
        <w:t>„deșeuri de echipamente de pescuit” înseamnă orice echipament de pescuit care intră sub incidența definiției „deșeurilor” de la articolul 3 alineatul (1) litera (aa) din SGGD, inclusiv toate componentele, substanțele sau materialele separate care erau integrate sau atașate echipamentelor de pescuit respective în momentul în care au fost aruncate, inclusiv atunci când au fost abandonate sau pierdute;</w:t>
      </w:r>
    </w:p>
    <w:p w14:paraId="3E377B11" w14:textId="325D1AE1" w:rsidR="00A6504A" w:rsidRPr="003F6B93" w:rsidRDefault="00A6504A" w:rsidP="00F7675E">
      <w:pPr>
        <w:pStyle w:val="ListParagraph"/>
        <w:numPr>
          <w:ilvl w:val="0"/>
          <w:numId w:val="1"/>
        </w:numPr>
        <w:jc w:val="both"/>
        <w:rPr>
          <w:rFonts w:ascii="Verdana" w:hAnsi="Verdana"/>
        </w:rPr>
      </w:pPr>
      <w:r>
        <w:rPr>
          <w:rFonts w:ascii="Verdana" w:hAnsi="Verdana"/>
        </w:rPr>
        <w:t>„pungi de transport din plastic subțire” înseamnă pungi de transport din plastic subțire astfel cum sunt definite la articolul 3 alineatul (1) litera (eee) din Unilex;</w:t>
      </w:r>
    </w:p>
    <w:p w14:paraId="259D1820" w14:textId="46B99296" w:rsidR="00D30E28" w:rsidRPr="003F6B93" w:rsidRDefault="00D30E28" w:rsidP="00F7675E">
      <w:pPr>
        <w:pStyle w:val="ListParagraph"/>
        <w:numPr>
          <w:ilvl w:val="0"/>
          <w:numId w:val="1"/>
        </w:numPr>
        <w:jc w:val="both"/>
        <w:rPr>
          <w:rFonts w:ascii="Verdana" w:hAnsi="Verdana"/>
        </w:rPr>
      </w:pPr>
      <w:r>
        <w:rPr>
          <w:rFonts w:ascii="Verdana" w:hAnsi="Verdana"/>
        </w:rPr>
        <w:t>„tratament” înseamnă tratamentul astfel cum este definit la articolul 3 alineatul (1) litera (n) din SSGD.</w:t>
      </w:r>
    </w:p>
    <w:p w14:paraId="4ADAA6E6" w14:textId="455D96C3" w:rsidR="00A172F1" w:rsidRDefault="00A172F1" w:rsidP="00A172F1">
      <w:pPr>
        <w:jc w:val="both"/>
        <w:rPr>
          <w:rFonts w:ascii="Verdana" w:hAnsi="Verdana"/>
        </w:rPr>
      </w:pPr>
    </w:p>
    <w:p w14:paraId="6B06554C" w14:textId="5BC6E794" w:rsidR="007B286C" w:rsidRPr="007B286C" w:rsidRDefault="004D1142" w:rsidP="00825EEB">
      <w:pPr>
        <w:pStyle w:val="Heading1"/>
        <w:tabs>
          <w:tab w:val="clear" w:pos="3969"/>
          <w:tab w:val="left" w:pos="2127"/>
        </w:tabs>
        <w:ind w:firstLine="0"/>
      </w:pPr>
      <w:bookmarkStart w:id="4" w:name="_Ref63690309"/>
      <w:r>
        <w:t xml:space="preserve"> </w:t>
      </w:r>
      <w:r>
        <w:br/>
        <w:t>Interzicerea introducerii pe piață</w:t>
      </w:r>
      <w:bookmarkEnd w:id="4"/>
    </w:p>
    <w:p w14:paraId="57C0FD44" w14:textId="6F99CF22" w:rsidR="00D27005" w:rsidRDefault="009870C4" w:rsidP="009870C4">
      <w:pPr>
        <w:pStyle w:val="Heading2"/>
        <w:numPr>
          <w:ilvl w:val="0"/>
          <w:numId w:val="0"/>
        </w:numPr>
        <w:tabs>
          <w:tab w:val="clear" w:pos="1701"/>
          <w:tab w:val="left" w:pos="1276"/>
        </w:tabs>
        <w:ind w:left="426"/>
      </w:pPr>
      <w:r>
        <w:t>Articolul 4</w:t>
      </w:r>
      <w:r>
        <w:br/>
      </w:r>
      <w:bookmarkStart w:id="5" w:name="_Ref63690312"/>
      <w:r>
        <w:t>Interzicerea introducerii pe piață</w:t>
      </w:r>
      <w:bookmarkEnd w:id="5"/>
      <w:r>
        <w:t xml:space="preserve"> a produselor din plastic de unică folosință și a produselor din plastic oxodegradabil</w:t>
      </w:r>
    </w:p>
    <w:p w14:paraId="2C461E0D" w14:textId="77777777" w:rsidR="007B286C" w:rsidRPr="007B286C" w:rsidRDefault="007B286C" w:rsidP="007B286C"/>
    <w:p w14:paraId="2713E414" w14:textId="77777777" w:rsidR="00D27005" w:rsidRPr="00D426A9" w:rsidRDefault="00D27005" w:rsidP="00C525D6">
      <w:pPr>
        <w:pStyle w:val="ListParagraph"/>
        <w:numPr>
          <w:ilvl w:val="3"/>
          <w:numId w:val="12"/>
        </w:numPr>
        <w:ind w:left="709"/>
        <w:jc w:val="both"/>
        <w:rPr>
          <w:rFonts w:ascii="Verdana" w:hAnsi="Verdana"/>
        </w:rPr>
      </w:pPr>
      <w:r>
        <w:rPr>
          <w:rFonts w:ascii="Verdana" w:hAnsi="Verdana"/>
        </w:rPr>
        <w:t xml:space="preserve">Se </w:t>
      </w:r>
      <w:r w:rsidRPr="00D426A9">
        <w:rPr>
          <w:rFonts w:ascii="Verdana" w:hAnsi="Verdana"/>
        </w:rPr>
        <w:t xml:space="preserve">interzice introducerea pe piață a următoarelor produse din plastic de unică folosință: </w:t>
      </w:r>
    </w:p>
    <w:p w14:paraId="4121AA08" w14:textId="09262A16" w:rsidR="00D27005" w:rsidRPr="00D426A9" w:rsidRDefault="00D27005" w:rsidP="00C525D6">
      <w:pPr>
        <w:pStyle w:val="ListParagraph"/>
        <w:numPr>
          <w:ilvl w:val="0"/>
          <w:numId w:val="2"/>
        </w:numPr>
        <w:ind w:left="1134" w:hanging="357"/>
        <w:jc w:val="both"/>
        <w:rPr>
          <w:rFonts w:ascii="Verdana" w:hAnsi="Verdana"/>
        </w:rPr>
      </w:pPr>
      <w:r w:rsidRPr="00D426A9">
        <w:rPr>
          <w:rFonts w:ascii="Verdana" w:hAnsi="Verdana"/>
        </w:rPr>
        <w:t xml:space="preserve">bețișoare de urechi, cu excepția cazului în care acestea intră în domeniul de aplicare al Decretului-lege nr. 145/2009 din 17 iunie 2009, modificat prin Declarația de rectificare nr. 60-A/2009 din 14 august 2009 și modificat prin Legile nr. 21/2014 din 16 aprilie 2014 </w:t>
      </w:r>
      <w:r w:rsidRPr="00D426A9">
        <w:rPr>
          <w:rFonts w:ascii="Verdana" w:hAnsi="Verdana"/>
        </w:rPr>
        <w:lastRenderedPageBreak/>
        <w:t>și 51/2014 din 25 august 2014 și prin Decretul-lege nr. 5/2017 din 6 iunie 2017 și 79/2018 din 15 octombrie 2018;</w:t>
      </w:r>
    </w:p>
    <w:p w14:paraId="4384DBC8" w14:textId="77777777" w:rsidR="00D27005" w:rsidRPr="00D7669C" w:rsidRDefault="00D27005" w:rsidP="00C525D6">
      <w:pPr>
        <w:pStyle w:val="ListParagraph"/>
        <w:numPr>
          <w:ilvl w:val="0"/>
          <w:numId w:val="2"/>
        </w:numPr>
        <w:ind w:left="1134" w:hanging="357"/>
        <w:rPr>
          <w:rFonts w:ascii="Verdana" w:hAnsi="Verdana"/>
        </w:rPr>
      </w:pPr>
      <w:r>
        <w:rPr>
          <w:rFonts w:ascii="Verdana" w:hAnsi="Verdana"/>
        </w:rPr>
        <w:t xml:space="preserve">tacâmuri (furculițe, cuțite, linguri, bețișoare chinezești); </w:t>
      </w:r>
    </w:p>
    <w:p w14:paraId="5AF0708E" w14:textId="77777777" w:rsidR="00D27005" w:rsidRPr="00D7669C" w:rsidRDefault="00D27005" w:rsidP="00C525D6">
      <w:pPr>
        <w:pStyle w:val="ListParagraph"/>
        <w:numPr>
          <w:ilvl w:val="0"/>
          <w:numId w:val="2"/>
        </w:numPr>
        <w:ind w:left="1134" w:hanging="357"/>
        <w:rPr>
          <w:rFonts w:ascii="Verdana" w:hAnsi="Verdana"/>
        </w:rPr>
      </w:pPr>
      <w:r>
        <w:rPr>
          <w:rFonts w:ascii="Verdana" w:hAnsi="Verdana"/>
        </w:rPr>
        <w:t xml:space="preserve">farfurii; </w:t>
      </w:r>
    </w:p>
    <w:p w14:paraId="551ADCD0" w14:textId="6444964C" w:rsidR="00D27005" w:rsidRPr="00D7669C" w:rsidRDefault="00D27005" w:rsidP="00C525D6">
      <w:pPr>
        <w:pStyle w:val="ListParagraph"/>
        <w:numPr>
          <w:ilvl w:val="0"/>
          <w:numId w:val="2"/>
        </w:numPr>
        <w:ind w:left="1134" w:hanging="357"/>
        <w:jc w:val="both"/>
        <w:rPr>
          <w:rFonts w:ascii="Verdana" w:hAnsi="Verdana"/>
        </w:rPr>
      </w:pPr>
      <w:r>
        <w:t>paie pentru băuturi, cu excepția cazului în care intră în domeniul de aplicare al Decretului-lege nr. 145/2009 din 17 iunie 2009, modificat prin Declarația de rectificare nr. 60-A/2009 din 14 august 2009 și modificat prin Legile nr. 21/2014 din 16 aprilie 2014 și 51/2014 din 25 august 2014 și Decretul-lege nr. 5/2017 din 6 iunie 2017 și 79/2018 din 15 octombrie 2018;</w:t>
      </w:r>
    </w:p>
    <w:p w14:paraId="0296009E" w14:textId="77777777" w:rsidR="00D27005" w:rsidRPr="00D7669C" w:rsidRDefault="00D27005" w:rsidP="00C525D6">
      <w:pPr>
        <w:pStyle w:val="ListParagraph"/>
        <w:numPr>
          <w:ilvl w:val="0"/>
          <w:numId w:val="2"/>
        </w:numPr>
        <w:ind w:left="1134" w:hanging="357"/>
        <w:rPr>
          <w:rFonts w:ascii="Verdana" w:hAnsi="Verdana"/>
        </w:rPr>
      </w:pPr>
      <w:r>
        <w:rPr>
          <w:rFonts w:ascii="Verdana" w:hAnsi="Verdana"/>
        </w:rPr>
        <w:t xml:space="preserve">agitatoare pentru băuturi; </w:t>
      </w:r>
    </w:p>
    <w:p w14:paraId="4FA253D6" w14:textId="77777777" w:rsidR="00D27005" w:rsidRPr="00D7669C" w:rsidRDefault="00D27005" w:rsidP="00C525D6">
      <w:pPr>
        <w:pStyle w:val="ListParagraph"/>
        <w:numPr>
          <w:ilvl w:val="0"/>
          <w:numId w:val="2"/>
        </w:numPr>
        <w:ind w:left="1134" w:hanging="357"/>
        <w:jc w:val="both"/>
        <w:rPr>
          <w:rFonts w:ascii="Verdana" w:hAnsi="Verdana"/>
        </w:rPr>
      </w:pPr>
      <w:r>
        <w:rPr>
          <w:rFonts w:ascii="Verdana" w:hAnsi="Verdana"/>
        </w:rPr>
        <w:t xml:space="preserve">bețe care se atașează baloanelor sau care sprijină baloane, cu excepția baloanelor de uz industrial sau pentru alte utilizări și aplicații profesionale, care nu sunt distribuite consumatorilor, inclusiv mecanismele acestor bețe; </w:t>
      </w:r>
    </w:p>
    <w:p w14:paraId="2177198E" w14:textId="38DD0DBA" w:rsidR="00D27005" w:rsidRPr="00D7669C" w:rsidRDefault="00D27005" w:rsidP="00C525D6">
      <w:pPr>
        <w:pStyle w:val="ListParagraph"/>
        <w:numPr>
          <w:ilvl w:val="0"/>
          <w:numId w:val="2"/>
        </w:numPr>
        <w:autoSpaceDE w:val="0"/>
        <w:autoSpaceDN w:val="0"/>
        <w:adjustRightInd w:val="0"/>
        <w:ind w:left="1134"/>
        <w:jc w:val="both"/>
        <w:rPr>
          <w:rFonts w:ascii="Verdana" w:hAnsi="Verdana"/>
        </w:rPr>
      </w:pPr>
      <w:r>
        <w:rPr>
          <w:rFonts w:ascii="Verdana" w:hAnsi="Verdana"/>
        </w:rPr>
        <w:t>recipiente pentru alimente, fabricate din polistiren expandat, cum ar fi cutiile cu sau fără capac, utilizate pentru a conține produse alimentare care:</w:t>
      </w:r>
    </w:p>
    <w:p w14:paraId="711C1AC6" w14:textId="77777777" w:rsidR="00D27005" w:rsidRPr="00D7669C" w:rsidRDefault="00D27005" w:rsidP="00C525D6">
      <w:pPr>
        <w:pStyle w:val="ListParagraph"/>
        <w:numPr>
          <w:ilvl w:val="0"/>
          <w:numId w:val="3"/>
        </w:numPr>
        <w:autoSpaceDE w:val="0"/>
        <w:autoSpaceDN w:val="0"/>
        <w:adjustRightInd w:val="0"/>
        <w:ind w:left="1560" w:hanging="357"/>
        <w:jc w:val="both"/>
        <w:rPr>
          <w:rFonts w:ascii="Verdana" w:hAnsi="Verdana"/>
        </w:rPr>
      </w:pPr>
      <w:r>
        <w:rPr>
          <w:rFonts w:ascii="Verdana" w:hAnsi="Verdana"/>
        </w:rPr>
        <w:t xml:space="preserve">sunt destinate consumului imediat, fie pe loc, fie la pachet; </w:t>
      </w:r>
    </w:p>
    <w:p w14:paraId="5E3C14FD" w14:textId="77777777" w:rsidR="00D27005" w:rsidRPr="00D7669C" w:rsidRDefault="00D27005" w:rsidP="00C525D6">
      <w:pPr>
        <w:pStyle w:val="ListParagraph"/>
        <w:numPr>
          <w:ilvl w:val="0"/>
          <w:numId w:val="3"/>
        </w:numPr>
        <w:autoSpaceDE w:val="0"/>
        <w:autoSpaceDN w:val="0"/>
        <w:adjustRightInd w:val="0"/>
        <w:ind w:left="1560" w:hanging="357"/>
        <w:jc w:val="both"/>
        <w:rPr>
          <w:rFonts w:ascii="Verdana" w:hAnsi="Verdana"/>
        </w:rPr>
      </w:pPr>
      <w:r>
        <w:rPr>
          <w:rFonts w:ascii="Verdana" w:hAnsi="Verdana"/>
        </w:rPr>
        <w:t xml:space="preserve">sunt de regulă consumate din recipient; și </w:t>
      </w:r>
    </w:p>
    <w:p w14:paraId="41FE1FE0" w14:textId="77777777" w:rsidR="00D27005" w:rsidRDefault="00D27005" w:rsidP="00C525D6">
      <w:pPr>
        <w:pStyle w:val="ListParagraph"/>
        <w:numPr>
          <w:ilvl w:val="0"/>
          <w:numId w:val="3"/>
        </w:numPr>
        <w:autoSpaceDE w:val="0"/>
        <w:autoSpaceDN w:val="0"/>
        <w:adjustRightInd w:val="0"/>
        <w:ind w:left="1560" w:hanging="357"/>
        <w:jc w:val="both"/>
        <w:rPr>
          <w:rFonts w:ascii="Verdana" w:hAnsi="Verdana"/>
        </w:rPr>
      </w:pPr>
      <w:r>
        <w:rPr>
          <w:rFonts w:ascii="Verdana" w:hAnsi="Verdana"/>
        </w:rPr>
        <w:t>sunt gata de consum fără a necesita o pregătire suplimentară, precum gătirea, fierberea sau încălzirea;</w:t>
      </w:r>
    </w:p>
    <w:p w14:paraId="4D19B8C7" w14:textId="77777777" w:rsidR="00D27005" w:rsidRPr="00951CCF" w:rsidRDefault="00D27005" w:rsidP="00D27005">
      <w:pPr>
        <w:autoSpaceDE w:val="0"/>
        <w:autoSpaceDN w:val="0"/>
        <w:adjustRightInd w:val="0"/>
        <w:ind w:left="1134"/>
        <w:jc w:val="both"/>
        <w:rPr>
          <w:rFonts w:ascii="Verdana" w:hAnsi="Verdana"/>
        </w:rPr>
      </w:pPr>
      <w:r>
        <w:rPr>
          <w:rFonts w:ascii="Verdana" w:hAnsi="Verdana"/>
        </w:rPr>
        <w:t>inclusiv recipiente pentru alimente utilizate pentru meniuri de tip fast food sau alte meniuri gata pentru consum imediat, cu excepția recipientelor pentru băuturi, a farfuriilor, a pachetelor și a foliilor din material flexibil care conțin produsele alimentare;</w:t>
      </w:r>
    </w:p>
    <w:p w14:paraId="6ED2936A" w14:textId="77777777" w:rsidR="00D27005" w:rsidRPr="00D7669C" w:rsidRDefault="00D27005" w:rsidP="00C525D6">
      <w:pPr>
        <w:pStyle w:val="ListParagraph"/>
        <w:numPr>
          <w:ilvl w:val="0"/>
          <w:numId w:val="2"/>
        </w:numPr>
        <w:ind w:left="1134" w:hanging="357"/>
        <w:jc w:val="both"/>
        <w:rPr>
          <w:rFonts w:ascii="Verdana" w:hAnsi="Verdana"/>
        </w:rPr>
      </w:pPr>
      <w:r>
        <w:rPr>
          <w:rFonts w:ascii="Verdana" w:hAnsi="Verdana"/>
        </w:rPr>
        <w:t xml:space="preserve">recipiente pentru băuturi fabricate din polistiren expandat, inclusiv dopurile și capacele acestora; </w:t>
      </w:r>
    </w:p>
    <w:p w14:paraId="1F6E43A5" w14:textId="77777777" w:rsidR="00D27005" w:rsidRPr="00D7669C" w:rsidRDefault="00D27005" w:rsidP="00C525D6">
      <w:pPr>
        <w:pStyle w:val="ListParagraph"/>
        <w:numPr>
          <w:ilvl w:val="0"/>
          <w:numId w:val="2"/>
        </w:numPr>
        <w:ind w:left="1134" w:hanging="357"/>
        <w:jc w:val="both"/>
        <w:rPr>
          <w:rFonts w:ascii="Verdana" w:hAnsi="Verdana"/>
        </w:rPr>
      </w:pPr>
      <w:r>
        <w:rPr>
          <w:rFonts w:ascii="Verdana" w:hAnsi="Verdana"/>
        </w:rPr>
        <w:t>pahare pentru băuturi fabricate din polistiren expandat, inclusiv capacele acestora.</w:t>
      </w:r>
    </w:p>
    <w:p w14:paraId="6425C76A" w14:textId="77777777" w:rsidR="00D27005" w:rsidRDefault="00D27005" w:rsidP="00C525D6">
      <w:pPr>
        <w:pStyle w:val="ListParagraph"/>
        <w:numPr>
          <w:ilvl w:val="3"/>
          <w:numId w:val="12"/>
        </w:numPr>
        <w:ind w:left="709"/>
        <w:jc w:val="both"/>
        <w:rPr>
          <w:rFonts w:ascii="Verdana" w:hAnsi="Verdana"/>
        </w:rPr>
      </w:pPr>
      <w:r>
        <w:rPr>
          <w:rFonts w:ascii="Verdana" w:hAnsi="Verdana"/>
        </w:rPr>
        <w:t>De asemenea, este interzisă introducerea pe piață a oricărui produs din plastic oxodegradabil.</w:t>
      </w:r>
    </w:p>
    <w:p w14:paraId="056DE917" w14:textId="596EE346" w:rsidR="00D27005" w:rsidRDefault="00D27005" w:rsidP="00D27005"/>
    <w:p w14:paraId="477E39E4" w14:textId="3E1DA0DE" w:rsidR="00F75E18" w:rsidRDefault="009870C4" w:rsidP="009870C4">
      <w:pPr>
        <w:pStyle w:val="Heading2"/>
        <w:numPr>
          <w:ilvl w:val="0"/>
          <w:numId w:val="0"/>
        </w:numPr>
        <w:tabs>
          <w:tab w:val="clear" w:pos="1701"/>
          <w:tab w:val="left" w:pos="1276"/>
        </w:tabs>
        <w:ind w:left="426"/>
      </w:pPr>
      <w:r>
        <w:t>Articolul 5</w:t>
      </w:r>
      <w:r>
        <w:br/>
        <w:t>Punerea la dispoziție și utilizarea produselor din plastic de unică folosință</w:t>
      </w:r>
    </w:p>
    <w:p w14:paraId="3F98C67D" w14:textId="77777777" w:rsidR="004854CF" w:rsidRPr="004854CF" w:rsidRDefault="004854CF" w:rsidP="004854CF"/>
    <w:p w14:paraId="211621E2" w14:textId="364D82F9" w:rsidR="009B01EE" w:rsidRPr="00CE4719" w:rsidRDefault="00433A38" w:rsidP="00C525D6">
      <w:pPr>
        <w:pStyle w:val="ListParagraph"/>
        <w:numPr>
          <w:ilvl w:val="0"/>
          <w:numId w:val="16"/>
        </w:numPr>
        <w:ind w:left="709"/>
        <w:jc w:val="both"/>
        <w:rPr>
          <w:rFonts w:ascii="Verdana" w:hAnsi="Verdana"/>
        </w:rPr>
      </w:pPr>
      <w:bookmarkStart w:id="6" w:name="_Hlk66394718"/>
      <w:r>
        <w:lastRenderedPageBreak/>
        <w:t>Începând cu 1 iulie 2021, restaurantele sau unitățile de servire a băuturilor nu pot pune la dispoziția consumatorului final produsele din plastic de unică folosință menționate la articolul 4</w:t>
      </w:r>
      <w:bookmarkEnd w:id="6"/>
      <w:r>
        <w:t xml:space="preserve"> literele (b)-(e) și (g)-(i) pentru băuturi și meniuri servite pe loc.</w:t>
      </w:r>
      <w:r>
        <w:rPr>
          <w:rFonts w:ascii="Verdana" w:hAnsi="Verdana"/>
        </w:rPr>
        <w:t xml:space="preserve"> </w:t>
      </w:r>
    </w:p>
    <w:p w14:paraId="34B4D975" w14:textId="191A83D1" w:rsidR="009B01EE" w:rsidRPr="00CE4719" w:rsidRDefault="00433A38" w:rsidP="00C525D6">
      <w:pPr>
        <w:pStyle w:val="ListParagraph"/>
        <w:numPr>
          <w:ilvl w:val="0"/>
          <w:numId w:val="16"/>
        </w:numPr>
        <w:ind w:left="709"/>
        <w:jc w:val="both"/>
        <w:rPr>
          <w:rFonts w:ascii="Verdana" w:hAnsi="Verdana"/>
        </w:rPr>
      </w:pPr>
      <w:bookmarkStart w:id="7" w:name="_Hlk66473615"/>
      <w:r>
        <w:rPr>
          <w:rFonts w:ascii="Verdana" w:hAnsi="Verdana"/>
        </w:rPr>
        <w:t xml:space="preserve">Începând cu 1 septembrie 2021, produsele din plastic de unică folosință menționate la articolul 4 literele (b)-(e) și (g)-(i) nu pot fi utilizate: </w:t>
      </w:r>
    </w:p>
    <w:bookmarkEnd w:id="7"/>
    <w:p w14:paraId="3E234258" w14:textId="10CD24A4" w:rsidR="00EE4CF1" w:rsidRPr="00CE4719" w:rsidRDefault="00710998" w:rsidP="00C525D6">
      <w:pPr>
        <w:pStyle w:val="ListParagraph"/>
        <w:numPr>
          <w:ilvl w:val="1"/>
          <w:numId w:val="15"/>
        </w:numPr>
        <w:spacing w:after="0"/>
        <w:ind w:left="1134"/>
        <w:jc w:val="both"/>
        <w:rPr>
          <w:rFonts w:ascii="Verdana" w:hAnsi="Verdana"/>
        </w:rPr>
      </w:pPr>
      <w:r>
        <w:rPr>
          <w:rFonts w:ascii="Verdana" w:hAnsi="Verdana"/>
        </w:rPr>
        <w:t>în activitatea de alimentație publică sau de servire a băuturilor în picioare;</w:t>
      </w:r>
    </w:p>
    <w:p w14:paraId="77260820" w14:textId="77777777" w:rsidR="0094255D" w:rsidRDefault="00710998" w:rsidP="00C525D6">
      <w:pPr>
        <w:pStyle w:val="ListParagraph"/>
        <w:numPr>
          <w:ilvl w:val="1"/>
          <w:numId w:val="15"/>
        </w:numPr>
        <w:spacing w:after="0"/>
        <w:ind w:left="1134"/>
        <w:jc w:val="both"/>
        <w:rPr>
          <w:rFonts w:ascii="Verdana" w:hAnsi="Verdana"/>
        </w:rPr>
      </w:pPr>
      <w:r>
        <w:rPr>
          <w:rFonts w:ascii="Verdana" w:hAnsi="Verdana"/>
        </w:rPr>
        <w:t xml:space="preserve">la furnizare de servicii alimentare și băuturi pentru transportul public, în special pentru transportul aerian, feroviar, maritim și rutier pe distanțe lungi; </w:t>
      </w:r>
    </w:p>
    <w:p w14:paraId="2BEE1C84" w14:textId="2A4D6B9C" w:rsidR="002B499A" w:rsidRPr="0094255D" w:rsidRDefault="00710998" w:rsidP="00C525D6">
      <w:pPr>
        <w:pStyle w:val="ListParagraph"/>
        <w:numPr>
          <w:ilvl w:val="1"/>
          <w:numId w:val="15"/>
        </w:numPr>
        <w:spacing w:after="0"/>
        <w:ind w:left="1134"/>
        <w:jc w:val="both"/>
        <w:rPr>
          <w:rFonts w:ascii="Verdana" w:hAnsi="Verdana"/>
        </w:rPr>
      </w:pPr>
      <w:r>
        <w:rPr>
          <w:rFonts w:ascii="Verdana" w:hAnsi="Verdana"/>
        </w:rPr>
        <w:t>în alte locuri care oferă servicii de alimentație publică sau de servire a băuturilor;</w:t>
      </w:r>
    </w:p>
    <w:p w14:paraId="736DE681" w14:textId="56E853A4" w:rsidR="00CB2CFD" w:rsidRPr="007B286C" w:rsidRDefault="002B499A" w:rsidP="00C525D6">
      <w:pPr>
        <w:pStyle w:val="ListParagraph"/>
        <w:numPr>
          <w:ilvl w:val="0"/>
          <w:numId w:val="16"/>
        </w:numPr>
        <w:ind w:left="709"/>
        <w:jc w:val="both"/>
        <w:rPr>
          <w:rFonts w:ascii="Verdana" w:hAnsi="Verdana"/>
        </w:rPr>
      </w:pPr>
      <w:r>
        <w:rPr>
          <w:rFonts w:ascii="Verdana" w:hAnsi="Verdana"/>
        </w:rPr>
        <w:t>Începând cu 1 septembrie 2021, produsele din plastic de unică folosință menționate la articolul 4 literele (b)-(e) și (g)-(i) nu pot fi puse la dispoziție pe piața comerțului cu amănuntul.</w:t>
      </w:r>
    </w:p>
    <w:p w14:paraId="61142026" w14:textId="77777777" w:rsidR="00537243" w:rsidRPr="00C63B34" w:rsidRDefault="00537243" w:rsidP="00537243">
      <w:pPr>
        <w:jc w:val="both"/>
        <w:rPr>
          <w:rFonts w:ascii="Verdana" w:hAnsi="Verdana"/>
        </w:rPr>
      </w:pPr>
    </w:p>
    <w:p w14:paraId="62E5A404" w14:textId="00157340" w:rsidR="009820C4" w:rsidRPr="00C63B34" w:rsidRDefault="00537243" w:rsidP="005F42E9">
      <w:pPr>
        <w:pStyle w:val="Heading1"/>
        <w:tabs>
          <w:tab w:val="clear" w:pos="3969"/>
          <w:tab w:val="left" w:pos="2410"/>
        </w:tabs>
      </w:pPr>
      <w:r>
        <w:br/>
      </w:r>
      <w:bookmarkStart w:id="8" w:name="_Ref66120157"/>
      <w:r>
        <w:t>Reducerea consumului anumitor produse de unică folosință</w:t>
      </w:r>
      <w:bookmarkEnd w:id="8"/>
    </w:p>
    <w:p w14:paraId="5075E463" w14:textId="593841C0" w:rsidR="003517C6" w:rsidRDefault="009870C4" w:rsidP="009870C4">
      <w:pPr>
        <w:pStyle w:val="Heading2"/>
        <w:numPr>
          <w:ilvl w:val="0"/>
          <w:numId w:val="0"/>
        </w:numPr>
        <w:tabs>
          <w:tab w:val="clear" w:pos="1701"/>
          <w:tab w:val="left" w:pos="1276"/>
        </w:tabs>
        <w:ind w:left="426"/>
      </w:pPr>
      <w:r>
        <w:t>Articolul 6</w:t>
      </w:r>
      <w:r>
        <w:br/>
      </w:r>
      <w:bookmarkStart w:id="9" w:name="_Ref66120163"/>
      <w:r>
        <w:t>Produsele reglementate</w:t>
      </w:r>
      <w:bookmarkEnd w:id="9"/>
    </w:p>
    <w:p w14:paraId="70DD4751" w14:textId="77777777" w:rsidR="006610EC" w:rsidRPr="006610EC" w:rsidRDefault="006610EC" w:rsidP="006610EC"/>
    <w:p w14:paraId="7F902BC6" w14:textId="241162D0" w:rsidR="003517C6" w:rsidRPr="00412FEF" w:rsidRDefault="002B499A" w:rsidP="00C525D6">
      <w:pPr>
        <w:pStyle w:val="ListParagraph"/>
        <w:numPr>
          <w:ilvl w:val="0"/>
          <w:numId w:val="19"/>
        </w:numPr>
        <w:ind w:left="709"/>
        <w:jc w:val="both"/>
        <w:rPr>
          <w:rFonts w:ascii="Verdana" w:hAnsi="Verdana"/>
        </w:rPr>
      </w:pPr>
      <w:bookmarkStart w:id="10" w:name="_Hlk66395012"/>
      <w:r>
        <w:t xml:space="preserve">Obiectivele și măsurile prevăzute în prezentul capitol se aplică </w:t>
      </w:r>
      <w:bookmarkEnd w:id="10"/>
      <w:r>
        <w:t>următoarelor produse din plastic de unică folosință:</w:t>
      </w:r>
    </w:p>
    <w:p w14:paraId="4AD81EA3" w14:textId="77777777" w:rsidR="00DB4ADB" w:rsidRDefault="003517C6" w:rsidP="00C525D6">
      <w:pPr>
        <w:pStyle w:val="ListParagraph"/>
        <w:numPr>
          <w:ilvl w:val="0"/>
          <w:numId w:val="21"/>
        </w:numPr>
        <w:spacing w:line="240" w:lineRule="auto"/>
        <w:rPr>
          <w:rFonts w:ascii="Verdana" w:hAnsi="Verdana"/>
        </w:rPr>
      </w:pPr>
      <w:r>
        <w:rPr>
          <w:rFonts w:ascii="Verdana" w:hAnsi="Verdana"/>
        </w:rPr>
        <w:t>pahare pentru băuturi, inclusiv dopurile și capacele acestora;</w:t>
      </w:r>
    </w:p>
    <w:p w14:paraId="759F0DDA" w14:textId="724DD719" w:rsidR="00DB4ADB" w:rsidRPr="00DB4ADB" w:rsidRDefault="00DB4ADB" w:rsidP="00C525D6">
      <w:pPr>
        <w:pStyle w:val="ListParagraph"/>
        <w:numPr>
          <w:ilvl w:val="0"/>
          <w:numId w:val="21"/>
        </w:numPr>
        <w:spacing w:line="240" w:lineRule="auto"/>
        <w:rPr>
          <w:rFonts w:ascii="Verdana" w:hAnsi="Verdana"/>
        </w:rPr>
      </w:pPr>
      <w:r>
        <w:rPr>
          <w:rFonts w:ascii="Verdana" w:hAnsi="Verdana"/>
        </w:rPr>
        <w:t xml:space="preserve">recipiente pentru alimente, adică recipiente, cum ar fi cutii, cu sau fără capac, inclusiv recipiente pentru alimente utilizate pentru meniuri de tip fast food sau alte meniuri gata pentru consum imediat, cu excepția recipientelor pentru băuturi, a farfuriilor, a pachetelor și a foliilor din material flexibil care conțin produse alimentare care: </w:t>
      </w:r>
    </w:p>
    <w:p w14:paraId="12BD86D7" w14:textId="0A3DCCD8" w:rsidR="003517C6" w:rsidRPr="004352AA" w:rsidRDefault="003517C6" w:rsidP="00C525D6">
      <w:pPr>
        <w:pStyle w:val="ListParagraph"/>
        <w:numPr>
          <w:ilvl w:val="2"/>
          <w:numId w:val="7"/>
        </w:numPr>
        <w:tabs>
          <w:tab w:val="left" w:pos="1701"/>
        </w:tabs>
        <w:spacing w:line="240" w:lineRule="auto"/>
        <w:ind w:left="1701" w:hanging="283"/>
        <w:rPr>
          <w:rFonts w:ascii="Verdana" w:hAnsi="Verdana"/>
        </w:rPr>
      </w:pPr>
      <w:r>
        <w:rPr>
          <w:rFonts w:ascii="Verdana" w:hAnsi="Verdana"/>
        </w:rPr>
        <w:t>sunt destinate consumului imediat, fie pe loc, fie la pachet;</w:t>
      </w:r>
    </w:p>
    <w:p w14:paraId="668EF09B" w14:textId="77777777" w:rsidR="004854CF" w:rsidRDefault="003517C6" w:rsidP="00C525D6">
      <w:pPr>
        <w:pStyle w:val="ListParagraph"/>
        <w:numPr>
          <w:ilvl w:val="2"/>
          <w:numId w:val="7"/>
        </w:numPr>
        <w:tabs>
          <w:tab w:val="left" w:pos="1701"/>
        </w:tabs>
        <w:spacing w:line="240" w:lineRule="auto"/>
        <w:ind w:left="1701" w:hanging="283"/>
        <w:rPr>
          <w:rFonts w:ascii="Verdana" w:hAnsi="Verdana"/>
        </w:rPr>
      </w:pPr>
      <w:r>
        <w:rPr>
          <w:rFonts w:ascii="Verdana" w:hAnsi="Verdana"/>
        </w:rPr>
        <w:t xml:space="preserve">sunt de regulă consumate din recipient; și </w:t>
      </w:r>
    </w:p>
    <w:p w14:paraId="731014F2" w14:textId="4EF6A118" w:rsidR="00EE4CF1" w:rsidRPr="004854CF" w:rsidRDefault="003517C6" w:rsidP="00C525D6">
      <w:pPr>
        <w:pStyle w:val="ListParagraph"/>
        <w:numPr>
          <w:ilvl w:val="2"/>
          <w:numId w:val="7"/>
        </w:numPr>
        <w:tabs>
          <w:tab w:val="left" w:pos="1701"/>
        </w:tabs>
        <w:spacing w:line="240" w:lineRule="auto"/>
        <w:ind w:left="1701" w:hanging="283"/>
        <w:rPr>
          <w:rFonts w:ascii="Verdana" w:hAnsi="Verdana"/>
        </w:rPr>
      </w:pPr>
      <w:r>
        <w:rPr>
          <w:rFonts w:ascii="Verdana" w:hAnsi="Verdana"/>
        </w:rPr>
        <w:t>sunt gata de consum fără a necesita o pregătire suplimentară precum gătirea, fierberea sau încălzirea;</w:t>
      </w:r>
    </w:p>
    <w:p w14:paraId="2AD40F3A" w14:textId="3C9B19E0" w:rsidR="00EE4CF1" w:rsidRPr="00EE4CF1" w:rsidRDefault="00EE4CF1" w:rsidP="00C525D6">
      <w:pPr>
        <w:pStyle w:val="ListParagraph"/>
        <w:numPr>
          <w:ilvl w:val="0"/>
          <w:numId w:val="19"/>
        </w:numPr>
        <w:ind w:left="709"/>
        <w:jc w:val="both"/>
        <w:rPr>
          <w:rFonts w:ascii="Verdana" w:hAnsi="Verdana"/>
        </w:rPr>
      </w:pPr>
      <w:r>
        <w:rPr>
          <w:rFonts w:ascii="Verdana" w:hAnsi="Verdana"/>
        </w:rPr>
        <w:lastRenderedPageBreak/>
        <w:t xml:space="preserve">Măsurile prevăzute în prezentul capitol se aplică, de asemenea, ambalajelor de unică folosință fabricate din materiale de orice tip. </w:t>
      </w:r>
    </w:p>
    <w:p w14:paraId="22D8CA39" w14:textId="2458F658" w:rsidR="00EE4CF1" w:rsidRPr="00E0517F" w:rsidRDefault="00EE4CF1" w:rsidP="00E0517F">
      <w:pPr>
        <w:pStyle w:val="ListParagraph"/>
        <w:tabs>
          <w:tab w:val="left" w:pos="1418"/>
        </w:tabs>
        <w:spacing w:line="240" w:lineRule="auto"/>
        <w:ind w:left="928"/>
        <w:jc w:val="both"/>
        <w:rPr>
          <w:rFonts w:ascii="Verdana" w:hAnsi="Verdana"/>
        </w:rPr>
      </w:pPr>
    </w:p>
    <w:p w14:paraId="1D17E251" w14:textId="77777777" w:rsidR="003517C6" w:rsidRPr="003F6B93" w:rsidRDefault="003517C6" w:rsidP="00DA7B55">
      <w:pPr>
        <w:spacing w:line="240" w:lineRule="auto"/>
        <w:rPr>
          <w:rFonts w:ascii="Verdana" w:hAnsi="Verdana"/>
        </w:rPr>
      </w:pPr>
    </w:p>
    <w:p w14:paraId="228E0377" w14:textId="3E6E1736" w:rsidR="006610EC" w:rsidRDefault="009870C4" w:rsidP="009870C4">
      <w:pPr>
        <w:pStyle w:val="Heading2"/>
        <w:numPr>
          <w:ilvl w:val="0"/>
          <w:numId w:val="0"/>
        </w:numPr>
        <w:tabs>
          <w:tab w:val="clear" w:pos="1701"/>
          <w:tab w:val="left" w:pos="1418"/>
        </w:tabs>
        <w:ind w:left="426"/>
      </w:pPr>
      <w:r>
        <w:t>Articolul 7</w:t>
      </w:r>
      <w:r>
        <w:br/>
        <w:t xml:space="preserve">Obiective </w:t>
      </w:r>
      <w:bookmarkStart w:id="11" w:name="_Ref63441995"/>
      <w:r>
        <w:t>naționale</w:t>
      </w:r>
      <w:bookmarkEnd w:id="11"/>
    </w:p>
    <w:p w14:paraId="492E42DB" w14:textId="77777777" w:rsidR="006610EC" w:rsidRPr="006610EC" w:rsidRDefault="006610EC" w:rsidP="006610EC"/>
    <w:p w14:paraId="5094710A" w14:textId="7A2B46ED" w:rsidR="00272EF8" w:rsidRPr="007B286C" w:rsidRDefault="00910B5B" w:rsidP="00C525D6">
      <w:pPr>
        <w:pStyle w:val="ListParagraph"/>
        <w:numPr>
          <w:ilvl w:val="0"/>
          <w:numId w:val="20"/>
        </w:numPr>
        <w:ind w:left="709"/>
        <w:jc w:val="both"/>
        <w:rPr>
          <w:rFonts w:ascii="Verdana" w:hAnsi="Verdana"/>
        </w:rPr>
      </w:pPr>
      <w:r>
        <w:rPr>
          <w:rFonts w:ascii="Verdana" w:hAnsi="Verdana"/>
        </w:rPr>
        <w:t>Pentru a realiza o reducere ambițioasă și susținută a consumului produselor din plastic de unică folosință menționate la alineatul (1) al articolului precedent, sunt stabilite următoarele obiective naționale:</w:t>
      </w:r>
    </w:p>
    <w:p w14:paraId="69C17B00" w14:textId="3D28CD94" w:rsidR="00272EF8" w:rsidRPr="007B286C" w:rsidRDefault="00272EF8" w:rsidP="00C525D6">
      <w:pPr>
        <w:pStyle w:val="ListParagraph"/>
        <w:numPr>
          <w:ilvl w:val="0"/>
          <w:numId w:val="22"/>
        </w:numPr>
        <w:spacing w:line="240" w:lineRule="auto"/>
        <w:rPr>
          <w:rFonts w:ascii="Verdana" w:hAnsi="Verdana"/>
        </w:rPr>
      </w:pPr>
      <w:r>
        <w:rPr>
          <w:rFonts w:ascii="Verdana" w:hAnsi="Verdana"/>
        </w:rPr>
        <w:t xml:space="preserve">până la 31 decembrie 2026, o reducere cu 30 % a consumului, față de anul 2022; </w:t>
      </w:r>
    </w:p>
    <w:p w14:paraId="3E989E32" w14:textId="400E6B2C" w:rsidR="00272EF8" w:rsidRPr="007B286C" w:rsidRDefault="00272EF8" w:rsidP="00C525D6">
      <w:pPr>
        <w:pStyle w:val="ListParagraph"/>
        <w:numPr>
          <w:ilvl w:val="0"/>
          <w:numId w:val="22"/>
        </w:numPr>
        <w:spacing w:line="240" w:lineRule="auto"/>
        <w:rPr>
          <w:rFonts w:ascii="Verdana" w:hAnsi="Verdana"/>
        </w:rPr>
      </w:pPr>
      <w:r>
        <w:rPr>
          <w:rFonts w:ascii="Verdana" w:hAnsi="Verdana"/>
        </w:rPr>
        <w:t>până la 31 decembrie 2030, o reducere a consumului cu 50 % față de anul 2022.</w:t>
      </w:r>
    </w:p>
    <w:p w14:paraId="71F8F0EB" w14:textId="2BB14403" w:rsidR="00397D00" w:rsidRPr="007B286C" w:rsidRDefault="00272EF8" w:rsidP="00C525D6">
      <w:pPr>
        <w:pStyle w:val="ListParagraph"/>
        <w:numPr>
          <w:ilvl w:val="0"/>
          <w:numId w:val="20"/>
        </w:numPr>
        <w:ind w:left="709"/>
        <w:jc w:val="both"/>
        <w:rPr>
          <w:rFonts w:ascii="Verdana" w:hAnsi="Verdana"/>
        </w:rPr>
      </w:pPr>
      <w:r>
        <w:rPr>
          <w:rFonts w:ascii="Verdana" w:hAnsi="Verdana"/>
        </w:rPr>
        <w:t xml:space="preserve">Agenția Portugheză de Mediu (APA, I.P.) monitorizează reducerea consumului de produse din plastic de unică folosință menționate la alineatul precedent. </w:t>
      </w:r>
    </w:p>
    <w:p w14:paraId="6D006D24" w14:textId="58634EE7" w:rsidR="00CA6349" w:rsidRPr="007B286C" w:rsidRDefault="00CA6349" w:rsidP="00C525D6">
      <w:pPr>
        <w:pStyle w:val="ListParagraph"/>
        <w:numPr>
          <w:ilvl w:val="0"/>
          <w:numId w:val="20"/>
        </w:numPr>
        <w:ind w:left="709"/>
        <w:jc w:val="both"/>
        <w:rPr>
          <w:rFonts w:ascii="Verdana" w:hAnsi="Verdana"/>
        </w:rPr>
      </w:pPr>
      <w:r>
        <w:rPr>
          <w:rFonts w:ascii="Verdana" w:hAnsi="Verdana"/>
        </w:rPr>
        <w:t>Obiectivele prevăzute la alineatul (1) pot fi revizuite în cazul în care se consideră necesar din motive tehnologice sau de piață sau ca urmare a evoluțiilor legislației Uniunii Europene.</w:t>
      </w:r>
    </w:p>
    <w:p w14:paraId="6497D82A" w14:textId="03A8E60E" w:rsidR="00272EF8" w:rsidRPr="007B286C" w:rsidRDefault="0001108C" w:rsidP="00C525D6">
      <w:pPr>
        <w:pStyle w:val="ListParagraph"/>
        <w:numPr>
          <w:ilvl w:val="0"/>
          <w:numId w:val="20"/>
        </w:numPr>
        <w:ind w:left="709"/>
        <w:jc w:val="both"/>
        <w:rPr>
          <w:rFonts w:ascii="Verdana" w:hAnsi="Verdana"/>
        </w:rPr>
      </w:pPr>
      <w:r>
        <w:rPr>
          <w:rFonts w:ascii="Verdana" w:hAnsi="Verdana"/>
        </w:rPr>
        <w:t xml:space="preserve">Obiectivele de reducere prevăzute la alineatul (1) se măsoară în unități introduse pe piață, fără a se aduce atingere metodologiei de calcul și de verificare a reducerii consumului de produse din plastic de unică folosință care va fi stabilită de Comisia Europeană printr-un act de punere în aplicare. </w:t>
      </w:r>
    </w:p>
    <w:p w14:paraId="4A16461A" w14:textId="2C271DA5" w:rsidR="00A75EDB" w:rsidRPr="007B286C" w:rsidRDefault="004400C2" w:rsidP="00C525D6">
      <w:pPr>
        <w:pStyle w:val="ListParagraph"/>
        <w:numPr>
          <w:ilvl w:val="0"/>
          <w:numId w:val="20"/>
        </w:numPr>
        <w:ind w:left="709"/>
        <w:jc w:val="both"/>
        <w:rPr>
          <w:rFonts w:ascii="Verdana" w:hAnsi="Verdana"/>
        </w:rPr>
      </w:pPr>
      <w:bookmarkStart w:id="12" w:name="_Hlk66286637"/>
      <w:r>
        <w:rPr>
          <w:rFonts w:ascii="Verdana" w:hAnsi="Verdana"/>
        </w:rPr>
        <w:t>În cazul în care unul dintre obiectivele menționate la alineatul (1) nu a fost atins, Guvernul ia în considerare adoptarea unor noi măsuri, care pot implica, printre altele, stabilirea unor restricții la comercializarea produselor respective.</w:t>
      </w:r>
    </w:p>
    <w:bookmarkEnd w:id="12"/>
    <w:p w14:paraId="63E08606" w14:textId="77777777" w:rsidR="003F40CB" w:rsidRPr="00661287" w:rsidRDefault="003F40CB" w:rsidP="003F40CB">
      <w:pPr>
        <w:pStyle w:val="ListParagraph"/>
        <w:ind w:left="928"/>
        <w:jc w:val="both"/>
        <w:rPr>
          <w:rFonts w:ascii="Verdana" w:hAnsi="Verdana" w:cs="Arial"/>
          <w:color w:val="000000" w:themeColor="text1"/>
        </w:rPr>
      </w:pPr>
    </w:p>
    <w:p w14:paraId="200B45FB" w14:textId="03D3A032" w:rsidR="006610EC" w:rsidRPr="006610EC" w:rsidRDefault="00AC3F76" w:rsidP="000600E7">
      <w:pPr>
        <w:pStyle w:val="Heading2"/>
        <w:numPr>
          <w:ilvl w:val="0"/>
          <w:numId w:val="0"/>
        </w:numPr>
        <w:tabs>
          <w:tab w:val="clear" w:pos="1701"/>
          <w:tab w:val="left" w:pos="1276"/>
        </w:tabs>
        <w:ind w:left="426"/>
      </w:pPr>
      <w:r>
        <w:t>Articolul 8</w:t>
      </w:r>
      <w:r>
        <w:br/>
        <w:t>Măsuri</w:t>
      </w:r>
    </w:p>
    <w:p w14:paraId="1030757F" w14:textId="01220FF2" w:rsidR="00D73085" w:rsidRPr="007B286C" w:rsidRDefault="00D73085" w:rsidP="00C525D6">
      <w:pPr>
        <w:pStyle w:val="ListParagraph"/>
        <w:numPr>
          <w:ilvl w:val="0"/>
          <w:numId w:val="23"/>
        </w:numPr>
        <w:tabs>
          <w:tab w:val="left" w:pos="993"/>
        </w:tabs>
        <w:ind w:left="709"/>
        <w:jc w:val="both"/>
        <w:rPr>
          <w:rFonts w:ascii="Verdana" w:hAnsi="Verdana"/>
        </w:rPr>
      </w:pPr>
      <w:bookmarkStart w:id="13" w:name="_Hlk65426299"/>
      <w:r>
        <w:rPr>
          <w:rFonts w:ascii="Verdana" w:hAnsi="Verdana"/>
        </w:rPr>
        <w:t xml:space="preserve">Începând cu 1 ianuarie 2023, unitățile care utilizează ambalaje de unică folosință pentru alimente și băuturi pentru furnizarea de meniuri gata de consum imediat și la pachet sau pentru livrarea la domiciliu au obligația să pună la dispoziția clienților lor alternative reutilizabile prin </w:t>
      </w:r>
      <w:r>
        <w:rPr>
          <w:rFonts w:ascii="Verdana" w:hAnsi="Verdana"/>
        </w:rPr>
        <w:lastRenderedPageBreak/>
        <w:t>perceperea unui taxe care va fi rambursată la returnarea ambalajului în conformitate cu articolul 23 din Unilex.</w:t>
      </w:r>
    </w:p>
    <w:bookmarkEnd w:id="13"/>
    <w:p w14:paraId="4BFA6D9C" w14:textId="0D8D0465" w:rsidR="002845B5" w:rsidRPr="007B286C" w:rsidRDefault="002845B5" w:rsidP="00C525D6">
      <w:pPr>
        <w:pStyle w:val="ListParagraph"/>
        <w:numPr>
          <w:ilvl w:val="0"/>
          <w:numId w:val="23"/>
        </w:numPr>
        <w:tabs>
          <w:tab w:val="left" w:pos="993"/>
        </w:tabs>
        <w:ind w:left="709"/>
        <w:jc w:val="both"/>
        <w:rPr>
          <w:rFonts w:ascii="Verdana" w:hAnsi="Verdana"/>
        </w:rPr>
      </w:pPr>
      <w:r>
        <w:rPr>
          <w:rFonts w:ascii="Verdana" w:hAnsi="Verdana"/>
        </w:rPr>
        <w:t>Unitățile prevăzute la alineatul precedent nu pot pune la dispoziție o unitate de vânzare constând într-un produs și un ambalaj reutilizabil la un preț mai mare sau în condiții mai puțin avantajoase față de unitatea de vânzare alcătuită din același produs și un ambalaj de unică folosință.</w:t>
      </w:r>
    </w:p>
    <w:p w14:paraId="37D279AC" w14:textId="10E0978B" w:rsidR="002845B5" w:rsidRPr="007B286C" w:rsidRDefault="002845B5" w:rsidP="00C525D6">
      <w:pPr>
        <w:pStyle w:val="ListParagraph"/>
        <w:numPr>
          <w:ilvl w:val="0"/>
          <w:numId w:val="23"/>
        </w:numPr>
        <w:tabs>
          <w:tab w:val="left" w:pos="993"/>
        </w:tabs>
        <w:ind w:left="709"/>
        <w:jc w:val="both"/>
        <w:rPr>
          <w:rFonts w:ascii="Verdana" w:hAnsi="Verdana"/>
        </w:rPr>
      </w:pPr>
      <w:bookmarkStart w:id="14" w:name="_Hlk65426360"/>
      <w:r>
        <w:rPr>
          <w:rFonts w:ascii="Verdana" w:hAnsi="Verdana"/>
        </w:rPr>
        <w:t xml:space="preserve">Unitățile menționate la alineatul (1) cu o suprafață mai mică de 150 metri pătrați pot alege să nu respecte alineatul (1), fără a aduce atingere respectării obligațiilor prevăzute la articolul 25b alineatul (1) din Unilex. </w:t>
      </w:r>
    </w:p>
    <w:bookmarkEnd w:id="14"/>
    <w:p w14:paraId="2092922E" w14:textId="7B8B12EB" w:rsidR="002845B5" w:rsidRPr="007B286C" w:rsidRDefault="001A4D54" w:rsidP="00C525D6">
      <w:pPr>
        <w:pStyle w:val="ListParagraph"/>
        <w:numPr>
          <w:ilvl w:val="0"/>
          <w:numId w:val="23"/>
        </w:numPr>
        <w:tabs>
          <w:tab w:val="left" w:pos="993"/>
        </w:tabs>
        <w:ind w:left="709"/>
        <w:jc w:val="both"/>
        <w:rPr>
          <w:rFonts w:ascii="Verdana" w:hAnsi="Verdana"/>
        </w:rPr>
      </w:pPr>
      <w:r>
        <w:rPr>
          <w:rFonts w:ascii="Verdana" w:hAnsi="Verdana"/>
        </w:rPr>
        <w:t>În cazul furnizării de meniuri gata de consum prin intermediul automatelor care utilizează ambalaje de unică folosință pentru produse alimentare și băuturi, respectarea obligației de a pune la dispoziție alternative reutilizabile poate fi asigurată permițând clienților să utilizeze propriile lor recipiente, iar această opțiune ar trebui indicată în mod clar prin furnizarea informațiilor necesare.</w:t>
      </w:r>
    </w:p>
    <w:p w14:paraId="2161C326" w14:textId="722EFAC1" w:rsidR="009B01EE" w:rsidRPr="007B286C" w:rsidRDefault="009B01EE" w:rsidP="00C525D6">
      <w:pPr>
        <w:pStyle w:val="ListParagraph"/>
        <w:numPr>
          <w:ilvl w:val="0"/>
          <w:numId w:val="23"/>
        </w:numPr>
        <w:tabs>
          <w:tab w:val="left" w:pos="993"/>
        </w:tabs>
        <w:ind w:left="709"/>
        <w:jc w:val="both"/>
        <w:rPr>
          <w:rFonts w:ascii="Verdana" w:hAnsi="Verdana"/>
        </w:rPr>
      </w:pPr>
      <w:r>
        <w:rPr>
          <w:rFonts w:ascii="Verdana" w:hAnsi="Verdana"/>
        </w:rPr>
        <w:t xml:space="preserve">Începând cu 1 ianuarie 2022, utilizarea vaselor reutilizabile în toate restaurantele sau unitățile de servire a băuturilor este obligatorie în cazul vânzării pentru consum pe loc. </w:t>
      </w:r>
    </w:p>
    <w:p w14:paraId="498C4088" w14:textId="694CDB5F" w:rsidR="002845B5" w:rsidRPr="007B286C" w:rsidRDefault="002845B5" w:rsidP="00C525D6">
      <w:pPr>
        <w:pStyle w:val="ListParagraph"/>
        <w:numPr>
          <w:ilvl w:val="0"/>
          <w:numId w:val="23"/>
        </w:numPr>
        <w:tabs>
          <w:tab w:val="left" w:pos="993"/>
        </w:tabs>
        <w:ind w:left="709"/>
        <w:jc w:val="both"/>
        <w:rPr>
          <w:rFonts w:ascii="Verdana" w:hAnsi="Verdana"/>
        </w:rPr>
      </w:pPr>
      <w:r>
        <w:rPr>
          <w:rFonts w:ascii="Verdana" w:hAnsi="Verdana"/>
        </w:rPr>
        <w:t>În conformitate cu măsura prevăzută la articolul 25a alineatul (5) din Unilex, paharele care urmează să fie puse la dispoziție în unități din sectorul hotelier, restaurante și servicii de alimentație publică trebuie să fie reutilizabile.</w:t>
      </w:r>
    </w:p>
    <w:p w14:paraId="41413B7A" w14:textId="374ECD6A" w:rsidR="00794BCB" w:rsidRPr="007B286C" w:rsidRDefault="00794BCB" w:rsidP="00C525D6">
      <w:pPr>
        <w:pStyle w:val="ListParagraph"/>
        <w:numPr>
          <w:ilvl w:val="0"/>
          <w:numId w:val="23"/>
        </w:numPr>
        <w:tabs>
          <w:tab w:val="left" w:pos="993"/>
        </w:tabs>
        <w:ind w:left="709"/>
        <w:jc w:val="both"/>
        <w:rPr>
          <w:rFonts w:ascii="Verdana" w:hAnsi="Verdana"/>
        </w:rPr>
      </w:pPr>
      <w:r>
        <w:rPr>
          <w:rFonts w:ascii="Verdana" w:hAnsi="Verdana"/>
        </w:rPr>
        <w:t xml:space="preserve"> Producătorii de pahare pentru băuturi și recipiente pentru alimente menționate la articolul 6 alineatul (1), individual sau prin sisteme de gestionare integrate, promovează cercetarea și dezvoltarea de soluții alternative durabile la astfel de produse din plastic de unică folosință, prezentându-și rezultatele către APA, I.P. și Direcția Generală a Activităților Economice (DGAE) până la 30 iunie 2024.</w:t>
      </w:r>
    </w:p>
    <w:p w14:paraId="4488AD4B" w14:textId="679C933C" w:rsidR="00794BCB" w:rsidRPr="007B286C" w:rsidRDefault="00794BCB" w:rsidP="00C525D6">
      <w:pPr>
        <w:pStyle w:val="ListParagraph"/>
        <w:numPr>
          <w:ilvl w:val="0"/>
          <w:numId w:val="23"/>
        </w:numPr>
        <w:tabs>
          <w:tab w:val="left" w:pos="993"/>
        </w:tabs>
        <w:ind w:left="709"/>
        <w:jc w:val="both"/>
        <w:rPr>
          <w:rFonts w:ascii="Verdana" w:hAnsi="Verdana"/>
        </w:rPr>
      </w:pPr>
      <w:r>
        <w:rPr>
          <w:rFonts w:ascii="Verdana" w:hAnsi="Verdana"/>
        </w:rPr>
        <w:t>În funcție de constatările la care se face referire la alineatul precedent, guvernul va evalua implementarea de stimulente pentru proiecte de inovare și proiectare ecologică care să contribuie la înlocuirea produselor din plastic de unică folosință.</w:t>
      </w:r>
    </w:p>
    <w:p w14:paraId="674B59CC" w14:textId="17533D97" w:rsidR="002B55CA" w:rsidRPr="007B286C" w:rsidRDefault="002845B5" w:rsidP="00C525D6">
      <w:pPr>
        <w:pStyle w:val="ListParagraph"/>
        <w:numPr>
          <w:ilvl w:val="0"/>
          <w:numId w:val="23"/>
        </w:numPr>
        <w:tabs>
          <w:tab w:val="left" w:pos="993"/>
        </w:tabs>
        <w:ind w:left="709"/>
        <w:jc w:val="both"/>
        <w:rPr>
          <w:rFonts w:ascii="Verdana" w:hAnsi="Verdana"/>
        </w:rPr>
      </w:pPr>
      <w:r>
        <w:t>De asemenea, acestea contribuie la realizarea obiectivelor prevăzute la articolul 7, articolul 25b din Unilex și la articolul 320 din Legea nr. 75-B/2020 din 31 decembrie 2020.</w:t>
      </w:r>
    </w:p>
    <w:p w14:paraId="3A42FDB6" w14:textId="6F6E9142" w:rsidR="00824535" w:rsidRPr="007B286C" w:rsidRDefault="00824535" w:rsidP="00C525D6">
      <w:pPr>
        <w:pStyle w:val="ListParagraph"/>
        <w:numPr>
          <w:ilvl w:val="0"/>
          <w:numId w:val="23"/>
        </w:numPr>
        <w:tabs>
          <w:tab w:val="left" w:pos="993"/>
        </w:tabs>
        <w:ind w:left="709"/>
        <w:jc w:val="both"/>
        <w:rPr>
          <w:rFonts w:ascii="Verdana" w:hAnsi="Verdana"/>
        </w:rPr>
      </w:pPr>
      <w:r>
        <w:t>Până la 31 decembrie 2024, APA, I.P. și DGAE trebuie să evalueze deja necesitatea de a introduce noi măsuri pentru a sprijini realizarea obiectivelor menționate la articolul 7.</w:t>
      </w:r>
    </w:p>
    <w:p w14:paraId="05FAE9EA" w14:textId="77777777" w:rsidR="00DB4ADB" w:rsidRPr="00BF777F" w:rsidRDefault="00DB4ADB" w:rsidP="00DB4ADB">
      <w:pPr>
        <w:pStyle w:val="CommentText"/>
        <w:ind w:left="928"/>
        <w:jc w:val="both"/>
        <w:rPr>
          <w:rFonts w:ascii="Verdana" w:hAnsi="Verdana"/>
          <w:sz w:val="22"/>
          <w:szCs w:val="22"/>
          <w:shd w:val="clear" w:color="auto" w:fill="F5F5F5"/>
        </w:rPr>
      </w:pPr>
    </w:p>
    <w:p w14:paraId="61C7EC5F" w14:textId="1597687A" w:rsidR="00272EF8" w:rsidRDefault="00272EF8" w:rsidP="00241552">
      <w:pPr>
        <w:pStyle w:val="ListParagraph"/>
        <w:jc w:val="center"/>
        <w:rPr>
          <w:rFonts w:ascii="Verdana" w:hAnsi="Verdana" w:cs="Arial"/>
          <w:sz w:val="21"/>
          <w:szCs w:val="21"/>
        </w:rPr>
      </w:pPr>
    </w:p>
    <w:p w14:paraId="4DC3DC77" w14:textId="0D77645C" w:rsidR="00272EF8" w:rsidRDefault="00AC3F76" w:rsidP="000600E7">
      <w:pPr>
        <w:pStyle w:val="Heading2"/>
        <w:numPr>
          <w:ilvl w:val="0"/>
          <w:numId w:val="0"/>
        </w:numPr>
        <w:tabs>
          <w:tab w:val="clear" w:pos="1701"/>
          <w:tab w:val="left" w:pos="1276"/>
        </w:tabs>
        <w:ind w:left="426"/>
      </w:pPr>
      <w:r>
        <w:lastRenderedPageBreak/>
        <w:t>Articolul 9</w:t>
      </w:r>
      <w:r>
        <w:br/>
        <w:t>Acordul sectorial</w:t>
      </w:r>
      <w:bookmarkStart w:id="15" w:name="_Ref66120795"/>
    </w:p>
    <w:p w14:paraId="31D06C8D" w14:textId="77777777" w:rsidR="00014396" w:rsidRPr="00014396" w:rsidRDefault="00014396" w:rsidP="00014396"/>
    <w:bookmarkEnd w:id="15"/>
    <w:p w14:paraId="0A4B94C3" w14:textId="7BF6D273" w:rsidR="003517C6" w:rsidRPr="007B286C" w:rsidRDefault="00544073" w:rsidP="00C525D6">
      <w:pPr>
        <w:pStyle w:val="ListParagraph"/>
        <w:numPr>
          <w:ilvl w:val="0"/>
          <w:numId w:val="25"/>
        </w:numPr>
        <w:tabs>
          <w:tab w:val="left" w:pos="993"/>
        </w:tabs>
        <w:ind w:left="709"/>
        <w:jc w:val="both"/>
        <w:rPr>
          <w:rFonts w:ascii="Verdana" w:hAnsi="Verdana"/>
        </w:rPr>
      </w:pPr>
      <w:r>
        <w:t>Rezultatele obținute printr-un acord sectorial care urmează să fie încheiat între DGAE și toate structurile reprezentative ale diferitelor sectoare implicate în industrie, comerț, distribuție și alimentație publică contribuie la realizarea obiectivelor stabilite în raport.</w:t>
      </w:r>
    </w:p>
    <w:p w14:paraId="58E91BDD" w14:textId="238AB656" w:rsidR="000216F2" w:rsidRPr="007B286C" w:rsidRDefault="000216F2" w:rsidP="00C525D6">
      <w:pPr>
        <w:pStyle w:val="ListParagraph"/>
        <w:numPr>
          <w:ilvl w:val="0"/>
          <w:numId w:val="25"/>
        </w:numPr>
        <w:tabs>
          <w:tab w:val="left" w:pos="993"/>
        </w:tabs>
        <w:ind w:left="709"/>
        <w:jc w:val="both"/>
        <w:rPr>
          <w:rFonts w:ascii="Verdana" w:hAnsi="Verdana"/>
        </w:rPr>
      </w:pPr>
      <w:r>
        <w:rPr>
          <w:rFonts w:ascii="Verdana" w:hAnsi="Verdana"/>
        </w:rPr>
        <w:t xml:space="preserve">Orice altă entitate care funcționează în sectoarele menționate la alineatul precedent care nu a încorporat structurile reprezentative poate, de asemenea, să adere voluntar la acord. </w:t>
      </w:r>
    </w:p>
    <w:p w14:paraId="2B3D80B9" w14:textId="77777777" w:rsidR="00544073" w:rsidRPr="007B286C" w:rsidRDefault="00544073" w:rsidP="00C525D6">
      <w:pPr>
        <w:pStyle w:val="ListParagraph"/>
        <w:numPr>
          <w:ilvl w:val="0"/>
          <w:numId w:val="25"/>
        </w:numPr>
        <w:tabs>
          <w:tab w:val="left" w:pos="993"/>
        </w:tabs>
        <w:ind w:left="709"/>
        <w:jc w:val="both"/>
        <w:rPr>
          <w:rFonts w:ascii="Verdana" w:hAnsi="Verdana"/>
        </w:rPr>
      </w:pPr>
      <w:bookmarkStart w:id="16" w:name="_Ref66120801"/>
      <w:r>
        <w:rPr>
          <w:rFonts w:ascii="Verdana" w:hAnsi="Verdana"/>
        </w:rPr>
        <w:t>Acordurile menționate la alineatul anterior trebuie să respecte următoarele cerințe:</w:t>
      </w:r>
      <w:bookmarkEnd w:id="16"/>
    </w:p>
    <w:p w14:paraId="380A7111" w14:textId="2AD04D67" w:rsidR="00544073" w:rsidRPr="00F7675E" w:rsidRDefault="00544073" w:rsidP="00C525D6">
      <w:pPr>
        <w:pStyle w:val="ListParagraph"/>
        <w:numPr>
          <w:ilvl w:val="0"/>
          <w:numId w:val="24"/>
        </w:numPr>
        <w:spacing w:line="240" w:lineRule="auto"/>
        <w:rPr>
          <w:rFonts w:ascii="Verdana" w:hAnsi="Verdana"/>
        </w:rPr>
      </w:pPr>
      <w:r>
        <w:rPr>
          <w:rFonts w:ascii="Verdana" w:hAnsi="Verdana"/>
        </w:rPr>
        <w:t>acordurile specifică obiectivele, măsurile sectoriale și termenele corespunzătoare, în funcție de sectorul, tipul de produs și/sau dimensiunea entităților în cauză;</w:t>
      </w:r>
    </w:p>
    <w:p w14:paraId="03A0617C" w14:textId="6F08D608" w:rsidR="00544073" w:rsidRPr="00F7675E" w:rsidRDefault="00544073" w:rsidP="00C525D6">
      <w:pPr>
        <w:pStyle w:val="ListParagraph"/>
        <w:numPr>
          <w:ilvl w:val="0"/>
          <w:numId w:val="24"/>
        </w:numPr>
        <w:spacing w:line="240" w:lineRule="auto"/>
        <w:rPr>
          <w:rFonts w:ascii="Verdana" w:hAnsi="Verdana"/>
        </w:rPr>
      </w:pPr>
      <w:r>
        <w:rPr>
          <w:rFonts w:ascii="Verdana" w:hAnsi="Verdana"/>
        </w:rPr>
        <w:t>rezultatele obținute în temeiul acordurilor sunt monitorizate anual de către DGAE și puse la dispoziția publicului în condițiile prevăzute în acordul în sine;</w:t>
      </w:r>
    </w:p>
    <w:p w14:paraId="1B81D803" w14:textId="77777777" w:rsidR="00A21790" w:rsidRPr="00F7675E" w:rsidRDefault="00284CB1" w:rsidP="00C525D6">
      <w:pPr>
        <w:pStyle w:val="ListParagraph"/>
        <w:numPr>
          <w:ilvl w:val="0"/>
          <w:numId w:val="24"/>
        </w:numPr>
        <w:spacing w:line="240" w:lineRule="auto"/>
        <w:rPr>
          <w:rFonts w:ascii="Verdana" w:hAnsi="Verdana"/>
        </w:rPr>
      </w:pPr>
      <w:r>
        <w:rPr>
          <w:rFonts w:ascii="Verdana" w:hAnsi="Verdana"/>
        </w:rPr>
        <w:t>acordurile se publică pe site-ul internet al DGAE.</w:t>
      </w:r>
    </w:p>
    <w:p w14:paraId="2B468A49" w14:textId="699C2C5C" w:rsidR="00284CB1" w:rsidRPr="00F7675E" w:rsidRDefault="00A21790" w:rsidP="00C525D6">
      <w:pPr>
        <w:pStyle w:val="ListParagraph"/>
        <w:numPr>
          <w:ilvl w:val="0"/>
          <w:numId w:val="25"/>
        </w:numPr>
        <w:tabs>
          <w:tab w:val="left" w:pos="993"/>
        </w:tabs>
        <w:ind w:left="709"/>
        <w:jc w:val="both"/>
        <w:rPr>
          <w:rFonts w:ascii="Verdana" w:hAnsi="Verdana"/>
        </w:rPr>
      </w:pPr>
      <w:r>
        <w:rPr>
          <w:rFonts w:ascii="Verdana" w:hAnsi="Verdana"/>
        </w:rPr>
        <w:t>orice informație care rezultă din monitorizarea acordurilor sectoriale menționate la litera (b) de la alineatul anterior, care contribuie la evaluarea reducerii consumului de produse din plastic de unică folosință, se transmite anual către APA, I.P.;</w:t>
      </w:r>
    </w:p>
    <w:p w14:paraId="402788C3" w14:textId="0921CCEE" w:rsidR="00743415" w:rsidRPr="00F7675E" w:rsidRDefault="00544073" w:rsidP="00C525D6">
      <w:pPr>
        <w:pStyle w:val="ListParagraph"/>
        <w:numPr>
          <w:ilvl w:val="0"/>
          <w:numId w:val="25"/>
        </w:numPr>
        <w:tabs>
          <w:tab w:val="left" w:pos="993"/>
        </w:tabs>
        <w:ind w:left="709"/>
        <w:jc w:val="both"/>
        <w:rPr>
          <w:rFonts w:ascii="Verdana" w:hAnsi="Verdana"/>
        </w:rPr>
      </w:pPr>
      <w:r>
        <w:rPr>
          <w:rFonts w:ascii="Verdana" w:hAnsi="Verdana"/>
        </w:rPr>
        <w:t xml:space="preserve">acordurile menționate la alineatele precedente se întocmesc și se publică până la 30 iunie 2023. </w:t>
      </w:r>
    </w:p>
    <w:p w14:paraId="0324057B" w14:textId="77777777" w:rsidR="00284CB1" w:rsidRPr="00407DEE" w:rsidRDefault="00284CB1" w:rsidP="00407DEE">
      <w:pPr>
        <w:pStyle w:val="ListParagraph"/>
        <w:ind w:left="928"/>
        <w:jc w:val="both"/>
        <w:rPr>
          <w:rFonts w:ascii="Verdana" w:hAnsi="Verdana" w:cs="Arial"/>
        </w:rPr>
      </w:pPr>
    </w:p>
    <w:p w14:paraId="21D34718" w14:textId="4B6E5EB2" w:rsidR="00D61808" w:rsidRPr="008A461E" w:rsidRDefault="008A461E" w:rsidP="008A461E">
      <w:pPr>
        <w:pStyle w:val="Heading1"/>
        <w:tabs>
          <w:tab w:val="clear" w:pos="3969"/>
          <w:tab w:val="left" w:pos="2268"/>
          <w:tab w:val="left" w:pos="2410"/>
        </w:tabs>
      </w:pPr>
      <w:r>
        <w:br/>
        <w:t>Cerințe privind produsele din plastic de unică folosință</w:t>
      </w:r>
    </w:p>
    <w:p w14:paraId="4261089B" w14:textId="77777777" w:rsidR="00F256AF" w:rsidRPr="0023255A" w:rsidRDefault="00F256AF" w:rsidP="00DA7B55">
      <w:pPr>
        <w:autoSpaceDE w:val="0"/>
        <w:autoSpaceDN w:val="0"/>
        <w:adjustRightInd w:val="0"/>
        <w:rPr>
          <w:rFonts w:ascii="Verdana" w:hAnsi="Verdana" w:cs="EU Albertina"/>
          <w:color w:val="000000"/>
        </w:rPr>
      </w:pPr>
    </w:p>
    <w:p w14:paraId="1DDF2FB0" w14:textId="56BF29EE" w:rsidR="000B1395" w:rsidRPr="00407DEE" w:rsidRDefault="00AC3F76" w:rsidP="000600E7">
      <w:pPr>
        <w:pStyle w:val="Heading2"/>
        <w:numPr>
          <w:ilvl w:val="0"/>
          <w:numId w:val="0"/>
        </w:numPr>
        <w:tabs>
          <w:tab w:val="clear" w:pos="1701"/>
          <w:tab w:val="left" w:pos="1276"/>
        </w:tabs>
        <w:ind w:left="426"/>
      </w:pPr>
      <w:bookmarkStart w:id="17" w:name="_Ref66120924"/>
      <w:r>
        <w:t>Articolul 10</w:t>
      </w:r>
      <w:r>
        <w:br/>
      </w:r>
      <w:bookmarkEnd w:id="17"/>
      <w:r>
        <w:t>Cerințe de proiectare pentru recipientele pentru băuturi</w:t>
      </w:r>
    </w:p>
    <w:p w14:paraId="32932739" w14:textId="77777777" w:rsidR="006610EC" w:rsidRPr="000B1395" w:rsidRDefault="006610EC" w:rsidP="000B1395">
      <w:pPr>
        <w:jc w:val="center"/>
        <w:rPr>
          <w:rFonts w:ascii="Verdana" w:hAnsi="Verdana"/>
          <w:b/>
        </w:rPr>
      </w:pPr>
    </w:p>
    <w:p w14:paraId="3F2E2D86" w14:textId="4AAAD1B0" w:rsidR="000B1395" w:rsidRDefault="000B1395" w:rsidP="00C525D6">
      <w:pPr>
        <w:pStyle w:val="ListParagraph"/>
        <w:numPr>
          <w:ilvl w:val="0"/>
          <w:numId w:val="26"/>
        </w:numPr>
        <w:tabs>
          <w:tab w:val="left" w:pos="993"/>
        </w:tabs>
        <w:ind w:left="709"/>
        <w:jc w:val="both"/>
        <w:rPr>
          <w:rFonts w:ascii="Verdana" w:hAnsi="Verdana"/>
        </w:rPr>
      </w:pPr>
      <w:r>
        <w:rPr>
          <w:rFonts w:ascii="Verdana" w:hAnsi="Verdana"/>
        </w:rPr>
        <w:t xml:space="preserve">Începând cu 3 iulie 2024, pot fi introduse pe piață recipiente din plastic de unică folosință pentru băuturi cu o capacitate de până la trei litri, adică recipiente utilizate pentru a conține lichide, cum ar fi sticlele de băuturi și ambalajele compozite pentru băuturi, inclusiv dopurile și </w:t>
      </w:r>
      <w:r>
        <w:rPr>
          <w:rFonts w:ascii="Verdana" w:hAnsi="Verdana"/>
        </w:rPr>
        <w:lastRenderedPageBreak/>
        <w:t>capacele acestora, atunci când aceste dopuri și capace rămân atașate de recipiente în timpul etapei de utilizare preconizată a produsului.</w:t>
      </w:r>
    </w:p>
    <w:p w14:paraId="6995420C" w14:textId="45131C9A" w:rsidR="000B1395" w:rsidRPr="00182AD4" w:rsidRDefault="00407DEE" w:rsidP="00C525D6">
      <w:pPr>
        <w:pStyle w:val="ListParagraph"/>
        <w:numPr>
          <w:ilvl w:val="0"/>
          <w:numId w:val="26"/>
        </w:numPr>
        <w:tabs>
          <w:tab w:val="left" w:pos="993"/>
        </w:tabs>
        <w:ind w:left="709"/>
        <w:jc w:val="both"/>
        <w:rPr>
          <w:rFonts w:ascii="Verdana" w:hAnsi="Verdana"/>
        </w:rPr>
      </w:pPr>
      <w:r>
        <w:rPr>
          <w:rFonts w:ascii="Verdana" w:hAnsi="Verdana"/>
        </w:rPr>
        <w:t>Sunt excluse de la alineatul anterior:</w:t>
      </w:r>
    </w:p>
    <w:p w14:paraId="1E13B46E" w14:textId="77777777" w:rsidR="000B1395" w:rsidRPr="00F7675E" w:rsidRDefault="000B1395" w:rsidP="00C525D6">
      <w:pPr>
        <w:pStyle w:val="ListParagraph"/>
        <w:numPr>
          <w:ilvl w:val="0"/>
          <w:numId w:val="27"/>
        </w:numPr>
        <w:spacing w:line="240" w:lineRule="auto"/>
        <w:rPr>
          <w:rFonts w:ascii="Verdana" w:hAnsi="Verdana"/>
        </w:rPr>
      </w:pPr>
      <w:r>
        <w:rPr>
          <w:rFonts w:ascii="Verdana" w:hAnsi="Verdana"/>
        </w:rPr>
        <w:t xml:space="preserve">recipientele din sticlă sau metal cu dopuri și capace din plastic; </w:t>
      </w:r>
    </w:p>
    <w:p w14:paraId="74FDB347" w14:textId="77777777" w:rsidR="000B1395" w:rsidRPr="00F7675E" w:rsidRDefault="000B1395" w:rsidP="00C525D6">
      <w:pPr>
        <w:pStyle w:val="ListParagraph"/>
        <w:numPr>
          <w:ilvl w:val="0"/>
          <w:numId w:val="27"/>
        </w:numPr>
        <w:spacing w:line="240" w:lineRule="auto"/>
        <w:rPr>
          <w:rFonts w:ascii="Verdana" w:hAnsi="Verdana"/>
        </w:rPr>
      </w:pPr>
      <w:r>
        <w:rPr>
          <w:rFonts w:ascii="Verdana" w:hAnsi="Verdana"/>
        </w:rPr>
        <w:t>recipientele pentru băuturi destinate și utilizate pentru alimente destinate unor scopuri medicale speciale, astfel cum sunt definite la articolul 2 litera (g) din Regulamentul (UE) nr. 609/2013 al Parlamentului European și al Consiliului (3), care sunt în formă lichidă;</w:t>
      </w:r>
    </w:p>
    <w:p w14:paraId="43D3AA65" w14:textId="0B3AC49C" w:rsidR="000B1395" w:rsidRDefault="000B1395" w:rsidP="00C525D6">
      <w:pPr>
        <w:pStyle w:val="ListParagraph"/>
        <w:numPr>
          <w:ilvl w:val="0"/>
          <w:numId w:val="26"/>
        </w:numPr>
        <w:tabs>
          <w:tab w:val="left" w:pos="993"/>
        </w:tabs>
        <w:ind w:left="709"/>
        <w:jc w:val="both"/>
        <w:rPr>
          <w:rFonts w:ascii="Verdana" w:hAnsi="Verdana"/>
        </w:rPr>
      </w:pPr>
      <w:r>
        <w:rPr>
          <w:rFonts w:ascii="Verdana" w:hAnsi="Verdana"/>
        </w:rPr>
        <w:t>În sensul alineatelor de mai sus, dopurile sau capacele metalice cu garnituri din plastic nu se consideră ca fiind fabricate din plastic.</w:t>
      </w:r>
    </w:p>
    <w:p w14:paraId="2A3CCB6B" w14:textId="21E6BCBC" w:rsidR="000B1395" w:rsidRPr="00DB0171" w:rsidRDefault="000B1395" w:rsidP="00C525D6">
      <w:pPr>
        <w:pStyle w:val="ListParagraph"/>
        <w:numPr>
          <w:ilvl w:val="0"/>
          <w:numId w:val="26"/>
        </w:numPr>
        <w:tabs>
          <w:tab w:val="left" w:pos="993"/>
        </w:tabs>
        <w:ind w:left="709"/>
        <w:jc w:val="both"/>
        <w:rPr>
          <w:rFonts w:ascii="Verdana" w:hAnsi="Verdana"/>
        </w:rPr>
      </w:pPr>
      <w:r>
        <w:t>În sensul prezentului articol, se presupune că produsele din plastic de unică folosință menționate la alineatul (1) sunt conforme cu standardele armonizate în această privință sau cu partea care li se aplică, publicate la nivelul Uniunii Europene, în conformitate cu cerințele menționate la alineatul (1).</w:t>
      </w:r>
    </w:p>
    <w:p w14:paraId="14D80B17" w14:textId="77777777" w:rsidR="000B1395" w:rsidRPr="000B1395" w:rsidRDefault="000B1395" w:rsidP="000B1395"/>
    <w:p w14:paraId="47E09CB1" w14:textId="6E6EEAB2" w:rsidR="00910B5B" w:rsidRDefault="00AC3F76" w:rsidP="000600E7">
      <w:pPr>
        <w:pStyle w:val="Heading2"/>
        <w:numPr>
          <w:ilvl w:val="0"/>
          <w:numId w:val="0"/>
        </w:numPr>
        <w:ind w:left="426"/>
      </w:pPr>
      <w:bookmarkStart w:id="18" w:name="_Ref66120945"/>
      <w:r>
        <w:t>Articolul 11</w:t>
      </w:r>
      <w:r>
        <w:br/>
      </w:r>
      <w:bookmarkEnd w:id="18"/>
      <w:r>
        <w:t>Cerințe privind încorporarea plasticului reciclat în sticlele pentru băuturi</w:t>
      </w:r>
    </w:p>
    <w:p w14:paraId="71D0ED01" w14:textId="77777777" w:rsidR="00C756A3" w:rsidRPr="00C756A3" w:rsidRDefault="00C756A3" w:rsidP="00C756A3"/>
    <w:p w14:paraId="293CC75C" w14:textId="0F21C308" w:rsidR="00910B5B" w:rsidRDefault="00910B5B" w:rsidP="00C525D6">
      <w:pPr>
        <w:pStyle w:val="ListParagraph"/>
        <w:numPr>
          <w:ilvl w:val="0"/>
          <w:numId w:val="28"/>
        </w:numPr>
        <w:tabs>
          <w:tab w:val="left" w:pos="993"/>
        </w:tabs>
        <w:ind w:left="709"/>
        <w:jc w:val="both"/>
        <w:rPr>
          <w:rFonts w:ascii="Verdana" w:hAnsi="Verdana"/>
        </w:rPr>
      </w:pPr>
      <w:bookmarkStart w:id="19" w:name="_Ref63443128"/>
      <w:bookmarkStart w:id="20" w:name="_Ref66120973"/>
      <w:r>
        <w:t>Începând cu 1 ianuarie 2025, sticlele din plastic de unică folosință pentru băuturi cu o capacitate de până la trei litri, inclusiv dopurile și capacele acestora, având drept componentă principală polietilentereftalatul („sticle PET”) trebuie să conțină plastic reciclat în proporție de cel puțin 25 %, calculat ca medie pentru toate sticlele PET introduse pe piață</w:t>
      </w:r>
      <w:bookmarkEnd w:id="19"/>
      <w:r>
        <w:t>.</w:t>
      </w:r>
      <w:bookmarkEnd w:id="20"/>
    </w:p>
    <w:p w14:paraId="1BB8DA42" w14:textId="46544031" w:rsidR="00910B5B" w:rsidRDefault="00910B5B" w:rsidP="00C525D6">
      <w:pPr>
        <w:pStyle w:val="ListParagraph"/>
        <w:numPr>
          <w:ilvl w:val="0"/>
          <w:numId w:val="28"/>
        </w:numPr>
        <w:tabs>
          <w:tab w:val="left" w:pos="993"/>
        </w:tabs>
        <w:ind w:left="709"/>
        <w:jc w:val="both"/>
        <w:rPr>
          <w:rFonts w:ascii="Verdana" w:hAnsi="Verdana"/>
        </w:rPr>
      </w:pPr>
      <w:bookmarkStart w:id="21" w:name="_Ref66120985"/>
      <w:r>
        <w:rPr>
          <w:rFonts w:ascii="Verdana" w:hAnsi="Verdana"/>
        </w:rPr>
        <w:t>Începând cu 1 ianuarie 2030, sticlele de plastic de unică folosință pentru băuturi cu o capacitate de până la trei litri, inclusiv dopurile și capacele acestora, trebuie să conțină plastic reciclat în proporție de cel puțin 30 %, calculat ca medie pentru toate sticlele pentru băuturi introduse pe piață.</w:t>
      </w:r>
      <w:bookmarkEnd w:id="21"/>
    </w:p>
    <w:p w14:paraId="1D99D48B" w14:textId="667F57C9" w:rsidR="00910B5B" w:rsidRPr="00B65C65" w:rsidRDefault="00910B5B" w:rsidP="00C525D6">
      <w:pPr>
        <w:pStyle w:val="ListParagraph"/>
        <w:numPr>
          <w:ilvl w:val="0"/>
          <w:numId w:val="28"/>
        </w:numPr>
        <w:tabs>
          <w:tab w:val="left" w:pos="993"/>
        </w:tabs>
        <w:ind w:left="709"/>
        <w:jc w:val="both"/>
        <w:rPr>
          <w:rFonts w:ascii="Verdana" w:hAnsi="Verdana"/>
        </w:rPr>
      </w:pPr>
      <w:r>
        <w:t>Sunt excluse de la alineatele (1) și (2) de la prezentul articol:</w:t>
      </w:r>
      <w:r>
        <w:rPr>
          <w:rFonts w:ascii="Verdana" w:hAnsi="Verdana"/>
        </w:rPr>
        <w:t xml:space="preserve"> </w:t>
      </w:r>
    </w:p>
    <w:p w14:paraId="317BA5AC" w14:textId="1FBF2639" w:rsidR="00910B5B" w:rsidRPr="00F7675E" w:rsidRDefault="00910B5B" w:rsidP="00C525D6">
      <w:pPr>
        <w:pStyle w:val="ListParagraph"/>
        <w:numPr>
          <w:ilvl w:val="0"/>
          <w:numId w:val="29"/>
        </w:numPr>
        <w:spacing w:line="240" w:lineRule="auto"/>
        <w:rPr>
          <w:rFonts w:ascii="Verdana" w:hAnsi="Verdana"/>
        </w:rPr>
      </w:pPr>
      <w:r>
        <w:rPr>
          <w:rFonts w:ascii="Verdana" w:hAnsi="Verdana"/>
        </w:rPr>
        <w:t>sticlele pentru băuturi din sticlă sau din metal, cu dopuri și capace din plastic;</w:t>
      </w:r>
    </w:p>
    <w:p w14:paraId="6F8F94C4" w14:textId="77777777" w:rsidR="00910B5B" w:rsidRPr="00F7675E" w:rsidRDefault="00910B5B" w:rsidP="00C525D6">
      <w:pPr>
        <w:pStyle w:val="ListParagraph"/>
        <w:numPr>
          <w:ilvl w:val="0"/>
          <w:numId w:val="29"/>
        </w:numPr>
        <w:spacing w:line="240" w:lineRule="auto"/>
        <w:rPr>
          <w:rFonts w:ascii="Verdana" w:hAnsi="Verdana"/>
        </w:rPr>
      </w:pPr>
      <w:r>
        <w:rPr>
          <w:rFonts w:ascii="Verdana" w:hAnsi="Verdana"/>
        </w:rPr>
        <w:t xml:space="preserve">sticlele pentru băuturi destinate și utilizate pentru produse alimentare în scopuri medicale specifice, astfel cum sunt definite la articolul 2 litera (g) din Regulamentul (UE) nr. 609/2013, care sunt sub formă lichidă. </w:t>
      </w:r>
    </w:p>
    <w:p w14:paraId="724B28DF" w14:textId="77777777" w:rsidR="00910B5B" w:rsidRDefault="00910B5B" w:rsidP="00C525D6">
      <w:pPr>
        <w:pStyle w:val="ListParagraph"/>
        <w:numPr>
          <w:ilvl w:val="0"/>
          <w:numId w:val="28"/>
        </w:numPr>
        <w:tabs>
          <w:tab w:val="left" w:pos="993"/>
        </w:tabs>
        <w:ind w:left="709"/>
        <w:jc w:val="both"/>
        <w:rPr>
          <w:rFonts w:ascii="Verdana" w:hAnsi="Verdana"/>
        </w:rPr>
      </w:pPr>
      <w:r>
        <w:rPr>
          <w:rFonts w:ascii="Verdana" w:hAnsi="Verdana"/>
        </w:rPr>
        <w:lastRenderedPageBreak/>
        <w:t>În sensul prezentului articol, dopurile sau capacele metalice cu garnituri din plastic nu se consideră ca fiind fabricate din plastic.</w:t>
      </w:r>
    </w:p>
    <w:p w14:paraId="46E244C4" w14:textId="4F894862" w:rsidR="007E1EED" w:rsidRDefault="00910B5B" w:rsidP="00C525D6">
      <w:pPr>
        <w:pStyle w:val="ListParagraph"/>
        <w:numPr>
          <w:ilvl w:val="0"/>
          <w:numId w:val="28"/>
        </w:numPr>
        <w:tabs>
          <w:tab w:val="left" w:pos="993"/>
        </w:tabs>
        <w:ind w:left="709"/>
        <w:jc w:val="both"/>
        <w:rPr>
          <w:rFonts w:ascii="Verdana" w:hAnsi="Verdana"/>
        </w:rPr>
      </w:pPr>
      <w:r>
        <w:t>Procentele menționate la alineatele (1) și (2) trebuie respectate anual de către fiecare ambalator care introduce sticle pe piață.</w:t>
      </w:r>
    </w:p>
    <w:p w14:paraId="486BF503" w14:textId="1E9AB095" w:rsidR="00910B5B" w:rsidRPr="00B65C65" w:rsidRDefault="007E1EED" w:rsidP="00C525D6">
      <w:pPr>
        <w:pStyle w:val="ListParagraph"/>
        <w:numPr>
          <w:ilvl w:val="0"/>
          <w:numId w:val="28"/>
        </w:numPr>
        <w:tabs>
          <w:tab w:val="left" w:pos="993"/>
        </w:tabs>
        <w:ind w:left="709"/>
        <w:jc w:val="both"/>
        <w:rPr>
          <w:rFonts w:ascii="Verdana" w:hAnsi="Verdana"/>
        </w:rPr>
      </w:pPr>
      <w:r>
        <w:rPr>
          <w:rFonts w:ascii="Verdana" w:hAnsi="Verdana"/>
        </w:rPr>
        <w:t>La cererea autorităților competente, ambalatorii furnizează dovada corespunzătoare a cantității de plastic reciclat conținută în sticlele pentru băuturi, în special prin intermediul declarațiilor producătorilor sau ale furnizorilor lor.</w:t>
      </w:r>
    </w:p>
    <w:p w14:paraId="70A3539F" w14:textId="60AAB4A9" w:rsidR="00910B5B" w:rsidRPr="00B65C65" w:rsidRDefault="00910B5B" w:rsidP="00C525D6">
      <w:pPr>
        <w:pStyle w:val="ListParagraph"/>
        <w:numPr>
          <w:ilvl w:val="0"/>
          <w:numId w:val="28"/>
        </w:numPr>
        <w:tabs>
          <w:tab w:val="left" w:pos="993"/>
        </w:tabs>
        <w:ind w:left="709"/>
        <w:jc w:val="both"/>
        <w:rPr>
          <w:rFonts w:ascii="Verdana" w:hAnsi="Verdana"/>
        </w:rPr>
      </w:pPr>
      <w:r>
        <w:t>În scopul verificării conformității cu obiectivele stabilite la alineatul (1) de la prezentul articol, se ține seama de normele de calcul prevăzute în legea de punere în aplicare adoptată de Comisia Europeană.</w:t>
      </w:r>
      <w:r>
        <w:rPr>
          <w:rFonts w:ascii="Verdana" w:hAnsi="Verdana"/>
        </w:rPr>
        <w:t xml:space="preserve"> </w:t>
      </w:r>
    </w:p>
    <w:p w14:paraId="08D164A0" w14:textId="640DF22A" w:rsidR="00910B5B" w:rsidRDefault="00910B5B" w:rsidP="00910B5B"/>
    <w:p w14:paraId="233E763D" w14:textId="378D6E9D" w:rsidR="006610EC" w:rsidRPr="006610EC" w:rsidRDefault="00AC3F76" w:rsidP="000600E7">
      <w:pPr>
        <w:pStyle w:val="Heading2"/>
        <w:numPr>
          <w:ilvl w:val="0"/>
          <w:numId w:val="0"/>
        </w:numPr>
        <w:tabs>
          <w:tab w:val="clear" w:pos="1701"/>
          <w:tab w:val="left" w:pos="1418"/>
        </w:tabs>
        <w:ind w:left="426"/>
      </w:pPr>
      <w:r>
        <w:t>Articolul 12</w:t>
      </w:r>
      <w:r>
        <w:br/>
        <w:t xml:space="preserve">Cerințele </w:t>
      </w:r>
      <w:bookmarkStart w:id="22" w:name="_Ref63690920"/>
      <w:r>
        <w:t>de marcare</w:t>
      </w:r>
      <w:bookmarkStart w:id="23" w:name="_Ref66121082"/>
      <w:bookmarkEnd w:id="22"/>
    </w:p>
    <w:p w14:paraId="23B4288E" w14:textId="7CC123E7" w:rsidR="000B1395" w:rsidRPr="00794353" w:rsidRDefault="000B1395" w:rsidP="00C525D6">
      <w:pPr>
        <w:pStyle w:val="ListParagraph"/>
        <w:numPr>
          <w:ilvl w:val="0"/>
          <w:numId w:val="13"/>
        </w:numPr>
        <w:ind w:left="709"/>
        <w:jc w:val="both"/>
        <w:rPr>
          <w:rFonts w:ascii="Verdana" w:hAnsi="Verdana"/>
        </w:rPr>
      </w:pPr>
      <w:bookmarkStart w:id="24" w:name="_Hlk65348626"/>
      <w:bookmarkStart w:id="25" w:name="_Ref63441404"/>
      <w:bookmarkEnd w:id="23"/>
      <w:r w:rsidRPr="00794353">
        <w:rPr>
          <w:rFonts w:ascii="Verdana" w:hAnsi="Verdana"/>
        </w:rPr>
        <w:t>Începând cu 3 iulie 2021</w:t>
      </w:r>
      <w:bookmarkEnd w:id="24"/>
      <w:r w:rsidRPr="00794353">
        <w:rPr>
          <w:rFonts w:ascii="Verdana" w:hAnsi="Verdana"/>
        </w:rPr>
        <w:t>, următoarele produse din plastic de unică folosință pot fi introduse pe piață numai dacă respectă dispozițiile privind marcarea menționate</w:t>
      </w:r>
      <w:bookmarkEnd w:id="25"/>
      <w:r w:rsidRPr="00794353">
        <w:rPr>
          <w:rFonts w:ascii="Verdana" w:hAnsi="Verdana"/>
        </w:rPr>
        <w:t xml:space="preserve"> la următoarele puncte ale prezentului articol:</w:t>
      </w:r>
    </w:p>
    <w:p w14:paraId="51848D1A" w14:textId="77777777" w:rsidR="000B1395" w:rsidRPr="00794353" w:rsidRDefault="000B1395" w:rsidP="00C525D6">
      <w:pPr>
        <w:pStyle w:val="ListParagraph"/>
        <w:numPr>
          <w:ilvl w:val="0"/>
          <w:numId w:val="30"/>
        </w:numPr>
        <w:spacing w:line="240" w:lineRule="auto"/>
        <w:rPr>
          <w:rFonts w:ascii="Verdana" w:hAnsi="Verdana"/>
        </w:rPr>
      </w:pPr>
      <w:r w:rsidRPr="00794353">
        <w:rPr>
          <w:rFonts w:ascii="Verdana" w:hAnsi="Verdana"/>
        </w:rPr>
        <w:t>absorbante, tampoane igienice și aplicatoare de tampoane;</w:t>
      </w:r>
    </w:p>
    <w:p w14:paraId="6525FD27" w14:textId="77777777" w:rsidR="000B1395" w:rsidRPr="00794353" w:rsidRDefault="000B1395" w:rsidP="00C525D6">
      <w:pPr>
        <w:pStyle w:val="ListParagraph"/>
        <w:numPr>
          <w:ilvl w:val="0"/>
          <w:numId w:val="30"/>
        </w:numPr>
        <w:spacing w:line="240" w:lineRule="auto"/>
        <w:rPr>
          <w:rFonts w:ascii="Verdana" w:hAnsi="Verdana"/>
        </w:rPr>
      </w:pPr>
      <w:r w:rsidRPr="00794353">
        <w:rPr>
          <w:rFonts w:ascii="Verdana" w:hAnsi="Verdana"/>
        </w:rPr>
        <w:t>șervețele umede, și anume șervețele preumezite de îngrijire personală și de uz casnic;</w:t>
      </w:r>
    </w:p>
    <w:p w14:paraId="7D6DB1C8" w14:textId="77777777" w:rsidR="000B1395" w:rsidRPr="00794353" w:rsidRDefault="000B1395" w:rsidP="00C525D6">
      <w:pPr>
        <w:pStyle w:val="ListParagraph"/>
        <w:numPr>
          <w:ilvl w:val="0"/>
          <w:numId w:val="30"/>
        </w:numPr>
        <w:spacing w:line="240" w:lineRule="auto"/>
        <w:rPr>
          <w:rFonts w:ascii="Verdana" w:hAnsi="Verdana"/>
        </w:rPr>
      </w:pPr>
      <w:r w:rsidRPr="00794353">
        <w:rPr>
          <w:rFonts w:ascii="Verdana" w:hAnsi="Verdana"/>
        </w:rPr>
        <w:t xml:space="preserve">produse din tutun cu filtre și filtre comercializate în combinație cu produse din tutun; și </w:t>
      </w:r>
    </w:p>
    <w:p w14:paraId="744A4615" w14:textId="77777777" w:rsidR="000B1395" w:rsidRPr="00794353" w:rsidRDefault="000B1395" w:rsidP="00C525D6">
      <w:pPr>
        <w:pStyle w:val="ListParagraph"/>
        <w:numPr>
          <w:ilvl w:val="0"/>
          <w:numId w:val="30"/>
        </w:numPr>
        <w:spacing w:line="240" w:lineRule="auto"/>
        <w:rPr>
          <w:rFonts w:ascii="Verdana" w:hAnsi="Verdana"/>
        </w:rPr>
      </w:pPr>
      <w:r w:rsidRPr="00794353">
        <w:rPr>
          <w:rFonts w:ascii="Verdana" w:hAnsi="Verdana"/>
        </w:rPr>
        <w:t xml:space="preserve">pahare pentru băuturi. </w:t>
      </w:r>
    </w:p>
    <w:p w14:paraId="2FB5D019" w14:textId="77777777" w:rsidR="000B1395" w:rsidRDefault="000B1395" w:rsidP="00C525D6">
      <w:pPr>
        <w:pStyle w:val="ListParagraph"/>
        <w:numPr>
          <w:ilvl w:val="0"/>
          <w:numId w:val="13"/>
        </w:numPr>
        <w:jc w:val="both"/>
        <w:rPr>
          <w:rFonts w:ascii="Verdana" w:hAnsi="Verdana"/>
        </w:rPr>
      </w:pPr>
      <w:r w:rsidRPr="00794353">
        <w:rPr>
          <w:rFonts w:ascii="Verdana" w:hAnsi="Verdana"/>
        </w:rPr>
        <w:t>Produsele din plastic de unică folosință menționate la alineatul precedent poartă un marcaj clar, lizibil și indelebil, plasat pe ambalajul acestuia sau direct pe produs,</w:t>
      </w:r>
      <w:r>
        <w:rPr>
          <w:rFonts w:ascii="Verdana" w:hAnsi="Verdana"/>
        </w:rPr>
        <w:t xml:space="preserve"> care conține următoarele informații destinate consumatorilor:</w:t>
      </w:r>
    </w:p>
    <w:p w14:paraId="6CFD1D28" w14:textId="77777777" w:rsidR="000B1395" w:rsidRPr="003F6B93" w:rsidRDefault="000B1395" w:rsidP="00C525D6">
      <w:pPr>
        <w:pStyle w:val="ListParagraph"/>
        <w:numPr>
          <w:ilvl w:val="0"/>
          <w:numId w:val="31"/>
        </w:numPr>
        <w:spacing w:line="240" w:lineRule="auto"/>
        <w:rPr>
          <w:rFonts w:ascii="Verdana" w:hAnsi="Verdana"/>
        </w:rPr>
      </w:pPr>
      <w:r>
        <w:rPr>
          <w:rFonts w:ascii="Verdana" w:hAnsi="Verdana"/>
        </w:rPr>
        <w:t xml:space="preserve">opțiunile adecvate de gestionare a deșeurilor pentru produs sau mijloacele de eliminare a deșeurilor care trebuie să fie evitate pentru produsul respectiv, în conformitate cu ierarhia deșeurilor; și </w:t>
      </w:r>
    </w:p>
    <w:p w14:paraId="45546BB6" w14:textId="00EB4430" w:rsidR="000B1395" w:rsidRPr="003F6B93" w:rsidRDefault="000B1395" w:rsidP="00C525D6">
      <w:pPr>
        <w:pStyle w:val="ListParagraph"/>
        <w:numPr>
          <w:ilvl w:val="0"/>
          <w:numId w:val="31"/>
        </w:numPr>
        <w:spacing w:line="240" w:lineRule="auto"/>
        <w:rPr>
          <w:rFonts w:ascii="Verdana" w:hAnsi="Verdana"/>
        </w:rPr>
      </w:pPr>
      <w:r>
        <w:rPr>
          <w:rFonts w:ascii="Verdana" w:hAnsi="Verdana"/>
        </w:rPr>
        <w:t xml:space="preserve">prezența materialelor plastice în componența produsului și impactul negativ rezultat din aruncarea produsului sau din alte mijloace necorespunzătoare de eliminare a produsului. </w:t>
      </w:r>
    </w:p>
    <w:p w14:paraId="52B4F969" w14:textId="23F7E8B2" w:rsidR="000B1395" w:rsidRPr="003A48D5" w:rsidRDefault="000B1395" w:rsidP="00C525D6">
      <w:pPr>
        <w:pStyle w:val="ListParagraph"/>
        <w:numPr>
          <w:ilvl w:val="0"/>
          <w:numId w:val="13"/>
        </w:numPr>
        <w:jc w:val="both"/>
        <w:rPr>
          <w:rFonts w:ascii="Verdana" w:hAnsi="Verdana"/>
        </w:rPr>
      </w:pPr>
      <w:r>
        <w:rPr>
          <w:rFonts w:ascii="Verdana" w:hAnsi="Verdana"/>
        </w:rPr>
        <w:t>Normele privind specificațiile de marcare menționate la alineatele anterioare sunt stabilite în Regulamentul de punere în aplicare (UE) 2020/2151 al Comisiei din 17 decembrie 2020.</w:t>
      </w:r>
    </w:p>
    <w:p w14:paraId="03D11840" w14:textId="2FEB97F4" w:rsidR="000B1395" w:rsidRDefault="000B1395" w:rsidP="00C525D6">
      <w:pPr>
        <w:pStyle w:val="ListParagraph"/>
        <w:numPr>
          <w:ilvl w:val="0"/>
          <w:numId w:val="13"/>
        </w:numPr>
        <w:jc w:val="both"/>
        <w:rPr>
          <w:rFonts w:ascii="Verdana" w:hAnsi="Verdana"/>
        </w:rPr>
      </w:pPr>
      <w:r>
        <w:rPr>
          <w:rFonts w:ascii="Verdana" w:hAnsi="Verdana"/>
        </w:rPr>
        <w:lastRenderedPageBreak/>
        <w:t>Dispozițiile prezentului articol referitoare la produsele din tutun se adaugă la cele prevăzute în Decretul-lege nr. 109/2015 din 26 august 2015.</w:t>
      </w:r>
    </w:p>
    <w:p w14:paraId="4528C33F" w14:textId="77777777" w:rsidR="000B1395" w:rsidRPr="003F6B93" w:rsidRDefault="000B1395" w:rsidP="00A85085">
      <w:pPr>
        <w:spacing w:before="120" w:after="120" w:line="240" w:lineRule="auto"/>
        <w:jc w:val="both"/>
        <w:rPr>
          <w:rFonts w:ascii="Verdana" w:hAnsi="Verdana" w:cs="Arial"/>
          <w:color w:val="3C3C3C"/>
          <w:sz w:val="21"/>
          <w:szCs w:val="21"/>
        </w:rPr>
      </w:pPr>
    </w:p>
    <w:p w14:paraId="182C2EF4" w14:textId="77777777" w:rsidR="00F9082F" w:rsidRPr="003F6B93" w:rsidRDefault="00F9082F" w:rsidP="00893B34">
      <w:pPr>
        <w:jc w:val="both"/>
        <w:rPr>
          <w:rFonts w:ascii="Verdana" w:hAnsi="Verdana"/>
        </w:rPr>
      </w:pPr>
    </w:p>
    <w:p w14:paraId="6AE4673B" w14:textId="762ECF40" w:rsidR="009820C4" w:rsidRPr="003F6B93" w:rsidRDefault="003F14EA" w:rsidP="00E92A33">
      <w:pPr>
        <w:pStyle w:val="Heading1"/>
        <w:tabs>
          <w:tab w:val="clear" w:pos="3969"/>
          <w:tab w:val="left" w:pos="2410"/>
        </w:tabs>
      </w:pPr>
      <w:r>
        <w:br/>
      </w:r>
      <w:bookmarkStart w:id="26" w:name="_Ref66121225"/>
      <w:r>
        <w:t>Răspunderea extinsă a producătorilor</w:t>
      </w:r>
      <w:bookmarkEnd w:id="26"/>
    </w:p>
    <w:p w14:paraId="4D4FD2B1" w14:textId="6A54F531" w:rsidR="00CF3B6A" w:rsidRDefault="00AC3F76" w:rsidP="000600E7">
      <w:pPr>
        <w:pStyle w:val="Heading2"/>
        <w:numPr>
          <w:ilvl w:val="0"/>
          <w:numId w:val="0"/>
        </w:numPr>
        <w:tabs>
          <w:tab w:val="clear" w:pos="1701"/>
          <w:tab w:val="left" w:pos="1418"/>
        </w:tabs>
        <w:ind w:left="426"/>
      </w:pPr>
      <w:bookmarkStart w:id="27" w:name="_Ref66121190"/>
      <w:r>
        <w:t>Articolul 13</w:t>
      </w:r>
      <w:r>
        <w:br/>
      </w:r>
      <w:bookmarkEnd w:id="27"/>
      <w:r>
        <w:t>Adaptarea schemei de răspundere extinsă a producătorilor</w:t>
      </w:r>
    </w:p>
    <w:p w14:paraId="078DCD32" w14:textId="77777777" w:rsidR="006610EC" w:rsidRPr="006610EC" w:rsidRDefault="006610EC" w:rsidP="006610EC"/>
    <w:p w14:paraId="3392D79B" w14:textId="0F56A5E4" w:rsidR="00CF3B6A" w:rsidRPr="00794353" w:rsidRDefault="00CF3B6A" w:rsidP="00C525D6">
      <w:pPr>
        <w:pStyle w:val="ListParagraph"/>
        <w:numPr>
          <w:ilvl w:val="0"/>
          <w:numId w:val="32"/>
        </w:numPr>
        <w:jc w:val="both"/>
        <w:rPr>
          <w:rFonts w:ascii="Verdana" w:hAnsi="Verdana"/>
        </w:rPr>
      </w:pPr>
      <w:bookmarkStart w:id="28" w:name="_Hlk65401219"/>
      <w:bookmarkStart w:id="29" w:name="_Ref63444363"/>
      <w:bookmarkStart w:id="30" w:name="_Hlk65800056"/>
      <w:bookmarkStart w:id="31" w:name="_Hlk65440645"/>
      <w:r w:rsidRPr="00794353">
        <w:rPr>
          <w:rFonts w:ascii="Verdana" w:hAnsi="Verdana"/>
        </w:rPr>
        <w:t>Până la 1 ianuarie 2023, actuala schemă de răspundere extinsă a producătorilor pentru ambalaje și deșeuri de ambalaje pentru următoarele produse din plastic de unică folosință introduse pe piață se modifică pentru a prevedea cerințele menționate la articolul 15</w:t>
      </w:r>
      <w:bookmarkEnd w:id="28"/>
      <w:r w:rsidRPr="00794353">
        <w:rPr>
          <w:rFonts w:ascii="Verdana" w:hAnsi="Verdana"/>
        </w:rPr>
        <w:t>:</w:t>
      </w:r>
      <w:bookmarkEnd w:id="29"/>
    </w:p>
    <w:bookmarkEnd w:id="30"/>
    <w:p w14:paraId="02229E91" w14:textId="77777777" w:rsidR="00197BF8" w:rsidRPr="00794353" w:rsidRDefault="00197BF8" w:rsidP="00C525D6">
      <w:pPr>
        <w:pStyle w:val="ListParagraph"/>
        <w:numPr>
          <w:ilvl w:val="0"/>
          <w:numId w:val="33"/>
        </w:numPr>
        <w:spacing w:line="240" w:lineRule="auto"/>
        <w:rPr>
          <w:rFonts w:ascii="Verdana" w:hAnsi="Verdana"/>
        </w:rPr>
      </w:pPr>
      <w:r w:rsidRPr="00794353">
        <w:rPr>
          <w:rFonts w:ascii="Verdana" w:hAnsi="Verdana"/>
        </w:rPr>
        <w:t xml:space="preserve">recipiente pentru alimente, adică recipiente precum cutii, cu sau fără capac, utilizate pentru a conține produse alimentare care: </w:t>
      </w:r>
    </w:p>
    <w:p w14:paraId="0529DB33" w14:textId="77777777" w:rsidR="00197BF8" w:rsidRPr="00794353" w:rsidRDefault="00197BF8" w:rsidP="00C525D6">
      <w:pPr>
        <w:pStyle w:val="ListParagraph"/>
        <w:numPr>
          <w:ilvl w:val="2"/>
          <w:numId w:val="14"/>
        </w:numPr>
        <w:tabs>
          <w:tab w:val="left" w:pos="567"/>
        </w:tabs>
        <w:spacing w:after="200" w:line="276" w:lineRule="auto"/>
        <w:ind w:left="1843" w:hanging="383"/>
        <w:jc w:val="both"/>
        <w:rPr>
          <w:rFonts w:ascii="Verdana" w:hAnsi="Verdana"/>
        </w:rPr>
      </w:pPr>
      <w:r w:rsidRPr="00794353">
        <w:rPr>
          <w:rFonts w:ascii="Verdana" w:hAnsi="Verdana"/>
        </w:rPr>
        <w:t>sunt destinate consumului imediat, fie pe loc, fie la pachet;</w:t>
      </w:r>
    </w:p>
    <w:p w14:paraId="31CAE1B0" w14:textId="77777777" w:rsidR="00197BF8" w:rsidRPr="00794353" w:rsidRDefault="00197BF8" w:rsidP="00C525D6">
      <w:pPr>
        <w:pStyle w:val="ListParagraph"/>
        <w:numPr>
          <w:ilvl w:val="2"/>
          <w:numId w:val="14"/>
        </w:numPr>
        <w:tabs>
          <w:tab w:val="left" w:pos="567"/>
        </w:tabs>
        <w:spacing w:after="200" w:line="276" w:lineRule="auto"/>
        <w:ind w:left="1843" w:hanging="383"/>
        <w:jc w:val="both"/>
        <w:rPr>
          <w:rFonts w:ascii="Verdana" w:hAnsi="Verdana"/>
        </w:rPr>
      </w:pPr>
      <w:r w:rsidRPr="00794353">
        <w:rPr>
          <w:rFonts w:ascii="Verdana" w:hAnsi="Verdana"/>
        </w:rPr>
        <w:t>sunt de regulă consumate din recipient; și</w:t>
      </w:r>
    </w:p>
    <w:p w14:paraId="4F40E336" w14:textId="77777777" w:rsidR="00197BF8" w:rsidRPr="00E92A33" w:rsidRDefault="00197BF8" w:rsidP="00C525D6">
      <w:pPr>
        <w:pStyle w:val="ListParagraph"/>
        <w:numPr>
          <w:ilvl w:val="2"/>
          <w:numId w:val="14"/>
        </w:numPr>
        <w:tabs>
          <w:tab w:val="left" w:pos="567"/>
        </w:tabs>
        <w:spacing w:after="200" w:line="276" w:lineRule="auto"/>
        <w:ind w:left="1843" w:hanging="383"/>
        <w:jc w:val="both"/>
        <w:rPr>
          <w:rFonts w:ascii="Verdana" w:hAnsi="Verdana"/>
        </w:rPr>
      </w:pPr>
      <w:r w:rsidRPr="00794353">
        <w:rPr>
          <w:rFonts w:ascii="Verdana" w:hAnsi="Verdana"/>
        </w:rPr>
        <w:t>sunt gata de consum fără a necesita o pregătire</w:t>
      </w:r>
      <w:r>
        <w:rPr>
          <w:rFonts w:ascii="Verdana" w:hAnsi="Verdana"/>
        </w:rPr>
        <w:t xml:space="preserve"> suplimentară, precum gătirea, fierberea sau încălzirea, </w:t>
      </w:r>
    </w:p>
    <w:p w14:paraId="075967C0" w14:textId="77777777" w:rsidR="00197BF8" w:rsidRPr="00E92A33" w:rsidRDefault="00197BF8" w:rsidP="00197BF8">
      <w:pPr>
        <w:tabs>
          <w:tab w:val="left" w:pos="567"/>
        </w:tabs>
        <w:spacing w:after="200" w:line="276" w:lineRule="auto"/>
        <w:ind w:left="1134"/>
        <w:jc w:val="both"/>
        <w:rPr>
          <w:rFonts w:ascii="Verdana" w:hAnsi="Verdana"/>
        </w:rPr>
      </w:pPr>
      <w:r>
        <w:rPr>
          <w:rFonts w:ascii="Verdana" w:hAnsi="Verdana"/>
        </w:rPr>
        <w:t>inclusiv recipiente pentru alimente utilizate pentru meniuri de tip fast food sau alte meniuri gata pentru consum imediat, cu excepția recipientelor pentru băuturi, a farfuriilor, a pachetelor și a foliilor din material flexibil care conțin produsele alimentare;</w:t>
      </w:r>
    </w:p>
    <w:p w14:paraId="0BEDD35F"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t xml:space="preserve">pachete și folii din material flexibil care conțin produse alimentare destinate consumului direct din pachet sau folie fără preparare ulterioară; </w:t>
      </w:r>
    </w:p>
    <w:p w14:paraId="3DD293D7"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t xml:space="preserve">recipiente de băuturi cu o capacitate de până la trei litri, și anume recipientele utilizate pentru a conține lichide, cum ar fi sticlele pentru băuturi, inclusiv dopurile și capacele și ambalajele de băuturi compozite, inclusiv dopurile și capacele acestora, dar nu și recipientele din sticlă sau metal cu dopuri și capace din plastic; </w:t>
      </w:r>
    </w:p>
    <w:p w14:paraId="527E7F03"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lastRenderedPageBreak/>
        <w:t xml:space="preserve">pahare pentru băuturi, inclusiv dopurile și capacele acestora; </w:t>
      </w:r>
    </w:p>
    <w:p w14:paraId="59DB831C" w14:textId="1B14A90A" w:rsidR="00197BF8" w:rsidRPr="00F7675E" w:rsidRDefault="00197BF8" w:rsidP="00C525D6">
      <w:pPr>
        <w:pStyle w:val="ListParagraph"/>
        <w:numPr>
          <w:ilvl w:val="0"/>
          <w:numId w:val="33"/>
        </w:numPr>
        <w:spacing w:line="240" w:lineRule="auto"/>
        <w:rPr>
          <w:rFonts w:ascii="Verdana" w:hAnsi="Verdana"/>
        </w:rPr>
      </w:pPr>
      <w:r>
        <w:rPr>
          <w:rFonts w:ascii="Verdana" w:hAnsi="Verdana"/>
        </w:rPr>
        <w:t>pungi de transport din plastic subțire.</w:t>
      </w:r>
    </w:p>
    <w:p w14:paraId="7E641AC3" w14:textId="6163971C" w:rsidR="00197BF8" w:rsidRDefault="00197BF8" w:rsidP="00D4270E">
      <w:pPr>
        <w:pStyle w:val="ListParagraph"/>
        <w:tabs>
          <w:tab w:val="left" w:pos="284"/>
        </w:tabs>
        <w:autoSpaceDE w:val="0"/>
        <w:autoSpaceDN w:val="0"/>
        <w:adjustRightInd w:val="0"/>
        <w:ind w:left="426"/>
        <w:jc w:val="center"/>
        <w:rPr>
          <w:rFonts w:ascii="Verdana" w:hAnsi="Verdana" w:cs="EU Albertina"/>
        </w:rPr>
      </w:pPr>
    </w:p>
    <w:p w14:paraId="5D248077" w14:textId="0B4608A6" w:rsidR="00CF3B6A" w:rsidRPr="00F7675E" w:rsidRDefault="00700314" w:rsidP="00C525D6">
      <w:pPr>
        <w:pStyle w:val="ListParagraph"/>
        <w:numPr>
          <w:ilvl w:val="0"/>
          <w:numId w:val="32"/>
        </w:numPr>
        <w:jc w:val="both"/>
        <w:rPr>
          <w:rFonts w:ascii="Verdana" w:hAnsi="Verdana"/>
        </w:rPr>
      </w:pPr>
      <w:bookmarkStart w:id="32" w:name="_Hlk65800069"/>
      <w:bookmarkEnd w:id="31"/>
      <w:r>
        <w:rPr>
          <w:rFonts w:ascii="Verdana" w:hAnsi="Verdana"/>
        </w:rPr>
        <w:t>Modificarea prevăzută la alineatul precedent se publică cu cel puțin un an înainte de intrarea sa în vigoare.</w:t>
      </w:r>
    </w:p>
    <w:p w14:paraId="53598B95" w14:textId="77777777" w:rsidR="001D7D5A" w:rsidRPr="00F7675E" w:rsidRDefault="001D7D5A" w:rsidP="00F7675E">
      <w:pPr>
        <w:pStyle w:val="ListParagraph"/>
        <w:ind w:left="928"/>
        <w:jc w:val="both"/>
        <w:rPr>
          <w:rFonts w:ascii="Verdana" w:hAnsi="Verdana"/>
        </w:rPr>
      </w:pPr>
    </w:p>
    <w:p w14:paraId="42F5CA37" w14:textId="10733D2B" w:rsidR="00AA57E3" w:rsidRPr="001D7D5A" w:rsidRDefault="00AC3F76" w:rsidP="000600E7">
      <w:pPr>
        <w:pStyle w:val="Heading2"/>
        <w:numPr>
          <w:ilvl w:val="0"/>
          <w:numId w:val="0"/>
        </w:numPr>
        <w:tabs>
          <w:tab w:val="clear" w:pos="1701"/>
          <w:tab w:val="left" w:pos="1418"/>
        </w:tabs>
        <w:ind w:left="426"/>
      </w:pPr>
      <w:bookmarkStart w:id="33" w:name="_Ref66121335"/>
      <w:bookmarkEnd w:id="32"/>
      <w:r>
        <w:t>Articolul 14</w:t>
      </w:r>
      <w:r>
        <w:br/>
      </w:r>
      <w:bookmarkEnd w:id="33"/>
      <w:r>
        <w:t>Crearea unor scheme de răspundere extinsă a producătorilor pentru produsele din plastic de unică folosință</w:t>
      </w:r>
    </w:p>
    <w:p w14:paraId="34F37462" w14:textId="77777777" w:rsidR="006610EC" w:rsidRPr="00AA57E3" w:rsidRDefault="006610EC" w:rsidP="00AA57E3">
      <w:pPr>
        <w:jc w:val="center"/>
        <w:rPr>
          <w:rFonts w:ascii="Verdana" w:hAnsi="Verdana"/>
          <w:b/>
        </w:rPr>
      </w:pPr>
    </w:p>
    <w:p w14:paraId="2759F1AD" w14:textId="488A6E81" w:rsidR="00AA57E3" w:rsidRPr="00F7675E" w:rsidRDefault="00AA57E3" w:rsidP="00C525D6">
      <w:pPr>
        <w:pStyle w:val="ListParagraph"/>
        <w:numPr>
          <w:ilvl w:val="0"/>
          <w:numId w:val="34"/>
        </w:numPr>
        <w:jc w:val="both"/>
        <w:rPr>
          <w:rFonts w:ascii="Verdana" w:hAnsi="Verdana"/>
        </w:rPr>
      </w:pPr>
      <w:bookmarkStart w:id="34" w:name="_Ref63444386"/>
      <w:bookmarkStart w:id="35" w:name="_Ref63444377"/>
      <w:r>
        <w:rPr>
          <w:rFonts w:ascii="Verdana" w:hAnsi="Verdana"/>
        </w:rPr>
        <w:t>Până la 1 ianuarie 2023, se instituie schema de răspundere extinsă a producătorilor pentru produsele din tutun cu filtre și filtre comercializate în vederea utilizării în combinație cu produsele din tutun.</w:t>
      </w:r>
      <w:bookmarkEnd w:id="34"/>
      <w:r>
        <w:rPr>
          <w:rFonts w:ascii="Verdana" w:hAnsi="Verdana"/>
        </w:rPr>
        <w:t xml:space="preserve"> </w:t>
      </w:r>
    </w:p>
    <w:p w14:paraId="40994946" w14:textId="419FC4E7" w:rsidR="00AA57E3" w:rsidRPr="00F7675E" w:rsidRDefault="00AA57E3" w:rsidP="00C525D6">
      <w:pPr>
        <w:pStyle w:val="ListParagraph"/>
        <w:numPr>
          <w:ilvl w:val="0"/>
          <w:numId w:val="34"/>
        </w:numPr>
        <w:jc w:val="both"/>
        <w:rPr>
          <w:rFonts w:ascii="Verdana" w:hAnsi="Verdana"/>
        </w:rPr>
      </w:pPr>
      <w:bookmarkStart w:id="36" w:name="_Ref66121489"/>
      <w:r>
        <w:rPr>
          <w:rFonts w:ascii="Verdana" w:hAnsi="Verdana"/>
        </w:rPr>
        <w:t>Până la 1 ianuarie 2025, se stabilesc schemele de răspundere extinsă ale producătorilor pentru următoarele produse din plastic de unică folosință:</w:t>
      </w:r>
      <w:bookmarkEnd w:id="35"/>
      <w:bookmarkEnd w:id="36"/>
    </w:p>
    <w:p w14:paraId="539CCA96" w14:textId="77777777" w:rsidR="00AA57E3" w:rsidRPr="00F7675E" w:rsidRDefault="00AA57E3" w:rsidP="00C525D6">
      <w:pPr>
        <w:pStyle w:val="ListParagraph"/>
        <w:numPr>
          <w:ilvl w:val="0"/>
          <w:numId w:val="35"/>
        </w:numPr>
        <w:spacing w:line="240" w:lineRule="auto"/>
        <w:rPr>
          <w:rFonts w:ascii="Verdana" w:hAnsi="Verdana"/>
        </w:rPr>
      </w:pPr>
      <w:r>
        <w:rPr>
          <w:rFonts w:ascii="Verdana" w:hAnsi="Verdana"/>
        </w:rPr>
        <w:t xml:space="preserve">șervețele umede, și anume șervețele preumezite de îngrijire personală și de uz casnic; </w:t>
      </w:r>
    </w:p>
    <w:p w14:paraId="4114B342" w14:textId="77777777" w:rsidR="00AA57E3" w:rsidRPr="00F7675E" w:rsidRDefault="00AA57E3" w:rsidP="00C525D6">
      <w:pPr>
        <w:pStyle w:val="ListParagraph"/>
        <w:numPr>
          <w:ilvl w:val="0"/>
          <w:numId w:val="35"/>
        </w:numPr>
        <w:spacing w:line="240" w:lineRule="auto"/>
        <w:rPr>
          <w:rFonts w:ascii="Verdana" w:hAnsi="Verdana"/>
        </w:rPr>
      </w:pPr>
      <w:r>
        <w:rPr>
          <w:rFonts w:ascii="Verdana" w:hAnsi="Verdana"/>
        </w:rPr>
        <w:t>baloane, cu excepția baloanelor de uz industrial sau pentru alte utilizări și aplicații profesionale, care nu sunt distribuite consumatorilor;</w:t>
      </w:r>
    </w:p>
    <w:p w14:paraId="522DD1DA" w14:textId="7C4D7238" w:rsidR="00AA57E3" w:rsidRPr="00F7675E" w:rsidRDefault="00AA57E3" w:rsidP="00C525D6">
      <w:pPr>
        <w:pStyle w:val="ListParagraph"/>
        <w:numPr>
          <w:ilvl w:val="0"/>
          <w:numId w:val="35"/>
        </w:numPr>
        <w:spacing w:line="240" w:lineRule="auto"/>
        <w:rPr>
          <w:rFonts w:ascii="Verdana" w:hAnsi="Verdana"/>
        </w:rPr>
      </w:pPr>
      <w:r>
        <w:rPr>
          <w:rFonts w:ascii="Verdana" w:hAnsi="Verdana"/>
        </w:rPr>
        <w:t>pahare pentru băuturi, inclusiv dopurile și capacele acestora;</w:t>
      </w:r>
    </w:p>
    <w:p w14:paraId="42D88118" w14:textId="55FDD9ED" w:rsidR="00AA57E3" w:rsidRPr="00794353" w:rsidRDefault="00AA57E3" w:rsidP="00C525D6">
      <w:pPr>
        <w:pStyle w:val="ListParagraph"/>
        <w:numPr>
          <w:ilvl w:val="0"/>
          <w:numId w:val="34"/>
        </w:numPr>
        <w:jc w:val="both"/>
        <w:rPr>
          <w:rFonts w:ascii="Verdana" w:hAnsi="Verdana"/>
        </w:rPr>
      </w:pPr>
      <w:bookmarkStart w:id="37" w:name="_Ref63672653"/>
      <w:bookmarkStart w:id="38" w:name="_Ref63697458"/>
      <w:r>
        <w:rPr>
          <w:rFonts w:ascii="Verdana" w:hAnsi="Verdana"/>
        </w:rPr>
        <w:t xml:space="preserve">Până la 1 ianuarie 2025, schema de răspundere extinsă a producătorilor pentru echipamentele de pescuit care conțin materiale plastice introduse pe piață trebuie să stabilească și să impună o rată națională </w:t>
      </w:r>
      <w:r w:rsidRPr="00794353">
        <w:rPr>
          <w:rFonts w:ascii="Verdana" w:hAnsi="Verdana"/>
        </w:rPr>
        <w:t xml:space="preserve">minimă anuală de colectare a deșeurilor de echipamente de pescuit care conțin plastic pentru reciclare. </w:t>
      </w:r>
      <w:bookmarkEnd w:id="37"/>
      <w:bookmarkEnd w:id="38"/>
    </w:p>
    <w:p w14:paraId="52EACFCD" w14:textId="1800FB3B" w:rsidR="00700314" w:rsidRPr="00794353" w:rsidRDefault="00AA57E3" w:rsidP="00C525D6">
      <w:pPr>
        <w:pStyle w:val="ListParagraph"/>
        <w:numPr>
          <w:ilvl w:val="0"/>
          <w:numId w:val="34"/>
        </w:numPr>
        <w:jc w:val="both"/>
        <w:rPr>
          <w:rFonts w:ascii="Verdana" w:hAnsi="Verdana"/>
        </w:rPr>
      </w:pPr>
      <w:r w:rsidRPr="00794353">
        <w:rPr>
          <w:rFonts w:ascii="Verdana" w:hAnsi="Verdana"/>
        </w:rPr>
        <w:t>Direcția Generală Resurse Naturale, Siguranță și Servicii Maritime (DGRM) răspunde de efectuarea unui studiu care sprijină definirea ratei menționate la alineatul precedent.</w:t>
      </w:r>
      <w:bookmarkStart w:id="39" w:name="_Hlk65427440"/>
    </w:p>
    <w:p w14:paraId="06EFD80B" w14:textId="160A381E" w:rsidR="00700314" w:rsidRPr="00794353" w:rsidRDefault="00700314" w:rsidP="00C525D6">
      <w:pPr>
        <w:pStyle w:val="ListParagraph"/>
        <w:numPr>
          <w:ilvl w:val="0"/>
          <w:numId w:val="34"/>
        </w:numPr>
        <w:jc w:val="both"/>
        <w:rPr>
          <w:rFonts w:ascii="Verdana" w:hAnsi="Verdana"/>
        </w:rPr>
      </w:pPr>
      <w:r w:rsidRPr="00794353">
        <w:rPr>
          <w:rFonts w:ascii="Verdana" w:hAnsi="Verdana"/>
        </w:rPr>
        <w:t>Stabilirea fiecărei scheme de răspundere extinsă a producătorilor prevăzute la alineatele (1), (2) și (3) se publică cu cel puțin un an înainte de intrarea în vigoare a schemei.</w:t>
      </w:r>
      <w:bookmarkEnd w:id="39"/>
    </w:p>
    <w:p w14:paraId="756377B4" w14:textId="77777777" w:rsidR="00AA57E3" w:rsidRPr="00AA57E3" w:rsidRDefault="00AA57E3" w:rsidP="00040D73">
      <w:pPr>
        <w:pStyle w:val="ListParagraph"/>
        <w:tabs>
          <w:tab w:val="left" w:pos="284"/>
        </w:tabs>
        <w:autoSpaceDE w:val="0"/>
        <w:autoSpaceDN w:val="0"/>
        <w:adjustRightInd w:val="0"/>
        <w:spacing w:before="120" w:after="120" w:line="240" w:lineRule="auto"/>
        <w:ind w:left="426"/>
        <w:jc w:val="both"/>
      </w:pPr>
    </w:p>
    <w:p w14:paraId="793F53FD" w14:textId="3286B9D4" w:rsidR="00F92863" w:rsidRPr="00040D73" w:rsidRDefault="00AC3F76" w:rsidP="00AC3F76">
      <w:pPr>
        <w:pStyle w:val="Heading2"/>
        <w:numPr>
          <w:ilvl w:val="0"/>
          <w:numId w:val="0"/>
        </w:numPr>
        <w:tabs>
          <w:tab w:val="clear" w:pos="1701"/>
          <w:tab w:val="left" w:pos="1276"/>
        </w:tabs>
        <w:ind w:left="426"/>
      </w:pPr>
      <w:bookmarkStart w:id="40" w:name="_Ref66121553"/>
      <w:r>
        <w:lastRenderedPageBreak/>
        <w:t>Articolul 15</w:t>
      </w:r>
      <w:r>
        <w:br/>
      </w:r>
      <w:bookmarkEnd w:id="40"/>
      <w:r>
        <w:t>Costurile care urmează să fie acoperite de schemele de răspundere extinsă a producătorilor</w:t>
      </w:r>
    </w:p>
    <w:p w14:paraId="0390D9A7" w14:textId="77777777" w:rsidR="006610EC" w:rsidRPr="00794353" w:rsidRDefault="006610EC" w:rsidP="00040D73">
      <w:pPr>
        <w:pStyle w:val="ListParagraph"/>
        <w:tabs>
          <w:tab w:val="left" w:pos="284"/>
        </w:tabs>
        <w:autoSpaceDE w:val="0"/>
        <w:autoSpaceDN w:val="0"/>
        <w:adjustRightInd w:val="0"/>
        <w:spacing w:before="120" w:after="120" w:line="240" w:lineRule="auto"/>
        <w:ind w:left="426"/>
        <w:jc w:val="both"/>
        <w:rPr>
          <w:rFonts w:ascii="Verdana" w:hAnsi="Verdana"/>
        </w:rPr>
      </w:pPr>
    </w:p>
    <w:p w14:paraId="08105367" w14:textId="1DFBFEB6" w:rsidR="00F92863" w:rsidRPr="00794353" w:rsidRDefault="00F92863" w:rsidP="00C525D6">
      <w:pPr>
        <w:pStyle w:val="ListParagraph"/>
        <w:numPr>
          <w:ilvl w:val="0"/>
          <w:numId w:val="36"/>
        </w:numPr>
        <w:jc w:val="both"/>
        <w:rPr>
          <w:rFonts w:ascii="Verdana" w:hAnsi="Verdana"/>
        </w:rPr>
      </w:pPr>
      <w:bookmarkStart w:id="41" w:name="_Ref63444260"/>
      <w:r w:rsidRPr="00794353">
        <w:rPr>
          <w:rFonts w:ascii="Verdana" w:hAnsi="Verdana"/>
        </w:rPr>
        <w:t>Pe lângă costurile prevăzute la articolul 13 alineatul (3) litera (a) din SSGD și Unilex, producătorii de produse din plastic de unică folosință menționate la articolul 13 acoperă, de asemenea, următoarele costuri, în măsura în care nu sunt deja incluse în costurile menționate:</w:t>
      </w:r>
      <w:bookmarkEnd w:id="41"/>
      <w:r w:rsidRPr="00794353">
        <w:rPr>
          <w:rFonts w:ascii="Verdana" w:hAnsi="Verdana"/>
        </w:rPr>
        <w:t xml:space="preserve"> </w:t>
      </w:r>
    </w:p>
    <w:p w14:paraId="755C5CD9" w14:textId="6FEA5A33" w:rsidR="00F92863" w:rsidRPr="00794353" w:rsidRDefault="00F92863" w:rsidP="00C525D6">
      <w:pPr>
        <w:pStyle w:val="ListParagraph"/>
        <w:numPr>
          <w:ilvl w:val="0"/>
          <w:numId w:val="37"/>
        </w:numPr>
        <w:spacing w:line="240" w:lineRule="auto"/>
        <w:rPr>
          <w:rFonts w:ascii="Verdana" w:hAnsi="Verdana"/>
        </w:rPr>
      </w:pPr>
      <w:r w:rsidRPr="00794353">
        <w:rPr>
          <w:rFonts w:ascii="Verdana" w:hAnsi="Verdana"/>
        </w:rPr>
        <w:t xml:space="preserve">costurile măsurilor de sensibilizare menționate în prezentul decret-lege cu privire la aceste produse; </w:t>
      </w:r>
    </w:p>
    <w:p w14:paraId="7362E724" w14:textId="77777777" w:rsidR="00F92863" w:rsidRPr="00794353" w:rsidRDefault="00F92863" w:rsidP="00C525D6">
      <w:pPr>
        <w:pStyle w:val="ListParagraph"/>
        <w:numPr>
          <w:ilvl w:val="0"/>
          <w:numId w:val="37"/>
        </w:numPr>
        <w:spacing w:line="240" w:lineRule="auto"/>
        <w:rPr>
          <w:rFonts w:ascii="Verdana" w:hAnsi="Verdana"/>
        </w:rPr>
      </w:pPr>
      <w:r w:rsidRPr="00794353">
        <w:rPr>
          <w:rFonts w:ascii="Verdana" w:hAnsi="Verdana"/>
        </w:rPr>
        <w:t xml:space="preserve">costurile de colectare a deșeurilor pentru acele produse care sunt returnate în sistemele publice de colectare, inclusiv infrastructura și exploatarea acesteia, precum și transportul și tratarea ulterioară a deșeurilor respective; și </w:t>
      </w:r>
    </w:p>
    <w:p w14:paraId="344A4917" w14:textId="77777777" w:rsidR="00F92863" w:rsidRPr="00794353" w:rsidRDefault="00F92863" w:rsidP="00C525D6">
      <w:pPr>
        <w:pStyle w:val="ListParagraph"/>
        <w:numPr>
          <w:ilvl w:val="0"/>
          <w:numId w:val="37"/>
        </w:numPr>
        <w:spacing w:line="240" w:lineRule="auto"/>
        <w:rPr>
          <w:rFonts w:ascii="Verdana" w:hAnsi="Verdana"/>
        </w:rPr>
      </w:pPr>
      <w:r w:rsidRPr="00794353">
        <w:rPr>
          <w:rFonts w:ascii="Verdana" w:hAnsi="Verdana"/>
        </w:rPr>
        <w:t>costurile de curățare a deșeurilor rezultate din aceste produse, precum și transportul și tratarea ulterioară a deșeurilor respective.</w:t>
      </w:r>
    </w:p>
    <w:p w14:paraId="20E2B852" w14:textId="544EF49E" w:rsidR="00F92863" w:rsidRPr="00794353" w:rsidRDefault="00F92863" w:rsidP="00C525D6">
      <w:pPr>
        <w:pStyle w:val="ListParagraph"/>
        <w:numPr>
          <w:ilvl w:val="0"/>
          <w:numId w:val="36"/>
        </w:numPr>
        <w:jc w:val="both"/>
        <w:rPr>
          <w:rFonts w:ascii="Verdana" w:hAnsi="Verdana"/>
        </w:rPr>
      </w:pPr>
      <w:bookmarkStart w:id="42" w:name="_Ref63444269"/>
      <w:r w:rsidRPr="00794353">
        <w:rPr>
          <w:rFonts w:ascii="Verdana" w:hAnsi="Verdana"/>
        </w:rPr>
        <w:t>Producătorii produselor din plastic de unică folosință menționate la alineatele (1) și (2) trebuie să acopere cel puțin următoarele costuri:</w:t>
      </w:r>
      <w:bookmarkEnd w:id="42"/>
      <w:r w:rsidRPr="00794353">
        <w:rPr>
          <w:rFonts w:ascii="Verdana" w:hAnsi="Verdana"/>
        </w:rPr>
        <w:t xml:space="preserve"> </w:t>
      </w:r>
    </w:p>
    <w:p w14:paraId="34C5E7C6" w14:textId="6CEF6915" w:rsidR="00F92863" w:rsidRPr="00794353" w:rsidRDefault="00F92863" w:rsidP="00C525D6">
      <w:pPr>
        <w:pStyle w:val="ListParagraph"/>
        <w:numPr>
          <w:ilvl w:val="0"/>
          <w:numId w:val="38"/>
        </w:numPr>
        <w:spacing w:line="240" w:lineRule="auto"/>
        <w:rPr>
          <w:rFonts w:ascii="Verdana" w:hAnsi="Verdana"/>
        </w:rPr>
      </w:pPr>
      <w:r w:rsidRPr="00794353">
        <w:rPr>
          <w:rFonts w:ascii="Verdana" w:hAnsi="Verdana"/>
        </w:rPr>
        <w:t>costurile măsurilor de sensibilizare menționate în prezentul decret-lege cu privire la aceste produse;</w:t>
      </w:r>
    </w:p>
    <w:p w14:paraId="2759636F" w14:textId="77777777" w:rsidR="00F92863" w:rsidRPr="00794353" w:rsidRDefault="00F92863" w:rsidP="00C525D6">
      <w:pPr>
        <w:pStyle w:val="ListParagraph"/>
        <w:numPr>
          <w:ilvl w:val="0"/>
          <w:numId w:val="38"/>
        </w:numPr>
        <w:spacing w:line="240" w:lineRule="auto"/>
        <w:rPr>
          <w:rFonts w:ascii="Verdana" w:hAnsi="Verdana"/>
        </w:rPr>
      </w:pPr>
      <w:r w:rsidRPr="00794353">
        <w:rPr>
          <w:rFonts w:ascii="Verdana" w:hAnsi="Verdana"/>
        </w:rPr>
        <w:t xml:space="preserve">costurile de curățare a deșeurilor rezultate din aceste produse, precum și transportul și tratarea ulterioară a deșeurilor respective; și </w:t>
      </w:r>
    </w:p>
    <w:p w14:paraId="2B485E43" w14:textId="4F86EA8B" w:rsidR="00F92863" w:rsidRPr="00794353" w:rsidRDefault="00F92863" w:rsidP="00C525D6">
      <w:pPr>
        <w:pStyle w:val="ListParagraph"/>
        <w:numPr>
          <w:ilvl w:val="0"/>
          <w:numId w:val="38"/>
        </w:numPr>
        <w:spacing w:line="240" w:lineRule="auto"/>
        <w:rPr>
          <w:rFonts w:ascii="Verdana" w:hAnsi="Verdana"/>
        </w:rPr>
      </w:pPr>
      <w:r w:rsidRPr="00794353">
        <w:rPr>
          <w:rFonts w:ascii="Verdana" w:hAnsi="Verdana"/>
        </w:rPr>
        <w:t xml:space="preserve">costurile de colectare și raportare a datelor în conformitate cu articolul 13 alineatul (1) literele (c) și (d) din SSGD. </w:t>
      </w:r>
    </w:p>
    <w:p w14:paraId="1254E804" w14:textId="77777777" w:rsidR="00F92863" w:rsidRPr="00794353" w:rsidRDefault="00F92863" w:rsidP="00C525D6">
      <w:pPr>
        <w:pStyle w:val="ListParagraph"/>
        <w:numPr>
          <w:ilvl w:val="0"/>
          <w:numId w:val="36"/>
        </w:numPr>
        <w:jc w:val="both"/>
        <w:rPr>
          <w:rFonts w:ascii="Verdana" w:hAnsi="Verdana"/>
        </w:rPr>
      </w:pPr>
      <w:bookmarkStart w:id="43" w:name="_Ref63444276"/>
      <w:r w:rsidRPr="00794353">
        <w:rPr>
          <w:rFonts w:ascii="Verdana" w:hAnsi="Verdana"/>
        </w:rPr>
        <w:t>În ceea ce privește produsele din tutun cu filtru și filtrele comercializate pentru a fi utilizate în combinație cu produsele din tutun, producătorii trebuie, de asemenea, să acopere costurile de colectare a deșeurilor pentru acele produse care sunt returnate în sistemele publice de colectare, inclusiv cele referitoare la infrastructură și funcționarea acesteia, precum și transportul și tratarea ulterioară a deșeurilor respective.</w:t>
      </w:r>
      <w:bookmarkEnd w:id="43"/>
      <w:r w:rsidRPr="00794353">
        <w:rPr>
          <w:rFonts w:ascii="Verdana" w:hAnsi="Verdana"/>
        </w:rPr>
        <w:t xml:space="preserve"> </w:t>
      </w:r>
    </w:p>
    <w:p w14:paraId="5E55935B" w14:textId="77777777" w:rsidR="00F92863" w:rsidRPr="00F7675E" w:rsidRDefault="00F92863" w:rsidP="00C525D6">
      <w:pPr>
        <w:pStyle w:val="ListParagraph"/>
        <w:numPr>
          <w:ilvl w:val="0"/>
          <w:numId w:val="36"/>
        </w:numPr>
        <w:jc w:val="both"/>
        <w:rPr>
          <w:rFonts w:ascii="Verdana" w:hAnsi="Verdana"/>
        </w:rPr>
      </w:pPr>
      <w:bookmarkStart w:id="44" w:name="_Ref63444282"/>
      <w:r w:rsidRPr="00794353">
        <w:rPr>
          <w:rFonts w:ascii="Verdana" w:hAnsi="Verdana"/>
        </w:rPr>
        <w:t>Costurile menționate la alineatul precedent pot include crearea unor infrastructuri specifice pentru colectarea deșeurilor</w:t>
      </w:r>
      <w:r>
        <w:rPr>
          <w:rFonts w:ascii="Verdana" w:hAnsi="Verdana"/>
        </w:rPr>
        <w:t xml:space="preserve"> pentru produsele respective, cum ar fi recipientele adecvate pentru deșeuri în zonele în care se aruncă multe deșeuri.</w:t>
      </w:r>
      <w:bookmarkEnd w:id="44"/>
      <w:r>
        <w:rPr>
          <w:rFonts w:ascii="Verdana" w:hAnsi="Verdana"/>
        </w:rPr>
        <w:t xml:space="preserve"> </w:t>
      </w:r>
    </w:p>
    <w:p w14:paraId="1402E2DA" w14:textId="14DE25D9" w:rsidR="00F92863" w:rsidRPr="00F7675E" w:rsidRDefault="00F92863" w:rsidP="00C525D6">
      <w:pPr>
        <w:pStyle w:val="ListParagraph"/>
        <w:numPr>
          <w:ilvl w:val="0"/>
          <w:numId w:val="36"/>
        </w:numPr>
        <w:jc w:val="both"/>
        <w:rPr>
          <w:rFonts w:ascii="Verdana" w:hAnsi="Verdana"/>
        </w:rPr>
      </w:pPr>
      <w:r>
        <w:rPr>
          <w:rFonts w:ascii="Verdana" w:hAnsi="Verdana"/>
        </w:rPr>
        <w:lastRenderedPageBreak/>
        <w:t>Costurile care trebuie acoperite menționate la alineatele precedente nu trebuie să depășească costurile necesare prestării serviciilor menționate în acestea într-un mod eficient din punctul de vedere al costurilor și trebuie stabilite într-un mod transparent între actorii în cauză.</w:t>
      </w:r>
    </w:p>
    <w:p w14:paraId="4DC58209" w14:textId="295EBFA3" w:rsidR="00F92863" w:rsidRPr="00F7675E" w:rsidRDefault="00F92863" w:rsidP="00C525D6">
      <w:pPr>
        <w:pStyle w:val="ListParagraph"/>
        <w:numPr>
          <w:ilvl w:val="0"/>
          <w:numId w:val="36"/>
        </w:numPr>
        <w:jc w:val="both"/>
        <w:rPr>
          <w:rFonts w:ascii="Verdana" w:hAnsi="Verdana"/>
        </w:rPr>
      </w:pPr>
      <w:r>
        <w:rPr>
          <w:rFonts w:ascii="Verdana" w:hAnsi="Verdana"/>
        </w:rPr>
        <w:t>Costurile de curățare a deșeurilor se limitează la activitățile întreprinse de autoritățile publice sau în numele acestora, iar metodologia de calcul se elaborează într-un mod care să permită stabilirea proporțională a costurilor de curățare a deșeurilor.</w:t>
      </w:r>
    </w:p>
    <w:p w14:paraId="2D1A7FFE" w14:textId="77777777" w:rsidR="00F92863" w:rsidRPr="00F7675E" w:rsidRDefault="00F92863" w:rsidP="00C525D6">
      <w:pPr>
        <w:pStyle w:val="ListParagraph"/>
        <w:numPr>
          <w:ilvl w:val="0"/>
          <w:numId w:val="36"/>
        </w:numPr>
        <w:jc w:val="both"/>
        <w:rPr>
          <w:rFonts w:ascii="Verdana" w:hAnsi="Verdana"/>
        </w:rPr>
      </w:pPr>
      <w:r>
        <w:rPr>
          <w:rFonts w:ascii="Verdana" w:hAnsi="Verdana"/>
        </w:rPr>
        <w:t>Pentru a reduce la minimum costurile administrative, contribuțiile financiare pentru curățarea deșeurilor se stabilesc prin stabilirea unor sume fixe multianuale corespunzătoare, care vor fi stabilite printr-o ordonanță a membrilor guvernului responsabil cu problemele economice și de mediu.</w:t>
      </w:r>
    </w:p>
    <w:p w14:paraId="6CACFC40" w14:textId="5C1FE9BF" w:rsidR="00F92863" w:rsidRPr="00F7675E" w:rsidRDefault="00F92863" w:rsidP="00C525D6">
      <w:pPr>
        <w:pStyle w:val="ListParagraph"/>
        <w:numPr>
          <w:ilvl w:val="0"/>
          <w:numId w:val="36"/>
        </w:numPr>
        <w:jc w:val="both"/>
        <w:rPr>
          <w:rFonts w:ascii="Verdana" w:hAnsi="Verdana"/>
        </w:rPr>
      </w:pPr>
      <w:r>
        <w:rPr>
          <w:rFonts w:ascii="Verdana" w:hAnsi="Verdana"/>
        </w:rPr>
        <w:t>Contribuțiile financiare menționate la alineatul anterior pot fi actualizate și ar trebui să țină cont în orice moment de orientările adoptate de Comisia Europeană privind criteriile referitoare la costul de curățare a deșeurilor.</w:t>
      </w:r>
    </w:p>
    <w:p w14:paraId="5AD567E5" w14:textId="01156E0F" w:rsidR="00231C0A" w:rsidRPr="00F7675E" w:rsidRDefault="00231C0A" w:rsidP="00C525D6">
      <w:pPr>
        <w:pStyle w:val="ListParagraph"/>
        <w:numPr>
          <w:ilvl w:val="0"/>
          <w:numId w:val="36"/>
        </w:numPr>
        <w:jc w:val="both"/>
        <w:rPr>
          <w:rFonts w:ascii="Verdana" w:hAnsi="Verdana"/>
        </w:rPr>
      </w:pPr>
      <w:bookmarkStart w:id="45" w:name="_Ref63672961"/>
      <w:r>
        <w:t>În ceea ce privește schemele de răspundere extinsă a producătorilor instituite în temeiul articolului 14 punctul 3, producătorii de echipamente de pescuit care conțin plastic trebuie să acopere costurile de colectare separată a deșeurilor de echipamente de pescuit care conțin plastic care au fost livrate unor instalații portuare de preluare adecvate în conformitate cu Decretul-lege nr. 102/2020 din 9 decembrie 2020 sau cu alte sisteme echivalente de colectare care nu intră în domeniul de aplicare al directivei respective, precum și costurile de transport și tratare ulterioară a acestora.</w:t>
      </w:r>
      <w:bookmarkEnd w:id="45"/>
      <w:r>
        <w:rPr>
          <w:rFonts w:ascii="Verdana" w:hAnsi="Verdana"/>
        </w:rPr>
        <w:t xml:space="preserve"> </w:t>
      </w:r>
    </w:p>
    <w:p w14:paraId="47FFA491" w14:textId="2E2BE508" w:rsidR="00231C0A" w:rsidRPr="00F7675E" w:rsidRDefault="00231C0A" w:rsidP="00C525D6">
      <w:pPr>
        <w:pStyle w:val="ListParagraph"/>
        <w:numPr>
          <w:ilvl w:val="0"/>
          <w:numId w:val="36"/>
        </w:numPr>
        <w:jc w:val="both"/>
        <w:rPr>
          <w:rFonts w:ascii="Verdana" w:hAnsi="Verdana"/>
        </w:rPr>
      </w:pPr>
      <w:bookmarkStart w:id="46" w:name="_Ref63672968"/>
      <w:r>
        <w:t>Producătorii de echipamente de pescuit acoperă, de asemenea, costurile măsurilor de sensibilizare menționate la articolul 18 din prezentul ordin cu privire la produsele respective.</w:t>
      </w:r>
      <w:bookmarkEnd w:id="46"/>
      <w:r>
        <w:rPr>
          <w:rFonts w:ascii="Verdana" w:hAnsi="Verdana"/>
        </w:rPr>
        <w:t xml:space="preserve"> </w:t>
      </w:r>
    </w:p>
    <w:p w14:paraId="3559297D" w14:textId="26D04FCD" w:rsidR="00231C0A" w:rsidRPr="00F7675E" w:rsidRDefault="00231C0A" w:rsidP="00C525D6">
      <w:pPr>
        <w:pStyle w:val="ListParagraph"/>
        <w:numPr>
          <w:ilvl w:val="0"/>
          <w:numId w:val="36"/>
        </w:numPr>
        <w:jc w:val="both"/>
        <w:rPr>
          <w:rFonts w:ascii="Verdana" w:hAnsi="Verdana"/>
        </w:rPr>
      </w:pPr>
      <w:r>
        <w:t>Cerințele prevăzute la alineatele (9) și (10) completează cerințele aplicabile deșeurilor provenite de la navele de pescuit prevăzute în Decretul-lege nr. 102/2020 din 9 decembrie 2020.</w:t>
      </w:r>
      <w:r>
        <w:rPr>
          <w:rFonts w:ascii="Verdana" w:hAnsi="Verdana"/>
        </w:rPr>
        <w:t xml:space="preserve"> </w:t>
      </w:r>
    </w:p>
    <w:p w14:paraId="690C7125" w14:textId="69198AB9" w:rsidR="00F92863" w:rsidRDefault="00F92863" w:rsidP="00F92863"/>
    <w:p w14:paraId="64CD888A" w14:textId="162B1D69" w:rsidR="003F14EA" w:rsidRDefault="00AC3F76" w:rsidP="000600E7">
      <w:pPr>
        <w:pStyle w:val="Heading2"/>
        <w:numPr>
          <w:ilvl w:val="0"/>
          <w:numId w:val="0"/>
        </w:numPr>
        <w:tabs>
          <w:tab w:val="clear" w:pos="1701"/>
          <w:tab w:val="left" w:pos="1418"/>
        </w:tabs>
        <w:ind w:left="426"/>
      </w:pPr>
      <w:r>
        <w:t>Articolul 16</w:t>
      </w:r>
      <w:r>
        <w:br/>
      </w:r>
      <w:bookmarkStart w:id="47" w:name="_Ref66121774"/>
      <w:r>
        <w:t>Reprezentantul autorizat</w:t>
      </w:r>
      <w:bookmarkEnd w:id="47"/>
    </w:p>
    <w:p w14:paraId="0E6F245D" w14:textId="77777777" w:rsidR="00014396" w:rsidRPr="00014396" w:rsidRDefault="00014396" w:rsidP="00014396"/>
    <w:p w14:paraId="5E8ECB47" w14:textId="794F8C80" w:rsidR="00231C0A" w:rsidRPr="000E29F8" w:rsidRDefault="00231C0A" w:rsidP="00C525D6">
      <w:pPr>
        <w:pStyle w:val="ListParagraph"/>
        <w:numPr>
          <w:ilvl w:val="0"/>
          <w:numId w:val="39"/>
        </w:numPr>
        <w:jc w:val="both"/>
        <w:rPr>
          <w:rFonts w:ascii="Verdana" w:hAnsi="Verdana"/>
        </w:rPr>
      </w:pPr>
      <w:r>
        <w:rPr>
          <w:rFonts w:ascii="Verdana" w:hAnsi="Verdana"/>
        </w:rPr>
        <w:t xml:space="preserve">Producătorii de produse din plastic de unică folosință menționate la articolele 13 și 14, stabiliți într-un alt stat membru al Uniunii </w:t>
      </w:r>
      <w:r>
        <w:rPr>
          <w:rFonts w:ascii="Verdana" w:hAnsi="Verdana"/>
        </w:rPr>
        <w:lastRenderedPageBreak/>
        <w:t>Europene sau într-o țară terță și care vând produse prin tehnici de comunicare la distanță direct către consumatorii finali din Portugalia desemnează o persoană fizică sau juridică stabilită în Portugalia ca reprezentant autorizat al acestora, care este responsabilă cu îndeplinirea obligațiilor care le revin în temeiul prezentului decret-lege.</w:t>
      </w:r>
    </w:p>
    <w:p w14:paraId="7C661ED7" w14:textId="27C8AC62" w:rsidR="00231C0A" w:rsidRPr="000E29F8" w:rsidRDefault="00231C0A" w:rsidP="00C525D6">
      <w:pPr>
        <w:pStyle w:val="ListParagraph"/>
        <w:numPr>
          <w:ilvl w:val="0"/>
          <w:numId w:val="39"/>
        </w:numPr>
        <w:jc w:val="both"/>
        <w:rPr>
          <w:rFonts w:ascii="Verdana" w:hAnsi="Verdana"/>
        </w:rPr>
      </w:pPr>
      <w:r>
        <w:rPr>
          <w:rFonts w:ascii="Verdana" w:hAnsi="Verdana"/>
        </w:rPr>
        <w:t>Fără a aduce atingere obligației prevăzute la alineatul (13), producătorii de produse din plastic de unică folosință menționate la articolele 13 și 14, stabiliți într-un alt stat membru al Uniunii Europene, pot numi o persoană fizică sau juridică stabilită în Portugalia ca reprezentant autorizat al acestora în scopul îndeplinirii obligațiilor producătorului în temeiul prezentului decret-lege.</w:t>
      </w:r>
    </w:p>
    <w:p w14:paraId="55C99F0A" w14:textId="3DA443E7" w:rsidR="001F7456" w:rsidRPr="000E29F8" w:rsidRDefault="001F7456" w:rsidP="00C525D6">
      <w:pPr>
        <w:pStyle w:val="ListParagraph"/>
        <w:numPr>
          <w:ilvl w:val="0"/>
          <w:numId w:val="39"/>
        </w:numPr>
        <w:jc w:val="both"/>
        <w:rPr>
          <w:rFonts w:ascii="Verdana" w:hAnsi="Verdana"/>
        </w:rPr>
      </w:pPr>
      <w:r>
        <w:rPr>
          <w:rFonts w:ascii="Verdana" w:hAnsi="Verdana"/>
        </w:rPr>
        <w:t>Producătorii stabiliți în Portugalia care vând produsele din plastic de unică folosință menționate la articolele 13 și 14 prin tehnici de comunicare la distanță direct consumatorilor finali dintr-un alt stat membru în care nu sunt stabiliți desemnează un reprezentant autorizat în statul membru respectiv, care este responsabil cu îndeplinirea obligațiilor producătorului în temeiul prezentului decret-lege pe teritoriul celuilalt stat membru.</w:t>
      </w:r>
    </w:p>
    <w:p w14:paraId="77BFA3F9" w14:textId="2747B585" w:rsidR="00CC50F8" w:rsidRPr="000E29F8" w:rsidRDefault="003679EF" w:rsidP="00C525D6">
      <w:pPr>
        <w:pStyle w:val="ListParagraph"/>
        <w:numPr>
          <w:ilvl w:val="0"/>
          <w:numId w:val="39"/>
        </w:numPr>
        <w:jc w:val="both"/>
        <w:rPr>
          <w:rFonts w:ascii="Verdana" w:hAnsi="Verdana"/>
        </w:rPr>
      </w:pPr>
      <w:r>
        <w:rPr>
          <w:rFonts w:ascii="Verdana" w:hAnsi="Verdana"/>
        </w:rPr>
        <w:t>Se respectă condițiile de numire a unui reprezentant autorizat și obligațiile respective prevăzute la articolul 20 din Unilex.</w:t>
      </w:r>
    </w:p>
    <w:p w14:paraId="7547E496" w14:textId="621945A0" w:rsidR="004A192F" w:rsidRDefault="004A192F" w:rsidP="004A192F">
      <w:pPr>
        <w:pStyle w:val="ListParagraph"/>
        <w:tabs>
          <w:tab w:val="left" w:pos="851"/>
        </w:tabs>
        <w:autoSpaceDE w:val="0"/>
        <w:autoSpaceDN w:val="0"/>
        <w:adjustRightInd w:val="0"/>
        <w:ind w:left="644"/>
        <w:jc w:val="both"/>
        <w:rPr>
          <w:rFonts w:ascii="Verdana" w:hAnsi="Verdana" w:cs="EU Albertina"/>
          <w:color w:val="000000"/>
        </w:rPr>
      </w:pPr>
    </w:p>
    <w:p w14:paraId="7E8920A4" w14:textId="77777777" w:rsidR="000E29F8" w:rsidRDefault="000E29F8" w:rsidP="004A192F">
      <w:pPr>
        <w:pStyle w:val="ListParagraph"/>
        <w:tabs>
          <w:tab w:val="left" w:pos="851"/>
        </w:tabs>
        <w:autoSpaceDE w:val="0"/>
        <w:autoSpaceDN w:val="0"/>
        <w:adjustRightInd w:val="0"/>
        <w:ind w:left="644"/>
        <w:jc w:val="both"/>
        <w:rPr>
          <w:rFonts w:ascii="Verdana" w:hAnsi="Verdana" w:cs="EU Albertina"/>
          <w:color w:val="000000"/>
        </w:rPr>
      </w:pPr>
    </w:p>
    <w:p w14:paraId="1D37557F" w14:textId="0E026CC3" w:rsidR="00ED79DD" w:rsidRPr="003F6B93" w:rsidRDefault="003F14EA" w:rsidP="00AA057C">
      <w:pPr>
        <w:pStyle w:val="Heading1"/>
        <w:tabs>
          <w:tab w:val="clear" w:pos="3969"/>
          <w:tab w:val="left" w:pos="2410"/>
        </w:tabs>
        <w:ind w:firstLine="180"/>
      </w:pPr>
      <w:r>
        <w:br/>
        <w:t>Colectare separată</w:t>
      </w:r>
    </w:p>
    <w:p w14:paraId="6118BF46" w14:textId="0F140822" w:rsidR="00ED79DD" w:rsidRDefault="00AC3F76" w:rsidP="000600E7">
      <w:pPr>
        <w:pStyle w:val="Heading2"/>
        <w:numPr>
          <w:ilvl w:val="0"/>
          <w:numId w:val="0"/>
        </w:numPr>
        <w:tabs>
          <w:tab w:val="clear" w:pos="1701"/>
          <w:tab w:val="left" w:pos="1418"/>
        </w:tabs>
        <w:ind w:left="426"/>
      </w:pPr>
      <w:r>
        <w:t>Articolul 17</w:t>
      </w:r>
      <w:r>
        <w:br/>
      </w:r>
      <w:bookmarkStart w:id="48" w:name="_Ref66121801"/>
      <w:r>
        <w:t>Obiective pentru colectarea separată a sticlelor</w:t>
      </w:r>
      <w:bookmarkEnd w:id="48"/>
    </w:p>
    <w:p w14:paraId="663DD529" w14:textId="77777777" w:rsidR="00DA0902" w:rsidRPr="00DA0902" w:rsidRDefault="00DA0902" w:rsidP="00DA0902"/>
    <w:p w14:paraId="4881CA6C" w14:textId="46F49258" w:rsidR="006236DA" w:rsidRPr="000E29F8" w:rsidRDefault="006236DA" w:rsidP="00C525D6">
      <w:pPr>
        <w:pStyle w:val="ListParagraph"/>
        <w:numPr>
          <w:ilvl w:val="0"/>
          <w:numId w:val="40"/>
        </w:numPr>
        <w:jc w:val="both"/>
        <w:rPr>
          <w:rFonts w:ascii="Verdana" w:hAnsi="Verdana"/>
        </w:rPr>
      </w:pPr>
      <w:bookmarkStart w:id="49" w:name="_Ref63698199"/>
      <w:r>
        <w:rPr>
          <w:rFonts w:ascii="Verdana" w:hAnsi="Verdana"/>
        </w:rPr>
        <w:t>Producătorii de sticle din plastic de unică folosință pentru băuturi cu o capacitate de până la trei litri, inclusiv dopurile și capacele acestora, asigură:</w:t>
      </w:r>
    </w:p>
    <w:p w14:paraId="00529814" w14:textId="55C98796" w:rsidR="006236DA" w:rsidRPr="000E29F8" w:rsidRDefault="006236DA" w:rsidP="00C525D6">
      <w:pPr>
        <w:pStyle w:val="ListParagraph"/>
        <w:numPr>
          <w:ilvl w:val="0"/>
          <w:numId w:val="41"/>
        </w:numPr>
        <w:spacing w:line="240" w:lineRule="auto"/>
        <w:rPr>
          <w:rFonts w:ascii="Verdana" w:hAnsi="Verdana"/>
        </w:rPr>
      </w:pPr>
      <w:r>
        <w:rPr>
          <w:rFonts w:ascii="Verdana" w:hAnsi="Verdana"/>
        </w:rPr>
        <w:t>până la 31 decembrie 2025, colectarea separată a deșeurilor destinate reciclării, într-un procent de cel puțin 77 %, ca greutate din astfel de produse introduse pe piață într-un anumit an;</w:t>
      </w:r>
    </w:p>
    <w:p w14:paraId="1B95B4D1" w14:textId="2F6357FD" w:rsidR="006236DA" w:rsidRPr="000E29F8" w:rsidRDefault="006236DA" w:rsidP="00C525D6">
      <w:pPr>
        <w:pStyle w:val="ListParagraph"/>
        <w:numPr>
          <w:ilvl w:val="0"/>
          <w:numId w:val="41"/>
        </w:numPr>
        <w:spacing w:line="240" w:lineRule="auto"/>
        <w:rPr>
          <w:rFonts w:ascii="Verdana" w:hAnsi="Verdana"/>
        </w:rPr>
      </w:pPr>
      <w:r>
        <w:rPr>
          <w:rFonts w:ascii="Verdana" w:hAnsi="Verdana"/>
        </w:rPr>
        <w:lastRenderedPageBreak/>
        <w:t>până la 31 decembrie 2029, colectarea separată a deșeurilor destinate reciclării într-un procent de cel puțin 90 %, ca greutate din astfel de produse introduse pe piață într-un anumit an.</w:t>
      </w:r>
    </w:p>
    <w:p w14:paraId="2A1F56ED" w14:textId="4E3E67AA" w:rsidR="006236DA" w:rsidRPr="000E29F8" w:rsidRDefault="006236DA" w:rsidP="00C525D6">
      <w:pPr>
        <w:pStyle w:val="ListParagraph"/>
        <w:numPr>
          <w:ilvl w:val="0"/>
          <w:numId w:val="40"/>
        </w:numPr>
        <w:jc w:val="both"/>
        <w:rPr>
          <w:rFonts w:ascii="Verdana" w:hAnsi="Verdana"/>
        </w:rPr>
      </w:pPr>
      <w:r>
        <w:rPr>
          <w:rFonts w:ascii="Verdana" w:hAnsi="Verdana"/>
        </w:rPr>
        <w:t>Sistemul de returnare a garanților pentru ambalajele de băuturi din plastic care nu pot fi reutilizate, prevăzut la articolul 23c din Unilex, în forma sa actuală, va contribui la îndeplinirea obiectivelor stabilite la alineatele precedente.</w:t>
      </w:r>
    </w:p>
    <w:bookmarkEnd w:id="49"/>
    <w:p w14:paraId="53319A72" w14:textId="61D4E81F" w:rsidR="00A53FF8" w:rsidRPr="000E29F8" w:rsidRDefault="00A53FF8" w:rsidP="00C525D6">
      <w:pPr>
        <w:pStyle w:val="ListParagraph"/>
        <w:numPr>
          <w:ilvl w:val="0"/>
          <w:numId w:val="40"/>
        </w:numPr>
        <w:jc w:val="both"/>
        <w:rPr>
          <w:rFonts w:ascii="Verdana" w:hAnsi="Verdana"/>
        </w:rPr>
      </w:pPr>
      <w:r>
        <w:t>De la alineatele (1) și (2) se exclud următoarele:</w:t>
      </w:r>
    </w:p>
    <w:p w14:paraId="0351D4D5" w14:textId="2D9F9A35" w:rsidR="006236DA" w:rsidRPr="000E29F8" w:rsidRDefault="00A53FF8" w:rsidP="00C525D6">
      <w:pPr>
        <w:pStyle w:val="ListParagraph"/>
        <w:numPr>
          <w:ilvl w:val="0"/>
          <w:numId w:val="42"/>
        </w:numPr>
        <w:spacing w:line="240" w:lineRule="auto"/>
        <w:rPr>
          <w:rFonts w:ascii="Verdana" w:hAnsi="Verdana"/>
        </w:rPr>
      </w:pPr>
      <w:r>
        <w:rPr>
          <w:rFonts w:ascii="Verdana" w:hAnsi="Verdana"/>
        </w:rPr>
        <w:t xml:space="preserve">sticlele pentru băuturi din sticlă sau din metal, cu dopuri și capace din plastic; </w:t>
      </w:r>
    </w:p>
    <w:p w14:paraId="3CEC0E19" w14:textId="77777777" w:rsidR="00A53FF8" w:rsidRPr="000E29F8" w:rsidRDefault="00A53FF8" w:rsidP="00C525D6">
      <w:pPr>
        <w:pStyle w:val="ListParagraph"/>
        <w:numPr>
          <w:ilvl w:val="0"/>
          <w:numId w:val="42"/>
        </w:numPr>
        <w:spacing w:line="240" w:lineRule="auto"/>
        <w:rPr>
          <w:rFonts w:ascii="Verdana" w:hAnsi="Verdana"/>
        </w:rPr>
      </w:pPr>
      <w:r>
        <w:rPr>
          <w:rFonts w:ascii="Verdana" w:hAnsi="Verdana"/>
        </w:rPr>
        <w:t>sticlele pentru băuturi destinate și utilizate pentru produse alimentare în scopuri medicale specifice, astfel cum sunt definite la articolul 2 litera (g) din Regulamentul (UE) nr. 609/2013, care sunt sub formă lichidă.</w:t>
      </w:r>
    </w:p>
    <w:p w14:paraId="0D3B6430" w14:textId="20E31A6E" w:rsidR="003067B2" w:rsidRPr="000E29F8" w:rsidRDefault="003067B2" w:rsidP="00C525D6">
      <w:pPr>
        <w:pStyle w:val="ListParagraph"/>
        <w:numPr>
          <w:ilvl w:val="0"/>
          <w:numId w:val="40"/>
        </w:numPr>
        <w:jc w:val="both"/>
        <w:rPr>
          <w:rFonts w:ascii="Verdana" w:hAnsi="Verdana"/>
        </w:rPr>
      </w:pPr>
      <w:r>
        <w:t>În scopul verificării conformității cu obiectivele prevăzute la alineatele (1) și (2), se ține seama de normele de calcul prevăzute în legea de punere în aplicare adoptată de Comisia Europeană.</w:t>
      </w:r>
      <w:r>
        <w:rPr>
          <w:rFonts w:ascii="Verdana" w:hAnsi="Verdana"/>
        </w:rPr>
        <w:t xml:space="preserve"> </w:t>
      </w:r>
    </w:p>
    <w:p w14:paraId="5B274A4B" w14:textId="1678079D" w:rsidR="002B07FB" w:rsidRPr="000E29F8" w:rsidRDefault="00486308" w:rsidP="00C525D6">
      <w:pPr>
        <w:pStyle w:val="ListParagraph"/>
        <w:numPr>
          <w:ilvl w:val="0"/>
          <w:numId w:val="40"/>
        </w:numPr>
        <w:jc w:val="both"/>
        <w:rPr>
          <w:rFonts w:ascii="Verdana" w:hAnsi="Verdana"/>
        </w:rPr>
      </w:pPr>
      <w:r>
        <w:rPr>
          <w:rFonts w:ascii="Verdana" w:hAnsi="Verdana"/>
        </w:rPr>
        <w:t>Cantitatea de sticle din plastic de unică folosință pentru băuturi cu o capacitate de până la trei litri care au fost introduse pe piață poate fi considerată egală cu cantitatea de deșeuri generate de astfel de sticle, inclusiv deșeuri, în același an.</w:t>
      </w:r>
    </w:p>
    <w:p w14:paraId="4DBFCC05" w14:textId="77777777" w:rsidR="00E1488F" w:rsidRPr="00AE50FA" w:rsidRDefault="00E1488F" w:rsidP="003B7EF0">
      <w:pPr>
        <w:spacing w:after="0"/>
        <w:rPr>
          <w:rFonts w:ascii="Verdana" w:hAnsi="Verdana"/>
          <w:b/>
          <w:sz w:val="24"/>
        </w:rPr>
      </w:pPr>
    </w:p>
    <w:p w14:paraId="18717885" w14:textId="7BE4F46B" w:rsidR="00E06216" w:rsidRPr="003F6B93" w:rsidRDefault="00CD4ECA" w:rsidP="00A66A89">
      <w:pPr>
        <w:pStyle w:val="Heading1"/>
        <w:tabs>
          <w:tab w:val="clear" w:pos="3969"/>
          <w:tab w:val="left" w:pos="2552"/>
        </w:tabs>
      </w:pPr>
      <w:r>
        <w:br/>
        <w:t>Măsuri de sensibilizare</w:t>
      </w:r>
    </w:p>
    <w:p w14:paraId="4B983E0F" w14:textId="0E88C2AB" w:rsidR="00E06216" w:rsidRDefault="00AC3F76" w:rsidP="00AC3F76">
      <w:pPr>
        <w:pStyle w:val="Heading2"/>
        <w:numPr>
          <w:ilvl w:val="0"/>
          <w:numId w:val="0"/>
        </w:numPr>
        <w:tabs>
          <w:tab w:val="clear" w:pos="1701"/>
          <w:tab w:val="left" w:pos="1418"/>
        </w:tabs>
        <w:ind w:left="426"/>
      </w:pPr>
      <w:bookmarkStart w:id="50" w:name="_Ref63444090"/>
      <w:r>
        <w:t>Articolul 18</w:t>
      </w:r>
      <w:r>
        <w:br/>
      </w:r>
      <w:bookmarkStart w:id="51" w:name="_Ref66121837"/>
      <w:r>
        <w:t>Măsuri de sensibilizare</w:t>
      </w:r>
      <w:bookmarkEnd w:id="50"/>
      <w:bookmarkEnd w:id="51"/>
    </w:p>
    <w:p w14:paraId="176D4E94" w14:textId="77777777" w:rsidR="00DA0902" w:rsidRPr="000E29F8" w:rsidRDefault="00DA0902" w:rsidP="000E29F8"/>
    <w:p w14:paraId="6254D43E" w14:textId="4CDEA858" w:rsidR="00EE73F2" w:rsidRPr="000E29F8" w:rsidRDefault="00EE73F2" w:rsidP="00C525D6">
      <w:pPr>
        <w:pStyle w:val="ListParagraph"/>
        <w:numPr>
          <w:ilvl w:val="0"/>
          <w:numId w:val="43"/>
        </w:numPr>
        <w:ind w:left="709"/>
        <w:jc w:val="both"/>
        <w:rPr>
          <w:rFonts w:ascii="Verdana" w:hAnsi="Verdana"/>
        </w:rPr>
      </w:pPr>
      <w:r>
        <w:rPr>
          <w:rFonts w:ascii="Verdana" w:hAnsi="Verdana"/>
        </w:rPr>
        <w:t>Producătorii care introduc pe piață produsele enumerate la alineatul (3) de la prezentul articol și echipamentele de pescuit promovează campanii de informare și sensibilizare pentru consumatori și utilizatorii acestor produse, cu scopul de a încuraja comportamentul responsabil și de a reduce deșeurile provenite de la astfel de produse.</w:t>
      </w:r>
    </w:p>
    <w:p w14:paraId="6B5F3553" w14:textId="77777777" w:rsidR="00EE73F2" w:rsidRPr="000E29F8" w:rsidRDefault="00EE73F2" w:rsidP="00C525D6">
      <w:pPr>
        <w:pStyle w:val="ListParagraph"/>
        <w:numPr>
          <w:ilvl w:val="0"/>
          <w:numId w:val="43"/>
        </w:numPr>
        <w:ind w:left="709"/>
        <w:jc w:val="both"/>
        <w:rPr>
          <w:rFonts w:ascii="Verdana" w:hAnsi="Verdana"/>
        </w:rPr>
      </w:pPr>
      <w:r>
        <w:rPr>
          <w:rFonts w:ascii="Verdana" w:hAnsi="Verdana"/>
        </w:rPr>
        <w:t>Campaniile menționate la alineatul precedent trebuie să includă, cel puțin, informații privind:</w:t>
      </w:r>
    </w:p>
    <w:p w14:paraId="3E8D9316" w14:textId="40533EE7" w:rsidR="00EE73F2" w:rsidRPr="000E29F8" w:rsidRDefault="00EE73F2" w:rsidP="00C525D6">
      <w:pPr>
        <w:pStyle w:val="ListParagraph"/>
        <w:numPr>
          <w:ilvl w:val="0"/>
          <w:numId w:val="44"/>
        </w:numPr>
        <w:spacing w:line="240" w:lineRule="auto"/>
        <w:ind w:left="1134"/>
        <w:rPr>
          <w:rFonts w:ascii="Verdana" w:hAnsi="Verdana"/>
        </w:rPr>
      </w:pPr>
      <w:r>
        <w:rPr>
          <w:rFonts w:ascii="Verdana" w:hAnsi="Verdana"/>
        </w:rPr>
        <w:lastRenderedPageBreak/>
        <w:t>disponibilitatea alternativelor reutilizabile, a sistemelor de reutilizare și a opțiunilor de gestionare a deșeurilor pentru produsele din plastic de unică folosință și echipamentele de pescuit care conțin plastic, precum și a celor mai bune practici de gestionare a deșeurilor efectuate în conformitate cu articolul 6 din SSGD;</w:t>
      </w:r>
    </w:p>
    <w:p w14:paraId="0AFDDD62" w14:textId="77777777" w:rsidR="001D4FEE" w:rsidRPr="000E29F8" w:rsidRDefault="00EE73F2" w:rsidP="00C525D6">
      <w:pPr>
        <w:pStyle w:val="ListParagraph"/>
        <w:numPr>
          <w:ilvl w:val="0"/>
          <w:numId w:val="44"/>
        </w:numPr>
        <w:spacing w:line="240" w:lineRule="auto"/>
        <w:ind w:left="1134"/>
        <w:rPr>
          <w:rFonts w:ascii="Verdana" w:hAnsi="Verdana"/>
        </w:rPr>
      </w:pPr>
      <w:r>
        <w:rPr>
          <w:rFonts w:ascii="Verdana" w:hAnsi="Verdana"/>
        </w:rPr>
        <w:t xml:space="preserve">impactul asupra mediului al eliminării deșeurilor și alte metode inadecvate de eliminare a deșeurilor din plastic de unică folosință și a echipamentelor de pescuit care conțin plastic, în special asupra mediului marin; și </w:t>
      </w:r>
    </w:p>
    <w:p w14:paraId="21CDC05E" w14:textId="4822A51C" w:rsidR="00EE73F2" w:rsidRPr="000E29F8" w:rsidRDefault="00EE73F2" w:rsidP="00C525D6">
      <w:pPr>
        <w:pStyle w:val="ListParagraph"/>
        <w:numPr>
          <w:ilvl w:val="0"/>
          <w:numId w:val="44"/>
        </w:numPr>
        <w:spacing w:line="240" w:lineRule="auto"/>
        <w:ind w:left="1134"/>
        <w:rPr>
          <w:rFonts w:ascii="Verdana" w:hAnsi="Verdana"/>
        </w:rPr>
      </w:pPr>
      <w:r>
        <w:rPr>
          <w:rFonts w:ascii="Verdana" w:hAnsi="Verdana"/>
        </w:rPr>
        <w:t>impactul asupra rețelei de canalizare al mijloacelor inadecvate de eliminare a acestor produse din plastic de unică folosință.</w:t>
      </w:r>
    </w:p>
    <w:p w14:paraId="6D59A259" w14:textId="7D55787E" w:rsidR="00EE73F2" w:rsidRPr="000E29F8" w:rsidRDefault="00EE73F2" w:rsidP="00C525D6">
      <w:pPr>
        <w:pStyle w:val="ListParagraph"/>
        <w:numPr>
          <w:ilvl w:val="0"/>
          <w:numId w:val="43"/>
        </w:numPr>
        <w:ind w:left="709"/>
        <w:jc w:val="both"/>
        <w:rPr>
          <w:rFonts w:ascii="Verdana" w:hAnsi="Verdana"/>
        </w:rPr>
      </w:pPr>
      <w:r>
        <w:rPr>
          <w:rFonts w:ascii="Verdana" w:hAnsi="Verdana"/>
        </w:rPr>
        <w:t>Produsele din plastic de unică folosință pentru care se desfășoară campaniile de sensibilizare și informare menționate la alineatul (1) din prezentul articol sunt următoarele:</w:t>
      </w:r>
    </w:p>
    <w:p w14:paraId="22B6261F"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recipiente pentru alimente, adică recipiente precum cutii, cu sau fără capac, utilizate pentru a conține produse alimentare care: </w:t>
      </w:r>
    </w:p>
    <w:p w14:paraId="40E13B6B" w14:textId="77777777" w:rsidR="00EE73F2" w:rsidRPr="006B0045" w:rsidRDefault="00EE73F2" w:rsidP="00C525D6">
      <w:pPr>
        <w:pStyle w:val="ListParagraph"/>
        <w:numPr>
          <w:ilvl w:val="0"/>
          <w:numId w:val="45"/>
        </w:numPr>
        <w:autoSpaceDE w:val="0"/>
        <w:autoSpaceDN w:val="0"/>
        <w:adjustRightInd w:val="0"/>
        <w:ind w:left="1560"/>
        <w:jc w:val="both"/>
        <w:rPr>
          <w:rFonts w:ascii="Verdana" w:hAnsi="Verdana"/>
        </w:rPr>
      </w:pPr>
      <w:r>
        <w:rPr>
          <w:rFonts w:ascii="Verdana" w:hAnsi="Verdana"/>
        </w:rPr>
        <w:t xml:space="preserve">sunt destinate consumului imediat, fie pe loc, fie la pachet; </w:t>
      </w:r>
    </w:p>
    <w:p w14:paraId="1BB14EA4" w14:textId="77777777" w:rsidR="00EE73F2" w:rsidRPr="006B0045" w:rsidRDefault="00EE73F2" w:rsidP="00C525D6">
      <w:pPr>
        <w:pStyle w:val="ListParagraph"/>
        <w:numPr>
          <w:ilvl w:val="0"/>
          <w:numId w:val="45"/>
        </w:numPr>
        <w:autoSpaceDE w:val="0"/>
        <w:autoSpaceDN w:val="0"/>
        <w:adjustRightInd w:val="0"/>
        <w:ind w:left="1560"/>
        <w:jc w:val="both"/>
        <w:rPr>
          <w:rFonts w:ascii="Verdana" w:hAnsi="Verdana"/>
        </w:rPr>
      </w:pPr>
      <w:r>
        <w:rPr>
          <w:rFonts w:ascii="Verdana" w:hAnsi="Verdana"/>
        </w:rPr>
        <w:t xml:space="preserve">sunt de regulă consumate din recipient; și </w:t>
      </w:r>
    </w:p>
    <w:p w14:paraId="7C22AA17" w14:textId="77777777" w:rsidR="00EE73F2" w:rsidRPr="006B0045" w:rsidRDefault="00EE73F2" w:rsidP="00C525D6">
      <w:pPr>
        <w:pStyle w:val="ListParagraph"/>
        <w:numPr>
          <w:ilvl w:val="0"/>
          <w:numId w:val="45"/>
        </w:numPr>
        <w:autoSpaceDE w:val="0"/>
        <w:autoSpaceDN w:val="0"/>
        <w:adjustRightInd w:val="0"/>
        <w:ind w:left="1560"/>
        <w:jc w:val="both"/>
        <w:rPr>
          <w:rFonts w:ascii="Verdana" w:hAnsi="Verdana"/>
        </w:rPr>
      </w:pPr>
      <w:r>
        <w:rPr>
          <w:rFonts w:ascii="Verdana" w:hAnsi="Verdana"/>
        </w:rPr>
        <w:t xml:space="preserve">sunt gata de consum fără o pregătire suplimentară, adică fără gătire, fierbere sau încălzire, </w:t>
      </w:r>
    </w:p>
    <w:p w14:paraId="58E41D41" w14:textId="77777777" w:rsidR="00EE73F2" w:rsidRPr="006B0045" w:rsidRDefault="00EE73F2" w:rsidP="006B0045">
      <w:pPr>
        <w:pStyle w:val="ListParagraph"/>
        <w:spacing w:line="240" w:lineRule="auto"/>
        <w:ind w:left="1134"/>
        <w:rPr>
          <w:rFonts w:ascii="Verdana" w:hAnsi="Verdana"/>
        </w:rPr>
      </w:pPr>
      <w:r>
        <w:rPr>
          <w:rFonts w:ascii="Verdana" w:hAnsi="Verdana"/>
        </w:rPr>
        <w:t xml:space="preserve">inclusiv recipiente pentru alimente utilizate pentru meniuri de tip fast food sau alte meniuri gata pentru consum imediat, cu excepția recipientelor pentru băuturi, a farfuriilor, a pachetelor și a foliilor din material flexibil care conțin produsele alimentare; </w:t>
      </w:r>
    </w:p>
    <w:p w14:paraId="42432BD7"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pachete și folii fabricate din material flexibil care conțin produse alimentare destinate consumului imediat din pachet sau folie fără preparare ulterioară; </w:t>
      </w:r>
    </w:p>
    <w:p w14:paraId="25F5C028"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recipiente de băuturi cu o capacitate de până la trei litri, și anume recipientele utilizate pentru a conține lichide, cum ar fi sticlele pentru băuturi, inclusiv dopurile și capacele și ambalajele de băuturi compozite, inclusiv dopurile și capacele acestora, dar nu și recipientele din sticlă sau metal cu dopuri și capace din plastic; </w:t>
      </w:r>
    </w:p>
    <w:p w14:paraId="5FD98B55"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pahare pentru băuturi, inclusiv dopurile și capacele acestora; </w:t>
      </w:r>
    </w:p>
    <w:p w14:paraId="37C31CB0"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produse din tutun cu filtre și filtre comercializate pentru a fi utilizate în combinație cu produse din tutun; </w:t>
      </w:r>
    </w:p>
    <w:p w14:paraId="5330597D"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șervețele umede, și anume șervețele preumezite de îngrijire personală și de uz casnic; </w:t>
      </w:r>
    </w:p>
    <w:p w14:paraId="00E5EA2E"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baloane, cu excepția baloanelor de uz industrial sau pentru alte utilizări și aplicații profesionale, care nu sunt distribuite consumatorilor; </w:t>
      </w:r>
    </w:p>
    <w:p w14:paraId="0F558B0E" w14:textId="7981C8AC"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lastRenderedPageBreak/>
        <w:t>pungi de transport din plastic subțire;</w:t>
      </w:r>
    </w:p>
    <w:p w14:paraId="5FC44F3C"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absorbante, tampoane igienice și aplicatoare de tampoane.</w:t>
      </w:r>
    </w:p>
    <w:p w14:paraId="3B85A2EB" w14:textId="3E56771B" w:rsidR="00EE73F2" w:rsidRPr="00794353" w:rsidRDefault="004E09D6" w:rsidP="00C525D6">
      <w:pPr>
        <w:pStyle w:val="ListParagraph"/>
        <w:numPr>
          <w:ilvl w:val="0"/>
          <w:numId w:val="43"/>
        </w:numPr>
        <w:ind w:left="709"/>
        <w:jc w:val="both"/>
        <w:rPr>
          <w:rFonts w:ascii="Verdana" w:hAnsi="Verdana"/>
        </w:rPr>
      </w:pPr>
      <w:r>
        <w:rPr>
          <w:rFonts w:ascii="Verdana" w:hAnsi="Verdana"/>
        </w:rPr>
        <w:t>Pentru produsele din plastic de unică folosință menționate la alineatul precedent literele (a)-(g), producătorii trebuie să respecte obligația menționată la prezentul articol prin intermediul organismului de gestionare a sistemului integrat căruia îi transferă răspunderea extinsă a producătorului sau printr-un sistem individual autorizat în temeiul Unilex.</w:t>
      </w:r>
    </w:p>
    <w:p w14:paraId="58299463" w14:textId="31299E33" w:rsidR="00B779E1" w:rsidRPr="00794353" w:rsidRDefault="005016C9" w:rsidP="00C525D6">
      <w:pPr>
        <w:pStyle w:val="ListParagraph"/>
        <w:numPr>
          <w:ilvl w:val="0"/>
          <w:numId w:val="43"/>
        </w:numPr>
        <w:ind w:left="709"/>
        <w:jc w:val="both"/>
        <w:rPr>
          <w:rFonts w:ascii="Verdana" w:hAnsi="Verdana"/>
        </w:rPr>
      </w:pPr>
      <w:r w:rsidRPr="00794353">
        <w:rPr>
          <w:rFonts w:ascii="Verdana" w:hAnsi="Verdana"/>
        </w:rPr>
        <w:t xml:space="preserve">În cazul produselor din plastic de unică folosință menționate la alineatul (3) litera (h), producătorii trebuie să respecte obligațiile prevăzute la alineatele (1) și (2) în mod individual și/sau printr-o asociație de reprezentare. </w:t>
      </w:r>
    </w:p>
    <w:p w14:paraId="4B055247" w14:textId="2EBF5C69" w:rsidR="002B37F4" w:rsidRPr="00794353" w:rsidRDefault="004C777A" w:rsidP="00C525D6">
      <w:pPr>
        <w:pStyle w:val="ListParagraph"/>
        <w:numPr>
          <w:ilvl w:val="0"/>
          <w:numId w:val="43"/>
        </w:numPr>
        <w:ind w:left="709"/>
        <w:jc w:val="both"/>
        <w:rPr>
          <w:rFonts w:ascii="Verdana" w:hAnsi="Verdana"/>
        </w:rPr>
      </w:pPr>
      <w:r w:rsidRPr="00794353">
        <w:rPr>
          <w:rFonts w:ascii="Verdana" w:hAnsi="Verdana"/>
        </w:rPr>
        <w:t>Producătorii și/sau asociațiile menționate la alineatul anterior transmit APA, I.P. și DGAE un raport care demonstrează campaniile desfășurate în conformitate cu alineatele (1) și (2), până la data de 30 aprilie a anului următor, cu informațiile minime conținute în documentul publicat pe portalurile de internet ale APA, I.P. și DGAE.</w:t>
      </w:r>
    </w:p>
    <w:p w14:paraId="25C23FBA" w14:textId="0F60BA64" w:rsidR="004C777A" w:rsidRPr="000E29F8" w:rsidRDefault="002B37F4" w:rsidP="00C525D6">
      <w:pPr>
        <w:pStyle w:val="ListParagraph"/>
        <w:numPr>
          <w:ilvl w:val="0"/>
          <w:numId w:val="43"/>
        </w:numPr>
        <w:ind w:left="709"/>
        <w:jc w:val="both"/>
        <w:rPr>
          <w:rFonts w:ascii="Verdana" w:hAnsi="Verdana"/>
        </w:rPr>
      </w:pPr>
      <w:r w:rsidRPr="00794353">
        <w:rPr>
          <w:rFonts w:ascii="Verdana" w:hAnsi="Verdana"/>
        </w:rPr>
        <w:t>Fără a aduce atingere răspunderii producătorilor prevăzute la alineatele precedente, ceilalți operatori economici implicați în lanțul comercial, în special distribuitorii, vânzătorii și furnizorii de servicii de alimentație publică, responsabili cu punerea la dispoziție pe piață a produselor enumerate la alineatul (3) din prezentul articol, precum și a echipamentelor de pescuit, având în vedere proximitatea acestora față de consumatori și de utilizatorii finali, trebuie, de asemenea, să contribuie la informarea și sensibilizarea cu privire</w:t>
      </w:r>
      <w:r>
        <w:rPr>
          <w:rFonts w:ascii="Verdana" w:hAnsi="Verdana"/>
        </w:rPr>
        <w:t xml:space="preserve"> la aceste produse.</w:t>
      </w:r>
    </w:p>
    <w:p w14:paraId="4359F6E2" w14:textId="46BE87AA" w:rsidR="00A26F33" w:rsidRPr="000E29F8" w:rsidRDefault="00A26F33" w:rsidP="00C525D6">
      <w:pPr>
        <w:pStyle w:val="ListParagraph"/>
        <w:numPr>
          <w:ilvl w:val="0"/>
          <w:numId w:val="43"/>
        </w:numPr>
        <w:ind w:left="709"/>
        <w:jc w:val="both"/>
        <w:rPr>
          <w:rFonts w:ascii="Verdana" w:hAnsi="Verdana"/>
        </w:rPr>
      </w:pPr>
      <w:r>
        <w:rPr>
          <w:rFonts w:ascii="Verdana" w:hAnsi="Verdana"/>
        </w:rPr>
        <w:t>Operatorii economici menționați la alineatul anterior țin o evidență a acțiunilor de informare și de sensibilizare desfășurate prin punerea la dispoziție a acestora la cererea autorităților competente.</w:t>
      </w:r>
    </w:p>
    <w:p w14:paraId="617C23B6" w14:textId="58FCB739" w:rsidR="008B4B7F" w:rsidRDefault="008B4B7F" w:rsidP="009820C4">
      <w:pPr>
        <w:rPr>
          <w:rFonts w:ascii="Verdana" w:hAnsi="Verdana"/>
          <w:b/>
          <w:sz w:val="24"/>
        </w:rPr>
      </w:pPr>
    </w:p>
    <w:p w14:paraId="07713E95" w14:textId="47FB0247" w:rsidR="006B0668" w:rsidRPr="003F6B93" w:rsidRDefault="00AE50FA" w:rsidP="000600E7">
      <w:pPr>
        <w:pStyle w:val="Heading1"/>
        <w:tabs>
          <w:tab w:val="clear" w:pos="3969"/>
          <w:tab w:val="left" w:pos="2268"/>
        </w:tabs>
        <w:ind w:firstLine="540"/>
      </w:pPr>
      <w:r>
        <w:br/>
        <w:t>Raportarea</w:t>
      </w:r>
    </w:p>
    <w:p w14:paraId="1B798C4B" w14:textId="4329DFBF" w:rsidR="0075174E" w:rsidRPr="0075174E" w:rsidRDefault="00AC3F76" w:rsidP="00AC3F76">
      <w:pPr>
        <w:pStyle w:val="Heading2"/>
        <w:numPr>
          <w:ilvl w:val="0"/>
          <w:numId w:val="0"/>
        </w:numPr>
        <w:tabs>
          <w:tab w:val="clear" w:pos="1701"/>
          <w:tab w:val="left" w:pos="1418"/>
        </w:tabs>
        <w:ind w:left="426"/>
      </w:pPr>
      <w:r>
        <w:t>Articolul 19</w:t>
      </w:r>
      <w:r>
        <w:br/>
        <w:t>Înregistrarea producătorilor</w:t>
      </w:r>
    </w:p>
    <w:p w14:paraId="465253EE" w14:textId="77777777" w:rsidR="0075174E" w:rsidRPr="0075174E" w:rsidRDefault="0075174E" w:rsidP="0075174E"/>
    <w:p w14:paraId="30FE0A7E" w14:textId="730BFBEF" w:rsidR="00655287" w:rsidRPr="001D4FEE" w:rsidRDefault="00655287" w:rsidP="00C525D6">
      <w:pPr>
        <w:pStyle w:val="ListParagraph"/>
        <w:numPr>
          <w:ilvl w:val="0"/>
          <w:numId w:val="47"/>
        </w:numPr>
        <w:ind w:left="709"/>
        <w:jc w:val="both"/>
        <w:rPr>
          <w:rFonts w:ascii="Verdana" w:hAnsi="Verdana" w:cs="EU Albertina"/>
          <w:color w:val="000000"/>
        </w:rPr>
      </w:pPr>
      <w:r>
        <w:rPr>
          <w:rFonts w:ascii="Verdana" w:hAnsi="Verdana"/>
        </w:rPr>
        <w:t xml:space="preserve">Producătorii de produse din plastic de unică folosință prevăzute în prezentul decret-lege trebuie să introducă și să transmită date în </w:t>
      </w:r>
      <w:r>
        <w:rPr>
          <w:rFonts w:ascii="Verdana" w:hAnsi="Verdana"/>
        </w:rPr>
        <w:lastRenderedPageBreak/>
        <w:t xml:space="preserve">sistemul integrat de registru electronic al deșeurilor (SIRER), astfel cum se prevede la articolele 97, 98 și 99 din SSGD, informând APA, I. P. cu privire la tipul și cantitatea de produse introduse pe piață, fără a se aduce atingere altor informații specifice în cazul unui produs care se încadrează într-un anumit flux de deșeuri și </w:t>
      </w:r>
      <w:r>
        <w:rPr>
          <w:rFonts w:ascii="Verdana" w:hAnsi="Verdana"/>
          <w:color w:val="000000"/>
        </w:rPr>
        <w:t>în conformitate cu dispozițiile Regulamentului SIRER.</w:t>
      </w:r>
    </w:p>
    <w:p w14:paraId="564433F5" w14:textId="77777777" w:rsidR="001D4FEE" w:rsidRPr="006B0045" w:rsidRDefault="00655287" w:rsidP="00C525D6">
      <w:pPr>
        <w:pStyle w:val="ListParagraph"/>
        <w:numPr>
          <w:ilvl w:val="0"/>
          <w:numId w:val="47"/>
        </w:numPr>
        <w:ind w:left="709"/>
        <w:jc w:val="both"/>
        <w:rPr>
          <w:rFonts w:ascii="Verdana" w:hAnsi="Verdana"/>
        </w:rPr>
      </w:pPr>
      <w:r>
        <w:rPr>
          <w:rFonts w:ascii="Verdana" w:hAnsi="Verdana"/>
        </w:rPr>
        <w:t>În scopul transmiterii datelor prevăzute la alineatul anterior, producătorii de produse sau reprezentanții autorizați ai acestora prezintă anual până la data de 31 martie a anului (</w:t>
      </w:r>
      <w:r>
        <w:rPr>
          <w:rFonts w:ascii="Verdana" w:hAnsi="Verdana"/>
          <w:i/>
        </w:rPr>
        <w:t>n</w:t>
      </w:r>
      <w:r>
        <w:rPr>
          <w:rFonts w:ascii="Verdana" w:hAnsi="Verdana"/>
        </w:rPr>
        <w:t>):</w:t>
      </w:r>
    </w:p>
    <w:p w14:paraId="3535B3DD" w14:textId="77777777" w:rsidR="001D4FEE" w:rsidRPr="008855C2" w:rsidRDefault="00655287" w:rsidP="00C525D6">
      <w:pPr>
        <w:pStyle w:val="ListParagraph"/>
        <w:numPr>
          <w:ilvl w:val="0"/>
          <w:numId w:val="48"/>
        </w:numPr>
        <w:ind w:left="1134"/>
        <w:jc w:val="both"/>
        <w:rPr>
          <w:rFonts w:ascii="Verdana" w:hAnsi="Verdana"/>
        </w:rPr>
      </w:pPr>
      <w:r>
        <w:rPr>
          <w:rFonts w:ascii="Verdana" w:hAnsi="Verdana"/>
        </w:rPr>
        <w:t>o declarație de rectificare din anul precedent (</w:t>
      </w:r>
      <w:r>
        <w:rPr>
          <w:rFonts w:ascii="Verdana" w:hAnsi="Verdana"/>
          <w:i/>
        </w:rPr>
        <w:t>n-1</w:t>
      </w:r>
      <w:r>
        <w:rPr>
          <w:rFonts w:ascii="Verdana" w:hAnsi="Verdana"/>
        </w:rPr>
        <w:t xml:space="preserve">) pentru a raporta informații privind cantitățile de produse introduse pe piață în anul </w:t>
      </w:r>
      <w:r>
        <w:rPr>
          <w:rFonts w:ascii="Verdana" w:hAnsi="Verdana"/>
          <w:i/>
        </w:rPr>
        <w:t>n-1</w:t>
      </w:r>
      <w:r>
        <w:rPr>
          <w:rFonts w:ascii="Verdana" w:hAnsi="Verdana"/>
        </w:rPr>
        <w:t>;</w:t>
      </w:r>
    </w:p>
    <w:p w14:paraId="33716009" w14:textId="6841F9F4" w:rsidR="00655287" w:rsidRPr="008855C2" w:rsidRDefault="00655287" w:rsidP="00C525D6">
      <w:pPr>
        <w:pStyle w:val="ListParagraph"/>
        <w:numPr>
          <w:ilvl w:val="0"/>
          <w:numId w:val="48"/>
        </w:numPr>
        <w:ind w:left="1134" w:hanging="357"/>
        <w:jc w:val="both"/>
        <w:rPr>
          <w:rFonts w:ascii="Verdana" w:hAnsi="Verdana"/>
        </w:rPr>
      </w:pPr>
      <w:r>
        <w:rPr>
          <w:rFonts w:ascii="Verdana" w:hAnsi="Verdana"/>
        </w:rPr>
        <w:t xml:space="preserve">o declarație de estimare a anului n pentru raportarea informațiilor privind cantitățile de produse pe care le estimează să le introducă pe piață în anul </w:t>
      </w:r>
      <w:r>
        <w:rPr>
          <w:rFonts w:ascii="Verdana" w:hAnsi="Verdana"/>
          <w:i/>
        </w:rPr>
        <w:t>n</w:t>
      </w:r>
      <w:r>
        <w:rPr>
          <w:rFonts w:ascii="Verdana" w:hAnsi="Verdana"/>
        </w:rPr>
        <w:t>.</w:t>
      </w:r>
    </w:p>
    <w:p w14:paraId="35305B8F" w14:textId="13A601C9" w:rsidR="00006B68" w:rsidRPr="006B0045" w:rsidRDefault="00006B68" w:rsidP="00C525D6">
      <w:pPr>
        <w:pStyle w:val="ListParagraph"/>
        <w:numPr>
          <w:ilvl w:val="0"/>
          <w:numId w:val="47"/>
        </w:numPr>
        <w:ind w:left="709"/>
        <w:jc w:val="both"/>
        <w:rPr>
          <w:rFonts w:ascii="Verdana" w:hAnsi="Verdana"/>
        </w:rPr>
      </w:pPr>
      <w:bookmarkStart w:id="52" w:name="_Hlk66371193"/>
      <w:r>
        <w:rPr>
          <w:rFonts w:ascii="Verdana" w:hAnsi="Verdana"/>
        </w:rPr>
        <w:t xml:space="preserve">În scopul evaluării respectării măsurilor prevăzute în prezentul decret-lege, APA, I.P. colectează următoarele informații în conformitate cu legislația sau reglementările specifice: </w:t>
      </w:r>
    </w:p>
    <w:p w14:paraId="281594D3"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t xml:space="preserve">date privind paharele pentru băuturi și recipientele pentru alimente care au fost introduse pe piață pentru a demonstra o reducere a consumului în conformitate cu articolul 7; </w:t>
      </w:r>
    </w:p>
    <w:p w14:paraId="5EFB3AEB"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t xml:space="preserve">date privind sticlele de plastic de unică folosință pentru băuturi cu o capacitate de până la trei litri, care au fost colectate separat, pentru a demonstra respectarea obiectivului de colectare separată prevăzut la articolul 17; </w:t>
      </w:r>
    </w:p>
    <w:p w14:paraId="67102229"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t>date privind echipamentele de pescuit care conțin plastic introduse pe piață și deșeurile de echipamente de pescuit colectate anual;</w:t>
      </w:r>
    </w:p>
    <w:p w14:paraId="70FB6219"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t>informații privind conținutul de material reciclat din sticlele de băuturi pentru a demonstra conformitatea cu obiectivele stabilite la articolul 11;</w:t>
      </w:r>
    </w:p>
    <w:p w14:paraId="76EF45CD" w14:textId="24CC0CDA" w:rsidR="00006B68" w:rsidRPr="008855C2" w:rsidRDefault="00006B68" w:rsidP="00C525D6">
      <w:pPr>
        <w:pStyle w:val="ListParagraph"/>
        <w:numPr>
          <w:ilvl w:val="0"/>
          <w:numId w:val="49"/>
        </w:numPr>
        <w:ind w:left="1134"/>
        <w:jc w:val="both"/>
        <w:rPr>
          <w:rFonts w:ascii="Verdana" w:hAnsi="Verdana"/>
        </w:rPr>
      </w:pPr>
      <w:r>
        <w:rPr>
          <w:rFonts w:ascii="Verdana" w:hAnsi="Verdana"/>
        </w:rPr>
        <w:t xml:space="preserve">date privind deșeurile de produse din tutun cu filtre și filtrele comercializate în vederea utilizării în combinație cu produsele din tutun colectate în conformitate cu articolul 15 alineatul (3). </w:t>
      </w:r>
    </w:p>
    <w:p w14:paraId="626F4EE8" w14:textId="77777777" w:rsidR="00006B68" w:rsidRPr="008855C2" w:rsidRDefault="00006B68" w:rsidP="008855C2">
      <w:pPr>
        <w:pStyle w:val="ListParagraph"/>
        <w:ind w:left="709"/>
        <w:jc w:val="both"/>
        <w:rPr>
          <w:rFonts w:ascii="Verdana" w:hAnsi="Verdana"/>
        </w:rPr>
      </w:pPr>
    </w:p>
    <w:p w14:paraId="56B0C35B" w14:textId="472AB424" w:rsidR="00006B68" w:rsidRPr="006B0045" w:rsidRDefault="00006B68" w:rsidP="00C525D6">
      <w:pPr>
        <w:pStyle w:val="ListParagraph"/>
        <w:numPr>
          <w:ilvl w:val="0"/>
          <w:numId w:val="47"/>
        </w:numPr>
        <w:ind w:left="709"/>
        <w:jc w:val="both"/>
        <w:rPr>
          <w:rFonts w:ascii="Verdana" w:hAnsi="Verdana"/>
        </w:rPr>
      </w:pPr>
      <w:r>
        <w:rPr>
          <w:rFonts w:ascii="Verdana" w:hAnsi="Verdana"/>
        </w:rPr>
        <w:t>Prima perioadă de raportare prevăzută la literele (a)-(c) se referă la anul 2022.</w:t>
      </w:r>
    </w:p>
    <w:p w14:paraId="1748737B" w14:textId="270DC7A5" w:rsidR="00006B68" w:rsidRPr="006B0045" w:rsidRDefault="00006B68" w:rsidP="00C525D6">
      <w:pPr>
        <w:pStyle w:val="ListParagraph"/>
        <w:numPr>
          <w:ilvl w:val="0"/>
          <w:numId w:val="47"/>
        </w:numPr>
        <w:ind w:left="709"/>
        <w:jc w:val="both"/>
        <w:rPr>
          <w:rFonts w:ascii="Verdana" w:hAnsi="Verdana"/>
        </w:rPr>
      </w:pPr>
      <w:r>
        <w:rPr>
          <w:rFonts w:ascii="Verdana" w:hAnsi="Verdana"/>
        </w:rPr>
        <w:t>Prima perioadă de raportare prevăzută la literele (d) și (e) se referă la anul 2023.</w:t>
      </w:r>
    </w:p>
    <w:bookmarkEnd w:id="52"/>
    <w:p w14:paraId="4C26F6C4" w14:textId="76816B5C" w:rsidR="00B63641" w:rsidRPr="006B0045" w:rsidRDefault="00B63641" w:rsidP="00C525D6">
      <w:pPr>
        <w:pStyle w:val="ListParagraph"/>
        <w:numPr>
          <w:ilvl w:val="0"/>
          <w:numId w:val="47"/>
        </w:numPr>
        <w:ind w:left="709"/>
        <w:jc w:val="both"/>
        <w:rPr>
          <w:rFonts w:ascii="Verdana" w:hAnsi="Verdana"/>
        </w:rPr>
      </w:pPr>
      <w:r>
        <w:rPr>
          <w:rFonts w:ascii="Verdana" w:hAnsi="Verdana"/>
        </w:rPr>
        <w:lastRenderedPageBreak/>
        <w:t>Colectarea și prelucrarea datelor care rezultă din obligațiile prevăzute la alineatul precedent se supun legislației privind protecția datelor cu caracter personal.</w:t>
      </w:r>
    </w:p>
    <w:p w14:paraId="3D42586E" w14:textId="77777777" w:rsidR="00B63641" w:rsidRPr="003F6B93" w:rsidRDefault="00B63641" w:rsidP="008855C2">
      <w:pPr>
        <w:pStyle w:val="ListParagraph"/>
        <w:ind w:left="709"/>
        <w:jc w:val="both"/>
        <w:rPr>
          <w:rFonts w:ascii="Verdana" w:hAnsi="Verdana"/>
        </w:rPr>
      </w:pPr>
    </w:p>
    <w:p w14:paraId="1D7B605F" w14:textId="3BF02AFE" w:rsidR="006B0668" w:rsidRPr="003F6B93" w:rsidRDefault="00DD1E2B" w:rsidP="008855C2">
      <w:pPr>
        <w:pStyle w:val="Heading1"/>
        <w:tabs>
          <w:tab w:val="clear" w:pos="3969"/>
        </w:tabs>
      </w:pPr>
      <w:r>
        <w:br/>
        <w:t>Sistemul de monitorizare și contravenție administrativă</w:t>
      </w:r>
    </w:p>
    <w:p w14:paraId="504AC209" w14:textId="3D54499C" w:rsidR="006B0668" w:rsidRDefault="00AC3F76" w:rsidP="00AC3F76">
      <w:pPr>
        <w:pStyle w:val="Heading2"/>
        <w:numPr>
          <w:ilvl w:val="0"/>
          <w:numId w:val="0"/>
        </w:numPr>
        <w:tabs>
          <w:tab w:val="clear" w:pos="1701"/>
          <w:tab w:val="left" w:pos="1418"/>
        </w:tabs>
        <w:ind w:left="426"/>
      </w:pPr>
      <w:r>
        <w:t>Articolul 20</w:t>
      </w:r>
      <w:r>
        <w:br/>
        <w:t>Inspecția și monitorizarea</w:t>
      </w:r>
    </w:p>
    <w:p w14:paraId="52BFFB6C" w14:textId="77777777" w:rsidR="00B82A72" w:rsidRPr="00B82A72" w:rsidRDefault="00B82A72" w:rsidP="00B82A72"/>
    <w:p w14:paraId="5F02C2E9" w14:textId="59F292EB" w:rsidR="006B0668" w:rsidRPr="00DD1E2B" w:rsidRDefault="006B0668" w:rsidP="00C525D6">
      <w:pPr>
        <w:pStyle w:val="ListParagraph"/>
        <w:numPr>
          <w:ilvl w:val="0"/>
          <w:numId w:val="50"/>
        </w:numPr>
        <w:ind w:left="709"/>
        <w:jc w:val="both"/>
        <w:rPr>
          <w:rFonts w:ascii="Verdana" w:hAnsi="Verdana"/>
        </w:rPr>
      </w:pPr>
      <w:r>
        <w:rPr>
          <w:rFonts w:ascii="Verdana" w:hAnsi="Verdana"/>
        </w:rPr>
        <w:t>Monitorizarea respectării dispozițiilor prezentului decret-lege este responsabilitatea Inspectoratului General pentru Agricultură, Ape Maritime, Mediu și Amenajarea Teritoriului (IGAMAOT), a Autorității pentru Siguranța Alimentară și Economică (ASAE) și a Autorității Fiscale și Vamale (AT), precum și a autorităților polițienești, în conformitate cu competența lor teritorială.</w:t>
      </w:r>
    </w:p>
    <w:p w14:paraId="07FC5737" w14:textId="70AB462A" w:rsidR="006B0668" w:rsidRPr="001D278E" w:rsidRDefault="006B0668" w:rsidP="00C525D6">
      <w:pPr>
        <w:pStyle w:val="ListParagraph"/>
        <w:numPr>
          <w:ilvl w:val="0"/>
          <w:numId w:val="50"/>
        </w:numPr>
        <w:ind w:left="709"/>
        <w:jc w:val="both"/>
        <w:rPr>
          <w:rFonts w:ascii="Verdana" w:hAnsi="Verdana"/>
        </w:rPr>
      </w:pPr>
      <w:r>
        <w:rPr>
          <w:rFonts w:ascii="Verdana" w:hAnsi="Verdana"/>
        </w:rPr>
        <w:t>Dispozițiile alineatului anterior nu aduc atingere exercitării competențelor de monitorizare și polițienești acordate altor autorități publice.</w:t>
      </w:r>
    </w:p>
    <w:p w14:paraId="3BBF5192" w14:textId="77777777" w:rsidR="006B0668" w:rsidRDefault="006B0668" w:rsidP="006B0668">
      <w:pPr>
        <w:jc w:val="center"/>
        <w:rPr>
          <w:rFonts w:ascii="Verdana" w:hAnsi="Verdana"/>
        </w:rPr>
      </w:pPr>
    </w:p>
    <w:p w14:paraId="64B92E95" w14:textId="6598AC2D" w:rsidR="00D22B19" w:rsidRDefault="00AC3F76" w:rsidP="00AC3F76">
      <w:pPr>
        <w:pStyle w:val="Heading2"/>
        <w:numPr>
          <w:ilvl w:val="0"/>
          <w:numId w:val="0"/>
        </w:numPr>
        <w:tabs>
          <w:tab w:val="clear" w:pos="1701"/>
          <w:tab w:val="left" w:pos="1276"/>
        </w:tabs>
        <w:ind w:left="426"/>
      </w:pPr>
      <w:r>
        <w:t>Articolul 21 Infracțiunile administrative economice</w:t>
      </w:r>
    </w:p>
    <w:p w14:paraId="0561408D" w14:textId="77777777" w:rsidR="00B82A72" w:rsidRPr="00B82A72" w:rsidRDefault="00B82A72" w:rsidP="00B82A72"/>
    <w:p w14:paraId="380E9DA4" w14:textId="2D1DBB67" w:rsidR="00D22B19" w:rsidRPr="001D278E" w:rsidRDefault="00757BC4" w:rsidP="00C525D6">
      <w:pPr>
        <w:pStyle w:val="ListParagraph"/>
        <w:numPr>
          <w:ilvl w:val="0"/>
          <w:numId w:val="51"/>
        </w:numPr>
        <w:ind w:left="709"/>
        <w:jc w:val="both"/>
        <w:rPr>
          <w:rFonts w:ascii="Verdana" w:hAnsi="Verdana"/>
        </w:rPr>
      </w:pPr>
      <w:r>
        <w:rPr>
          <w:rFonts w:ascii="Verdana" w:hAnsi="Verdana"/>
        </w:rPr>
        <w:t>Următoarele constituie infracțiuni administrative economice grave, care se sancționează în temeiul Sistemului juridic pentru infracțiuni economice administrative, aprobat prin Decretul-lege nr. 9/2021 din 29 ianuarie 2021:</w:t>
      </w:r>
    </w:p>
    <w:p w14:paraId="5D42299A" w14:textId="4C05EAFA" w:rsidR="00757BC4" w:rsidRPr="001D278E" w:rsidRDefault="00757BC4" w:rsidP="00C525D6">
      <w:pPr>
        <w:pStyle w:val="ListParagraph"/>
        <w:numPr>
          <w:ilvl w:val="1"/>
          <w:numId w:val="52"/>
        </w:numPr>
        <w:spacing w:after="0"/>
        <w:ind w:left="1134"/>
        <w:jc w:val="both"/>
        <w:rPr>
          <w:rFonts w:ascii="Verdana" w:hAnsi="Verdana"/>
        </w:rPr>
      </w:pPr>
      <w:r>
        <w:rPr>
          <w:rFonts w:ascii="Verdana" w:hAnsi="Verdana"/>
        </w:rPr>
        <w:t xml:space="preserve">nerespectarea articolului 4 alineatul (1); </w:t>
      </w:r>
    </w:p>
    <w:p w14:paraId="423006AE" w14:textId="3B2478D6" w:rsidR="00B94B1F" w:rsidRPr="001D278E" w:rsidRDefault="00B94B1F" w:rsidP="00C525D6">
      <w:pPr>
        <w:pStyle w:val="ListParagraph"/>
        <w:numPr>
          <w:ilvl w:val="1"/>
          <w:numId w:val="52"/>
        </w:numPr>
        <w:spacing w:after="0"/>
        <w:ind w:left="1134"/>
        <w:jc w:val="both"/>
        <w:rPr>
          <w:rFonts w:ascii="Verdana" w:hAnsi="Verdana"/>
        </w:rPr>
      </w:pPr>
      <w:r>
        <w:rPr>
          <w:rFonts w:ascii="Verdana" w:hAnsi="Verdana"/>
        </w:rPr>
        <w:t xml:space="preserve">nerespectarea articolului 4 alineatul (2); </w:t>
      </w:r>
    </w:p>
    <w:p w14:paraId="013C6DC8" w14:textId="0AD0363E" w:rsidR="008B1B8C" w:rsidRPr="001D278E" w:rsidRDefault="008B1B8C" w:rsidP="00C525D6">
      <w:pPr>
        <w:pStyle w:val="ListParagraph"/>
        <w:numPr>
          <w:ilvl w:val="1"/>
          <w:numId w:val="52"/>
        </w:numPr>
        <w:spacing w:after="0"/>
        <w:ind w:left="1134"/>
        <w:jc w:val="both"/>
        <w:rPr>
          <w:rFonts w:ascii="Verdana" w:hAnsi="Verdana"/>
        </w:rPr>
      </w:pPr>
      <w:r>
        <w:rPr>
          <w:rFonts w:ascii="Verdana" w:hAnsi="Verdana"/>
        </w:rPr>
        <w:t xml:space="preserve">nerespectarea articolului 5 alineatul (1); </w:t>
      </w:r>
    </w:p>
    <w:p w14:paraId="70BD8DE9" w14:textId="49FB245A" w:rsidR="008B1B8C" w:rsidRPr="001D278E" w:rsidRDefault="008B1B8C" w:rsidP="00C525D6">
      <w:pPr>
        <w:pStyle w:val="ListParagraph"/>
        <w:numPr>
          <w:ilvl w:val="1"/>
          <w:numId w:val="52"/>
        </w:numPr>
        <w:spacing w:after="0"/>
        <w:ind w:left="1134"/>
        <w:jc w:val="both"/>
        <w:rPr>
          <w:rFonts w:ascii="Verdana" w:hAnsi="Verdana"/>
        </w:rPr>
      </w:pPr>
      <w:r>
        <w:rPr>
          <w:rFonts w:ascii="Verdana" w:hAnsi="Verdana"/>
        </w:rPr>
        <w:t xml:space="preserve">nerespectarea articolului 5 alineatul (2) de către entitățile care desfășoară activitățile prevăzute în articolul respectiv; </w:t>
      </w:r>
    </w:p>
    <w:p w14:paraId="79B7025C" w14:textId="52342E57" w:rsidR="007D2095" w:rsidRPr="001D278E" w:rsidRDefault="007D2095" w:rsidP="00C525D6">
      <w:pPr>
        <w:pStyle w:val="ListParagraph"/>
        <w:numPr>
          <w:ilvl w:val="1"/>
          <w:numId w:val="52"/>
        </w:numPr>
        <w:spacing w:after="0"/>
        <w:ind w:left="1134"/>
        <w:jc w:val="both"/>
        <w:rPr>
          <w:rFonts w:ascii="Verdana" w:hAnsi="Verdana"/>
        </w:rPr>
      </w:pPr>
      <w:r>
        <w:t>nerespectarea măsurilor prevăzute la articolul 8 alineatele (1), (2) și (5) și (6);</w:t>
      </w:r>
    </w:p>
    <w:p w14:paraId="2A1AD62E" w14:textId="24C37A57" w:rsidR="006802F6" w:rsidRPr="001D278E" w:rsidRDefault="006802F6" w:rsidP="00C525D6">
      <w:pPr>
        <w:pStyle w:val="ListParagraph"/>
        <w:numPr>
          <w:ilvl w:val="1"/>
          <w:numId w:val="52"/>
        </w:numPr>
        <w:spacing w:after="0"/>
        <w:ind w:left="1134"/>
        <w:jc w:val="both"/>
        <w:rPr>
          <w:rFonts w:ascii="Verdana" w:hAnsi="Verdana"/>
        </w:rPr>
      </w:pPr>
      <w:r>
        <w:rPr>
          <w:rFonts w:ascii="Verdana" w:hAnsi="Verdana"/>
        </w:rPr>
        <w:t>nerespectarea de către producător a obligației de a numi un reprezentant autorizat, în conformitate cu articolul 20 alineatul (3);</w:t>
      </w:r>
    </w:p>
    <w:p w14:paraId="597A0744" w14:textId="1E4E2581" w:rsidR="00D22B19" w:rsidRPr="001D278E" w:rsidRDefault="00D22B19" w:rsidP="00C525D6">
      <w:pPr>
        <w:pStyle w:val="ListParagraph"/>
        <w:numPr>
          <w:ilvl w:val="0"/>
          <w:numId w:val="51"/>
        </w:numPr>
        <w:ind w:left="709"/>
        <w:jc w:val="both"/>
        <w:rPr>
          <w:rFonts w:ascii="Verdana" w:hAnsi="Verdana"/>
        </w:rPr>
      </w:pPr>
      <w:r>
        <w:rPr>
          <w:rFonts w:ascii="Verdana" w:hAnsi="Verdana"/>
        </w:rPr>
        <w:lastRenderedPageBreak/>
        <w:t xml:space="preserve">2. Tentativele de a săvârși o infracțiune și neglijența se pedepsesc, iar limitele minime și maxime ale amenzii se reduc la jumătate. </w:t>
      </w:r>
    </w:p>
    <w:p w14:paraId="46A43068" w14:textId="77777777" w:rsidR="00D22B19" w:rsidRDefault="00D22B19" w:rsidP="00FB0A52">
      <w:pPr>
        <w:rPr>
          <w:rFonts w:ascii="Verdana" w:hAnsi="Verdana"/>
        </w:rPr>
      </w:pPr>
    </w:p>
    <w:p w14:paraId="62AA6CC8" w14:textId="51D77CD8" w:rsidR="002B3376" w:rsidRDefault="00AC3F76" w:rsidP="00AC3F76">
      <w:pPr>
        <w:pStyle w:val="Heading2"/>
        <w:numPr>
          <w:ilvl w:val="0"/>
          <w:numId w:val="0"/>
        </w:numPr>
        <w:ind w:left="426"/>
      </w:pPr>
      <w:r>
        <w:t>Articolul 22</w:t>
      </w:r>
      <w:r>
        <w:br/>
        <w:t>Veniturile din amenzi</w:t>
      </w:r>
    </w:p>
    <w:p w14:paraId="418208D4" w14:textId="77777777" w:rsidR="00B82A72" w:rsidRPr="00B82A72" w:rsidRDefault="00B82A72" w:rsidP="00B82A72"/>
    <w:p w14:paraId="49DD38B3" w14:textId="5F90344D" w:rsidR="008B1B8C" w:rsidRPr="00D22B19" w:rsidRDefault="00D22B19" w:rsidP="00B82A72">
      <w:pPr>
        <w:jc w:val="both"/>
        <w:rPr>
          <w:rFonts w:ascii="Verdana" w:hAnsi="Verdana"/>
        </w:rPr>
      </w:pPr>
      <w:r>
        <w:rPr>
          <w:rFonts w:ascii="Verdana" w:hAnsi="Verdana"/>
        </w:rPr>
        <w:t xml:space="preserve">Veniturile din amenzile prevăzute la articolul precedent se distribuie în conformitate cu </w:t>
      </w:r>
      <w:r>
        <w:rPr>
          <w:rFonts w:ascii="Verdana" w:hAnsi="Verdana"/>
          <w:color w:val="000000" w:themeColor="text1"/>
          <w:shd w:val="clear" w:color="auto" w:fill="FFFFFF"/>
        </w:rPr>
        <w:t>regimul juridic pentru infracțiunile administrative economice</w:t>
      </w:r>
      <w:r>
        <w:rPr>
          <w:rFonts w:ascii="Verdana" w:hAnsi="Verdana"/>
        </w:rPr>
        <w:t xml:space="preserve">. </w:t>
      </w:r>
    </w:p>
    <w:p w14:paraId="7BB9EBFC" w14:textId="77777777" w:rsidR="002B3376" w:rsidRPr="00D22B19" w:rsidRDefault="002B3376" w:rsidP="00FB0A52"/>
    <w:p w14:paraId="29AD576B" w14:textId="0B7D8431" w:rsidR="004551A4" w:rsidRDefault="00AC3F76" w:rsidP="00AC3F76">
      <w:pPr>
        <w:pStyle w:val="Heading2"/>
        <w:numPr>
          <w:ilvl w:val="0"/>
          <w:numId w:val="0"/>
        </w:numPr>
        <w:tabs>
          <w:tab w:val="clear" w:pos="1701"/>
        </w:tabs>
        <w:ind w:left="426"/>
      </w:pPr>
      <w:r>
        <w:t>Articolul 23</w:t>
      </w:r>
      <w:r>
        <w:br/>
        <w:t>Infracțiunile administrative de mediu</w:t>
      </w:r>
    </w:p>
    <w:p w14:paraId="37B492A3" w14:textId="77777777" w:rsidR="002B3376" w:rsidRPr="00794353" w:rsidRDefault="002B3376" w:rsidP="002B3376">
      <w:pPr>
        <w:rPr>
          <w:rFonts w:ascii="Verdana" w:hAnsi="Verdana"/>
        </w:rPr>
      </w:pPr>
    </w:p>
    <w:p w14:paraId="04444803" w14:textId="3745F447" w:rsidR="004551A4" w:rsidRPr="00794353" w:rsidRDefault="004551A4" w:rsidP="00C525D6">
      <w:pPr>
        <w:pStyle w:val="ListParagraph"/>
        <w:numPr>
          <w:ilvl w:val="0"/>
          <w:numId w:val="53"/>
        </w:numPr>
        <w:ind w:left="709"/>
        <w:jc w:val="both"/>
        <w:rPr>
          <w:rFonts w:ascii="Verdana" w:hAnsi="Verdana"/>
        </w:rPr>
      </w:pPr>
      <w:r w:rsidRPr="00794353">
        <w:rPr>
          <w:rFonts w:ascii="Verdana" w:hAnsi="Verdana"/>
        </w:rPr>
        <w:t xml:space="preserve">Următoarele constituie o infracțiune administrativă de mediu foarte gravă, care se sancționează în temeiul Legii-cadru privind infracțiunile administrative de mediu, adoptată în anexa la </w:t>
      </w:r>
      <w:hyperlink r:id="rId8" w:tgtFrame="_blank" w:tooltip="Legea nr. 50/2006" w:history="1">
        <w:r w:rsidRPr="00794353">
          <w:rPr>
            <w:rFonts w:ascii="Verdana" w:hAnsi="Verdana"/>
          </w:rPr>
          <w:t>Legea nr. 50/2006</w:t>
        </w:r>
      </w:hyperlink>
      <w:r w:rsidRPr="00794353">
        <w:rPr>
          <w:rFonts w:ascii="Verdana" w:hAnsi="Verdana"/>
        </w:rPr>
        <w:t xml:space="preserve"> din 29 august 2006, în formularea sa actuală:</w:t>
      </w:r>
    </w:p>
    <w:p w14:paraId="1FC85153" w14:textId="734444EC" w:rsidR="00DD1E2B" w:rsidRPr="00794353" w:rsidRDefault="005630B1" w:rsidP="00C525D6">
      <w:pPr>
        <w:pStyle w:val="ListParagraph"/>
        <w:numPr>
          <w:ilvl w:val="1"/>
          <w:numId w:val="54"/>
        </w:numPr>
        <w:spacing w:after="0"/>
        <w:ind w:left="1134"/>
        <w:jc w:val="both"/>
        <w:rPr>
          <w:rFonts w:ascii="Verdana" w:hAnsi="Verdana"/>
        </w:rPr>
      </w:pPr>
      <w:r w:rsidRPr="00794353">
        <w:rPr>
          <w:rFonts w:ascii="Verdana" w:hAnsi="Verdana"/>
        </w:rPr>
        <w:t>nerespectarea încorporării plasticului reciclat în sticlele pentru băuturi prevăzute la articolul 11 alineatul (5);</w:t>
      </w:r>
    </w:p>
    <w:p w14:paraId="379602CA" w14:textId="7B93E60C" w:rsidR="004551A4" w:rsidRPr="00794353" w:rsidRDefault="004551A4" w:rsidP="00C525D6">
      <w:pPr>
        <w:pStyle w:val="ListParagraph"/>
        <w:numPr>
          <w:ilvl w:val="0"/>
          <w:numId w:val="53"/>
        </w:numPr>
        <w:ind w:left="709"/>
        <w:jc w:val="both"/>
        <w:rPr>
          <w:rFonts w:ascii="Verdana" w:hAnsi="Verdana"/>
        </w:rPr>
      </w:pPr>
      <w:r w:rsidRPr="00794353">
        <w:rPr>
          <w:rFonts w:ascii="Verdana" w:hAnsi="Verdana"/>
        </w:rPr>
        <w:t xml:space="preserve">Următoarele constituie infracțiuni administrative grave de mediu, care se sancționează în temeiul Legii-cadru privind infracțiunile administrative de mediu, adoptată în anexa la </w:t>
      </w:r>
      <w:hyperlink r:id="rId9" w:tgtFrame="_blank" w:tooltip="Legea nr. 50/2006" w:history="1">
        <w:r w:rsidRPr="00794353">
          <w:rPr>
            <w:rFonts w:ascii="Verdana" w:hAnsi="Verdana"/>
          </w:rPr>
          <w:t>Legea nr. 50/2006 din 29 august 2006</w:t>
        </w:r>
      </w:hyperlink>
      <w:r w:rsidRPr="00794353">
        <w:rPr>
          <w:rFonts w:ascii="Verdana" w:hAnsi="Verdana"/>
        </w:rPr>
        <w:t>, în formularea sa actuală:</w:t>
      </w:r>
    </w:p>
    <w:p w14:paraId="0E19D986" w14:textId="3A86DB1E" w:rsidR="005630B1" w:rsidRPr="00794353" w:rsidRDefault="009E11DC" w:rsidP="00C525D6">
      <w:pPr>
        <w:pStyle w:val="ListParagraph"/>
        <w:numPr>
          <w:ilvl w:val="1"/>
          <w:numId w:val="55"/>
        </w:numPr>
        <w:spacing w:after="0"/>
        <w:ind w:left="1134"/>
        <w:jc w:val="both"/>
        <w:rPr>
          <w:rFonts w:ascii="Verdana" w:hAnsi="Verdana"/>
        </w:rPr>
      </w:pPr>
      <w:r w:rsidRPr="00794353">
        <w:rPr>
          <w:rFonts w:ascii="Verdana" w:hAnsi="Verdana"/>
        </w:rPr>
        <w:t>introducerea pe piață a recipientelor pentru băuturi care nu respectă cerințele de proiectare prevăzute la articolul 10 alineatul (1);</w:t>
      </w:r>
    </w:p>
    <w:p w14:paraId="59E5084D" w14:textId="6290E616" w:rsidR="00950E5B" w:rsidRPr="00794353" w:rsidRDefault="009E11DC" w:rsidP="00C525D6">
      <w:pPr>
        <w:pStyle w:val="ListParagraph"/>
        <w:numPr>
          <w:ilvl w:val="1"/>
          <w:numId w:val="55"/>
        </w:numPr>
        <w:spacing w:after="0"/>
        <w:ind w:left="1134"/>
        <w:jc w:val="both"/>
        <w:rPr>
          <w:rFonts w:ascii="Verdana" w:hAnsi="Verdana"/>
        </w:rPr>
      </w:pPr>
      <w:r w:rsidRPr="00794353">
        <w:rPr>
          <w:rFonts w:ascii="Verdana" w:hAnsi="Verdana"/>
        </w:rPr>
        <w:t xml:space="preserve">nerespectarea cerințelor de marcare prevăzute la articolul 12 alineatul (2); </w:t>
      </w:r>
    </w:p>
    <w:p w14:paraId="2C12473B" w14:textId="2C68299B" w:rsidR="005630B1" w:rsidRPr="00794353" w:rsidRDefault="00950E5B" w:rsidP="00C525D6">
      <w:pPr>
        <w:pStyle w:val="ListParagraph"/>
        <w:numPr>
          <w:ilvl w:val="1"/>
          <w:numId w:val="55"/>
        </w:numPr>
        <w:spacing w:after="0"/>
        <w:ind w:left="1134"/>
        <w:jc w:val="both"/>
        <w:rPr>
          <w:rFonts w:ascii="Verdana" w:hAnsi="Verdana"/>
        </w:rPr>
      </w:pPr>
      <w:r w:rsidRPr="00794353">
        <w:rPr>
          <w:rFonts w:ascii="Verdana" w:hAnsi="Verdana"/>
        </w:rPr>
        <w:t>nerespectarea normelor privind specificațiile de marcare prevăzute în Regulamentul de punere în aplicare (UE) 2020/2151 al Comisiei din 17 decembrie 2020.</w:t>
      </w:r>
    </w:p>
    <w:p w14:paraId="56FB7032" w14:textId="5E0C55B6" w:rsidR="00C64656" w:rsidRPr="001D278E" w:rsidRDefault="00C64656" w:rsidP="00C525D6">
      <w:pPr>
        <w:pStyle w:val="ListParagraph"/>
        <w:numPr>
          <w:ilvl w:val="1"/>
          <w:numId w:val="55"/>
        </w:numPr>
        <w:spacing w:after="0"/>
        <w:ind w:left="1134"/>
        <w:jc w:val="both"/>
        <w:rPr>
          <w:rFonts w:ascii="Verdana" w:hAnsi="Verdana"/>
        </w:rPr>
      </w:pPr>
      <w:r>
        <w:rPr>
          <w:rFonts w:ascii="Verdana" w:hAnsi="Verdana"/>
        </w:rPr>
        <w:t xml:space="preserve">nerespectarea de către producători a obligației prevăzute la articolul 18 alineatul (5); </w:t>
      </w:r>
    </w:p>
    <w:p w14:paraId="0B1C9F8F" w14:textId="4F3555FB" w:rsidR="004551A4" w:rsidRPr="001D278E" w:rsidRDefault="00881A44" w:rsidP="00C525D6">
      <w:pPr>
        <w:pStyle w:val="ListParagraph"/>
        <w:numPr>
          <w:ilvl w:val="1"/>
          <w:numId w:val="55"/>
        </w:numPr>
        <w:spacing w:after="0"/>
        <w:ind w:left="1134"/>
        <w:jc w:val="both"/>
        <w:rPr>
          <w:rFonts w:ascii="Verdana" w:hAnsi="Verdana"/>
        </w:rPr>
      </w:pPr>
      <w:r>
        <w:rPr>
          <w:rFonts w:ascii="Verdana" w:hAnsi="Verdana"/>
        </w:rPr>
        <w:t xml:space="preserve">nerespectarea de către producători sau de către producători, prin intermediul asociațiilor, a obligației de a transmite raportul </w:t>
      </w:r>
      <w:r>
        <w:rPr>
          <w:rFonts w:ascii="Verdana" w:hAnsi="Verdana"/>
        </w:rPr>
        <w:lastRenderedPageBreak/>
        <w:t>menționat la articolul 18 alineatul (6), în conformitate cu procedura prevăzută de acesta;</w:t>
      </w:r>
    </w:p>
    <w:p w14:paraId="358BC049" w14:textId="74925ACB" w:rsidR="006A5FE8" w:rsidRPr="001D278E" w:rsidRDefault="006A5FE8" w:rsidP="00C525D6">
      <w:pPr>
        <w:pStyle w:val="ListParagraph"/>
        <w:numPr>
          <w:ilvl w:val="1"/>
          <w:numId w:val="55"/>
        </w:numPr>
        <w:spacing w:after="0"/>
        <w:ind w:left="1134"/>
        <w:jc w:val="both"/>
        <w:rPr>
          <w:rFonts w:ascii="Verdana" w:hAnsi="Verdana"/>
        </w:rPr>
      </w:pPr>
      <w:r>
        <w:rPr>
          <w:rFonts w:ascii="Verdana" w:hAnsi="Verdana"/>
        </w:rPr>
        <w:t xml:space="preserve">nerespectarea articolului 18 alineatul (7) de către operatorii economici menționați în normele în cauză; </w:t>
      </w:r>
    </w:p>
    <w:p w14:paraId="009DF47A" w14:textId="3217E37E" w:rsidR="006A5FE8" w:rsidRPr="001D278E" w:rsidRDefault="006A5FE8" w:rsidP="00C525D6">
      <w:pPr>
        <w:pStyle w:val="ListParagraph"/>
        <w:numPr>
          <w:ilvl w:val="1"/>
          <w:numId w:val="55"/>
        </w:numPr>
        <w:spacing w:after="0"/>
        <w:ind w:left="1134"/>
        <w:jc w:val="both"/>
        <w:rPr>
          <w:rFonts w:ascii="Verdana" w:hAnsi="Verdana"/>
        </w:rPr>
      </w:pPr>
      <w:r>
        <w:rPr>
          <w:rFonts w:ascii="Verdana" w:hAnsi="Verdana"/>
        </w:rPr>
        <w:t xml:space="preserve">nerespectarea articolului 18 alineatul (8) de către operatorii economici menționați la articolul 7 alineatul (7). </w:t>
      </w:r>
    </w:p>
    <w:p w14:paraId="53B1C166" w14:textId="77777777" w:rsidR="005630B1" w:rsidRPr="001D278E" w:rsidRDefault="004551A4" w:rsidP="00C525D6">
      <w:pPr>
        <w:pStyle w:val="ListParagraph"/>
        <w:numPr>
          <w:ilvl w:val="0"/>
          <w:numId w:val="53"/>
        </w:numPr>
        <w:ind w:left="709"/>
        <w:jc w:val="both"/>
        <w:rPr>
          <w:rFonts w:ascii="Verdana" w:hAnsi="Verdana"/>
        </w:rPr>
      </w:pPr>
      <w:r>
        <w:t xml:space="preserve">Următoarele constituie infracțiuni administrative minore de mediu, care se pedepsesc în temeiul Legii-cadru privind infracțiunile administrative de mediu, adoptată într-o anexă la </w:t>
      </w:r>
      <w:hyperlink r:id="rId10" w:tgtFrame="_blank" w:tooltip="Legea nr. 50/2006" w:history="1">
        <w:r>
          <w:rPr>
            <w:rFonts w:ascii="Verdana" w:hAnsi="Verdana"/>
          </w:rPr>
          <w:t>Legea nr. 50/2006</w:t>
        </w:r>
      </w:hyperlink>
      <w:r>
        <w:t xml:space="preserve"> din 29 august 2006, în formularea sa actuală:</w:t>
      </w:r>
    </w:p>
    <w:p w14:paraId="4F6BA6A5" w14:textId="6BD7D22D" w:rsidR="006E6B90" w:rsidRPr="001D278E" w:rsidRDefault="006E6B90" w:rsidP="00C525D6">
      <w:pPr>
        <w:pStyle w:val="ListParagraph"/>
        <w:numPr>
          <w:ilvl w:val="1"/>
          <w:numId w:val="55"/>
        </w:numPr>
        <w:spacing w:after="0"/>
        <w:ind w:left="1134"/>
        <w:jc w:val="both"/>
        <w:rPr>
          <w:rFonts w:ascii="Verdana" w:hAnsi="Verdana"/>
        </w:rPr>
      </w:pPr>
      <w:r>
        <w:rPr>
          <w:rFonts w:ascii="Verdana" w:hAnsi="Verdana"/>
        </w:rPr>
        <w:t>nerespectarea obligațiilor reprezentantului autorizat în conformitate cu articolul 16 alineatul (4).</w:t>
      </w:r>
    </w:p>
    <w:p w14:paraId="50F93058" w14:textId="691E101E" w:rsidR="009D112F" w:rsidRPr="001D278E" w:rsidRDefault="009D112F" w:rsidP="00C525D6">
      <w:pPr>
        <w:pStyle w:val="ListParagraph"/>
        <w:numPr>
          <w:ilvl w:val="0"/>
          <w:numId w:val="53"/>
        </w:numPr>
        <w:ind w:left="709"/>
        <w:jc w:val="both"/>
        <w:rPr>
          <w:rFonts w:ascii="Verdana" w:hAnsi="Verdana"/>
        </w:rPr>
      </w:pPr>
      <w:r>
        <w:rPr>
          <w:rFonts w:ascii="Verdana" w:hAnsi="Verdana"/>
        </w:rPr>
        <w:t>Neglijența se pedepsește în conformitate cu Legea-cadru privind infracțiunile administrative de mediu.</w:t>
      </w:r>
    </w:p>
    <w:p w14:paraId="02C0935D" w14:textId="0366A113" w:rsidR="009D112F" w:rsidRPr="001D278E" w:rsidRDefault="009D112F" w:rsidP="00C525D6">
      <w:pPr>
        <w:pStyle w:val="ListParagraph"/>
        <w:numPr>
          <w:ilvl w:val="0"/>
          <w:numId w:val="53"/>
        </w:numPr>
        <w:ind w:left="709"/>
        <w:jc w:val="both"/>
        <w:rPr>
          <w:rFonts w:ascii="Verdana" w:hAnsi="Verdana"/>
        </w:rPr>
      </w:pPr>
      <w:r>
        <w:rPr>
          <w:rFonts w:ascii="Verdana" w:hAnsi="Verdana"/>
        </w:rPr>
        <w:t>Veniturile din amenzile prevăzute la prezentul articol se repartizează în conformitate cu articolul 73 din Legea-cadru privind infracțiunile administrative de mediu.</w:t>
      </w:r>
    </w:p>
    <w:p w14:paraId="1E162BA3" w14:textId="7D85120F" w:rsidR="009D112F" w:rsidRPr="001D278E" w:rsidRDefault="009D112F" w:rsidP="00C525D6">
      <w:pPr>
        <w:pStyle w:val="ListParagraph"/>
        <w:numPr>
          <w:ilvl w:val="0"/>
          <w:numId w:val="53"/>
        </w:numPr>
        <w:ind w:left="709"/>
        <w:jc w:val="both"/>
        <w:rPr>
          <w:rFonts w:ascii="Verdana" w:hAnsi="Verdana"/>
        </w:rPr>
      </w:pPr>
      <w:r>
        <w:t>Condamnarea pentru încălcările foarte grave și grave prevăzute la alineatele (1) și (2) poate fi anunțată în cazul în care măsura specifică a amenzii aplicate depășește jumătate din cuantumul maxim al amenzii care se aplică în mod abstract, în conformitate cu dispozițiile Legii-cadru privind infracțiunile administrative de mediu.</w:t>
      </w:r>
    </w:p>
    <w:p w14:paraId="69198DB2" w14:textId="77777777" w:rsidR="009D112F" w:rsidRPr="009D112F" w:rsidRDefault="009D112F" w:rsidP="009D112F">
      <w:pPr>
        <w:jc w:val="both"/>
        <w:rPr>
          <w:rFonts w:ascii="Verdana" w:hAnsi="Verdana"/>
          <w:color w:val="000000" w:themeColor="text1"/>
        </w:rPr>
      </w:pPr>
    </w:p>
    <w:p w14:paraId="14D75E23" w14:textId="5FC68CFC" w:rsidR="009D112F" w:rsidRPr="009D112F" w:rsidRDefault="00AC3F76" w:rsidP="00AC3F76">
      <w:pPr>
        <w:pStyle w:val="Heading2"/>
        <w:numPr>
          <w:ilvl w:val="0"/>
          <w:numId w:val="0"/>
        </w:numPr>
        <w:tabs>
          <w:tab w:val="clear" w:pos="1701"/>
          <w:tab w:val="left" w:pos="1418"/>
        </w:tabs>
        <w:ind w:left="426"/>
      </w:pPr>
      <w:r>
        <w:t>Articolul 24</w:t>
      </w:r>
      <w:r>
        <w:br/>
        <w:t>Procesele de investigare și de decizie</w:t>
      </w:r>
    </w:p>
    <w:p w14:paraId="2543265B" w14:textId="07ACC442" w:rsidR="009D112F" w:rsidRPr="009D112F" w:rsidRDefault="009D112F" w:rsidP="00C525D6">
      <w:pPr>
        <w:pStyle w:val="ListParagraph"/>
        <w:numPr>
          <w:ilvl w:val="0"/>
          <w:numId w:val="56"/>
        </w:numPr>
        <w:ind w:left="709"/>
        <w:jc w:val="both"/>
        <w:rPr>
          <w:rFonts w:ascii="Verdana" w:hAnsi="Verdana"/>
        </w:rPr>
      </w:pPr>
      <w:r>
        <w:rPr>
          <w:rFonts w:ascii="Verdana" w:hAnsi="Verdana"/>
        </w:rPr>
        <w:t>1 – IGAMAOT [Inspectoratul General pentru Agricultură, Mare, Mediu și Planificare Spațială], ASAE [Autoritatea pentru Siguranța Alimentară și Economică] și AT [Autoritatea Fiscală și Vamală], în limitele competențelor lor respective, trebuie să inițieze proceduri de infracțiune administrativă depuse în domeniul de aplicare al prezentului decret-lege, precum și să aplice amenzile și sancțiunile auxiliare corespunzătoare prevăzute la articolul 90 alineatul (6).</w:t>
      </w:r>
    </w:p>
    <w:p w14:paraId="0E4A6ED5" w14:textId="09F1BE0B" w:rsidR="00A172F1" w:rsidRPr="009D112F" w:rsidRDefault="009D112F" w:rsidP="00C525D6">
      <w:pPr>
        <w:pStyle w:val="ListParagraph"/>
        <w:numPr>
          <w:ilvl w:val="0"/>
          <w:numId w:val="56"/>
        </w:numPr>
        <w:ind w:left="709"/>
        <w:jc w:val="both"/>
        <w:rPr>
          <w:rFonts w:ascii="Verdana" w:hAnsi="Verdana"/>
        </w:rPr>
      </w:pPr>
      <w:r>
        <w:rPr>
          <w:rFonts w:ascii="Verdana" w:hAnsi="Verdana"/>
        </w:rPr>
        <w:t>În cazul în care entitatea de prelucrare nu are competența de a investiga cazul, IGAMAOT investighează și decide în cazul infracțiunilor administrative de mediu prevăzute la articolul 23 și informează entitățile de prelucrare cu privire la decizii.</w:t>
      </w:r>
    </w:p>
    <w:p w14:paraId="162FCAEC" w14:textId="77777777" w:rsidR="009D112F" w:rsidRDefault="009D112F" w:rsidP="009D112F">
      <w:pPr>
        <w:jc w:val="both"/>
        <w:rPr>
          <w:rFonts w:ascii="Verdana" w:hAnsi="Verdana"/>
        </w:rPr>
      </w:pPr>
    </w:p>
    <w:p w14:paraId="43E0AE39" w14:textId="7815CD5A" w:rsidR="009D112F" w:rsidRPr="009D112F" w:rsidRDefault="00AC3F76" w:rsidP="00AC3F76">
      <w:pPr>
        <w:pStyle w:val="Heading2"/>
        <w:numPr>
          <w:ilvl w:val="0"/>
          <w:numId w:val="0"/>
        </w:numPr>
        <w:tabs>
          <w:tab w:val="clear" w:pos="1701"/>
          <w:tab w:val="left" w:pos="1418"/>
        </w:tabs>
        <w:ind w:left="426"/>
      </w:pPr>
      <w:r>
        <w:lastRenderedPageBreak/>
        <w:t>Articolul 25</w:t>
      </w:r>
      <w:r>
        <w:br/>
        <w:t>Sechestru asigurător</w:t>
      </w:r>
    </w:p>
    <w:p w14:paraId="0BE9E5AF" w14:textId="3FC2B62D" w:rsidR="009D112F" w:rsidRDefault="009D112F" w:rsidP="009D112F">
      <w:pPr>
        <w:jc w:val="both"/>
        <w:rPr>
          <w:rFonts w:ascii="Verdana" w:hAnsi="Verdana"/>
        </w:rPr>
      </w:pPr>
      <w:r>
        <w:rPr>
          <w:rFonts w:ascii="Verdana" w:hAnsi="Verdana"/>
        </w:rPr>
        <w:t xml:space="preserve">Dacă este necesar, autoritatea competentă poate stabili sechestrul asigurător al activelor și documentelor în temeiul articolului 42 din Legea-cadru privind infracțiunile administrative de mediu sau confiscarea obiectelor în conformitate cu regimul juridic pentru infracțiunile administrative economice. </w:t>
      </w:r>
    </w:p>
    <w:p w14:paraId="40F71398" w14:textId="77777777" w:rsidR="009D112F" w:rsidRPr="003F6B93" w:rsidRDefault="009D112F" w:rsidP="009D112F">
      <w:pPr>
        <w:jc w:val="both"/>
        <w:rPr>
          <w:rFonts w:ascii="Verdana" w:hAnsi="Verdana"/>
        </w:rPr>
      </w:pPr>
    </w:p>
    <w:p w14:paraId="588A90F5" w14:textId="50AF98BA" w:rsidR="00A172F1" w:rsidRPr="003F6B93" w:rsidRDefault="00DD1E2B" w:rsidP="001E4779">
      <w:pPr>
        <w:pStyle w:val="Heading1"/>
        <w:tabs>
          <w:tab w:val="clear" w:pos="3969"/>
          <w:tab w:val="left" w:pos="2410"/>
        </w:tabs>
      </w:pPr>
      <w:r>
        <w:br/>
        <w:t xml:space="preserve">Modificări legislative </w:t>
      </w:r>
    </w:p>
    <w:p w14:paraId="3E28DF84" w14:textId="6C30B52E" w:rsidR="008B4B7F" w:rsidRPr="00007109" w:rsidRDefault="008B4B7F" w:rsidP="00A172F1">
      <w:pPr>
        <w:jc w:val="both"/>
        <w:rPr>
          <w:rFonts w:ascii="Verdana" w:hAnsi="Verdana"/>
        </w:rPr>
      </w:pPr>
    </w:p>
    <w:p w14:paraId="1E8AFD6F" w14:textId="4E66953E" w:rsidR="00054EAE" w:rsidRDefault="00AC3F76" w:rsidP="00AC3F76">
      <w:pPr>
        <w:pStyle w:val="Heading2"/>
        <w:numPr>
          <w:ilvl w:val="0"/>
          <w:numId w:val="0"/>
        </w:numPr>
        <w:tabs>
          <w:tab w:val="clear" w:pos="1701"/>
          <w:tab w:val="left" w:pos="1560"/>
        </w:tabs>
        <w:ind w:left="426"/>
      </w:pPr>
      <w:r>
        <w:t>Articolul 26</w:t>
      </w:r>
      <w:r>
        <w:br/>
        <w:t>Modificarea Legii nr. 77/2019 din 2 septembrie 2019</w:t>
      </w:r>
    </w:p>
    <w:p w14:paraId="5E323956" w14:textId="77777777" w:rsidR="00A76322" w:rsidRPr="00007109" w:rsidRDefault="00A76322" w:rsidP="00007109">
      <w:pPr>
        <w:jc w:val="both"/>
        <w:rPr>
          <w:rFonts w:ascii="Verdana" w:hAnsi="Verdana"/>
        </w:rPr>
      </w:pPr>
    </w:p>
    <w:p w14:paraId="55295FC4" w14:textId="1EB7775E" w:rsidR="00054EAE" w:rsidRPr="00007109" w:rsidRDefault="00054EAE" w:rsidP="00007109">
      <w:pPr>
        <w:jc w:val="both"/>
        <w:rPr>
          <w:rFonts w:ascii="Verdana" w:hAnsi="Verdana"/>
        </w:rPr>
      </w:pPr>
      <w:r>
        <w:rPr>
          <w:rFonts w:ascii="Verdana" w:hAnsi="Verdana"/>
        </w:rPr>
        <w:t>Articolele 1, 2, 3, 4, 5, 6 și 7 din Legea nr. 77/2019 din 2 septembrie 2019 se înlocuiesc cu următorul text:</w:t>
      </w:r>
    </w:p>
    <w:p w14:paraId="775CD874" w14:textId="77777777" w:rsidR="006A3393" w:rsidRPr="00007109" w:rsidRDefault="006A3393" w:rsidP="00007109">
      <w:pPr>
        <w:jc w:val="both"/>
        <w:rPr>
          <w:rFonts w:ascii="Verdana" w:hAnsi="Verdana"/>
        </w:rPr>
      </w:pPr>
    </w:p>
    <w:p w14:paraId="2F4BD73E" w14:textId="7F37B1FF" w:rsidR="00054EAE" w:rsidRPr="008E2CAE" w:rsidRDefault="000600E7" w:rsidP="00054EAE">
      <w:pPr>
        <w:spacing w:after="0" w:line="360" w:lineRule="auto"/>
        <w:jc w:val="center"/>
        <w:rPr>
          <w:rFonts w:ascii="Verdana" w:hAnsi="Verdana" w:cstheme="minorHAnsi"/>
        </w:rPr>
      </w:pPr>
      <w:r>
        <w:rPr>
          <w:rFonts w:ascii="Verdana" w:hAnsi="Verdana"/>
        </w:rPr>
        <w:t>„</w:t>
      </w:r>
      <w:r>
        <w:t>Articolul 1</w:t>
      </w:r>
    </w:p>
    <w:p w14:paraId="0B8D34BA" w14:textId="77777777" w:rsidR="00054EAE" w:rsidRPr="008E2CAE" w:rsidRDefault="00054EAE" w:rsidP="00054EAE">
      <w:pPr>
        <w:spacing w:after="0" w:line="360" w:lineRule="auto"/>
        <w:jc w:val="center"/>
        <w:rPr>
          <w:rFonts w:ascii="Verdana" w:hAnsi="Verdana" w:cstheme="minorHAnsi"/>
        </w:rPr>
      </w:pPr>
      <w:r>
        <w:rPr>
          <w:rFonts w:ascii="Verdana" w:hAnsi="Verdana"/>
        </w:rPr>
        <w:t>[…]</w:t>
      </w:r>
    </w:p>
    <w:p w14:paraId="432C76D2" w14:textId="51A6EFAC" w:rsidR="00054EAE" w:rsidRPr="00007109" w:rsidRDefault="00054EAE" w:rsidP="00007109">
      <w:pPr>
        <w:jc w:val="both"/>
        <w:rPr>
          <w:rFonts w:ascii="Verdana" w:hAnsi="Verdana"/>
        </w:rPr>
      </w:pPr>
      <w:bookmarkStart w:id="53" w:name="_Hlk65428420"/>
      <w:r>
        <w:rPr>
          <w:rFonts w:ascii="Verdana" w:hAnsi="Verdana"/>
        </w:rPr>
        <w:t xml:space="preserve">Prezenta lege interzice punerea la dispoziție în magazine a pungilor de plastic foarte subțire și a recipientelor din plastic de unică folosință, cum ar fi caserolele și cutiile, cu sau fără capac, în comercializarea produselor de panificație și de patiserie, a fructelor și legumelor, precum și obligația de a aduce alternative la utilizarea unor pungi din plastic foarte subțire la dispoziția consumatorilor finali. </w:t>
      </w:r>
    </w:p>
    <w:bookmarkEnd w:id="53"/>
    <w:p w14:paraId="1BD7396C" w14:textId="77777777" w:rsidR="00054EAE" w:rsidRPr="00007109" w:rsidRDefault="00054EAE" w:rsidP="00007109">
      <w:pPr>
        <w:jc w:val="both"/>
        <w:rPr>
          <w:rFonts w:ascii="Verdana" w:hAnsi="Verdana"/>
        </w:rPr>
      </w:pPr>
    </w:p>
    <w:p w14:paraId="2AC2A3A0" w14:textId="77777777" w:rsidR="00054EAE" w:rsidRPr="008E2CAE" w:rsidRDefault="00054EAE" w:rsidP="00054EAE">
      <w:pPr>
        <w:spacing w:after="0" w:line="360" w:lineRule="auto"/>
        <w:jc w:val="center"/>
        <w:rPr>
          <w:rFonts w:ascii="Verdana" w:hAnsi="Verdana" w:cstheme="minorHAnsi"/>
        </w:rPr>
      </w:pPr>
      <w:r>
        <w:rPr>
          <w:rFonts w:ascii="Verdana" w:hAnsi="Verdana"/>
        </w:rPr>
        <w:t>Articolul 2</w:t>
      </w:r>
    </w:p>
    <w:p w14:paraId="080BFE3B" w14:textId="77777777" w:rsidR="00054EAE" w:rsidRPr="008E2CAE" w:rsidRDefault="00054EAE" w:rsidP="00054EAE">
      <w:pPr>
        <w:spacing w:after="0" w:line="360" w:lineRule="auto"/>
        <w:jc w:val="center"/>
        <w:rPr>
          <w:rFonts w:ascii="Verdana" w:hAnsi="Verdana" w:cstheme="minorHAnsi"/>
        </w:rPr>
      </w:pPr>
      <w:r>
        <w:rPr>
          <w:rFonts w:ascii="Verdana" w:hAnsi="Verdana"/>
        </w:rPr>
        <w:t>[…]</w:t>
      </w:r>
    </w:p>
    <w:p w14:paraId="4F24CD63" w14:textId="77777777" w:rsidR="00054EAE" w:rsidRPr="00007109" w:rsidRDefault="00054EAE" w:rsidP="00007109">
      <w:pPr>
        <w:jc w:val="both"/>
        <w:rPr>
          <w:rFonts w:ascii="Verdana" w:hAnsi="Verdana"/>
        </w:rPr>
      </w:pPr>
      <w:r>
        <w:rPr>
          <w:rFonts w:ascii="Verdana" w:hAnsi="Verdana"/>
        </w:rPr>
        <w:t xml:space="preserve">În sensul prezentei legi, se aplică următoarele definiții: </w:t>
      </w:r>
    </w:p>
    <w:p w14:paraId="53E227F4" w14:textId="3871EE5A" w:rsidR="00054EAE" w:rsidRPr="001D278E" w:rsidRDefault="00054EAE" w:rsidP="00C525D6">
      <w:pPr>
        <w:pStyle w:val="ListParagraph"/>
        <w:numPr>
          <w:ilvl w:val="1"/>
          <w:numId w:val="57"/>
        </w:numPr>
        <w:spacing w:after="0"/>
        <w:ind w:left="1134"/>
        <w:jc w:val="both"/>
        <w:rPr>
          <w:rFonts w:ascii="Verdana" w:hAnsi="Verdana"/>
        </w:rPr>
      </w:pPr>
      <w:bookmarkStart w:id="54" w:name="_Hlk65428543"/>
      <w:r>
        <w:rPr>
          <w:rFonts w:ascii="Verdana" w:hAnsi="Verdana"/>
        </w:rPr>
        <w:t xml:space="preserve">„pungi din plastic foarte subțire” înseamnă pungi din plastic cu o grosime mai mică de 15 microni necesare pentru igienă sau </w:t>
      </w:r>
      <w:r>
        <w:rPr>
          <w:rFonts w:ascii="Verdana" w:hAnsi="Verdana"/>
        </w:rPr>
        <w:lastRenderedPageBreak/>
        <w:t>furnizate ca ambalaj primar pentru pâine, fructe și legume neambalate;</w:t>
      </w:r>
    </w:p>
    <w:bookmarkEnd w:id="54"/>
    <w:p w14:paraId="26239E9F" w14:textId="1D1F40AF" w:rsidR="00054EAE" w:rsidRPr="001D278E" w:rsidRDefault="00054EAE" w:rsidP="00C525D6">
      <w:pPr>
        <w:pStyle w:val="ListParagraph"/>
        <w:numPr>
          <w:ilvl w:val="1"/>
          <w:numId w:val="57"/>
        </w:numPr>
        <w:spacing w:after="0"/>
        <w:ind w:left="1134"/>
        <w:jc w:val="both"/>
        <w:rPr>
          <w:rFonts w:ascii="Verdana" w:hAnsi="Verdana"/>
        </w:rPr>
      </w:pPr>
      <w:r>
        <w:rPr>
          <w:rFonts w:ascii="Verdana" w:hAnsi="Verdana"/>
        </w:rPr>
        <w:t>„plastic biodegradabil” înseamnă un material plastic care poate face obiectul descompunerii fizice, biologice, astfel încât să se descompună în final în dioxid de carbon (CO</w:t>
      </w:r>
      <w:r>
        <w:rPr>
          <w:rFonts w:ascii="Verdana" w:hAnsi="Verdana"/>
          <w:vertAlign w:val="subscript"/>
        </w:rPr>
        <w:t>2</w:t>
      </w:r>
      <w:r>
        <w:rPr>
          <w:rFonts w:ascii="Verdana" w:hAnsi="Verdana"/>
        </w:rPr>
        <w:t>), biomasă și apă, și este, în conformitate cu standardele europene privind ambalajele, recuperabil prin compostare și digestie anaerobă;</w:t>
      </w:r>
    </w:p>
    <w:p w14:paraId="3F891194" w14:textId="44E496B7" w:rsidR="00054EAE" w:rsidRPr="001D278E" w:rsidRDefault="00054EAE" w:rsidP="00C525D6">
      <w:pPr>
        <w:pStyle w:val="ListParagraph"/>
        <w:numPr>
          <w:ilvl w:val="1"/>
          <w:numId w:val="57"/>
        </w:numPr>
        <w:spacing w:after="0"/>
        <w:ind w:left="1134"/>
        <w:jc w:val="both"/>
        <w:rPr>
          <w:rFonts w:ascii="Verdana" w:hAnsi="Verdana"/>
        </w:rPr>
      </w:pPr>
      <w:bookmarkStart w:id="55" w:name="_Hlk65428640"/>
      <w:r>
        <w:rPr>
          <w:rFonts w:ascii="Verdana" w:hAnsi="Verdana"/>
        </w:rPr>
        <w:t>„sediu comercial” înseamnă orice unitate de vânzare cu amănuntul fixă și permanentă, în care furnizorul de bunuri sau prestatorul de servicii de alimentație publică își desfășoară activitatea în mod permanent și care comercializează pâine, fructe și legume, reglementată conform regimului juridic privind accesul și exercitarea activităților comerciale, de servicii și de alimentație publică, aprobat prin Decretul-lege nr. 10/2015 din 16 ianuarie 2015, astfel cum a fost modificat prin Decretul-lege nr. 102/2017 din 23 august 2017 și prin Legea nr. 15/2018 din 27 martie 2018.</w:t>
      </w:r>
    </w:p>
    <w:bookmarkEnd w:id="55"/>
    <w:p w14:paraId="320C7822" w14:textId="77777777" w:rsidR="00054EAE" w:rsidRPr="008B374C" w:rsidRDefault="00054EAE" w:rsidP="00054EAE">
      <w:pPr>
        <w:spacing w:after="0" w:line="360" w:lineRule="auto"/>
        <w:jc w:val="center"/>
        <w:rPr>
          <w:rFonts w:ascii="Verdana" w:hAnsi="Verdana" w:cstheme="minorHAnsi"/>
        </w:rPr>
      </w:pPr>
    </w:p>
    <w:p w14:paraId="23698E8A" w14:textId="77777777" w:rsidR="00054EAE" w:rsidRPr="008B374C" w:rsidRDefault="00054EAE" w:rsidP="00054EAE">
      <w:pPr>
        <w:spacing w:after="0" w:line="360" w:lineRule="auto"/>
        <w:jc w:val="center"/>
        <w:rPr>
          <w:rFonts w:ascii="Verdana" w:hAnsi="Verdana" w:cstheme="minorHAnsi"/>
        </w:rPr>
      </w:pPr>
      <w:r>
        <w:rPr>
          <w:rFonts w:ascii="Verdana" w:hAnsi="Verdana"/>
        </w:rPr>
        <w:t>Articolul 3</w:t>
      </w:r>
    </w:p>
    <w:p w14:paraId="238E03F9" w14:textId="77777777" w:rsidR="00054EAE" w:rsidRPr="008B374C" w:rsidRDefault="00054EAE" w:rsidP="00054EAE">
      <w:pPr>
        <w:spacing w:after="0" w:line="360" w:lineRule="auto"/>
        <w:jc w:val="center"/>
        <w:rPr>
          <w:rFonts w:ascii="Verdana" w:hAnsi="Verdana" w:cstheme="minorHAnsi"/>
        </w:rPr>
      </w:pPr>
      <w:r>
        <w:rPr>
          <w:rFonts w:ascii="Verdana" w:hAnsi="Verdana"/>
        </w:rPr>
        <w:t>[…]</w:t>
      </w:r>
    </w:p>
    <w:p w14:paraId="1A3B3802" w14:textId="4C305360" w:rsidR="00054EAE" w:rsidRPr="00007109" w:rsidRDefault="00054EAE" w:rsidP="00007109">
      <w:pPr>
        <w:jc w:val="both"/>
        <w:rPr>
          <w:rFonts w:ascii="Verdana" w:hAnsi="Verdana"/>
        </w:rPr>
      </w:pPr>
      <w:r>
        <w:rPr>
          <w:rFonts w:ascii="Verdana" w:hAnsi="Verdana"/>
        </w:rPr>
        <w:t>Prezenta lege se aplică tuturor unităților comerciale în care se comercializează pâine și produse de patiserie, fructe și legume.</w:t>
      </w:r>
    </w:p>
    <w:p w14:paraId="6CE06251" w14:textId="77777777" w:rsidR="00054EAE" w:rsidRPr="008E2CAE" w:rsidRDefault="00054EAE" w:rsidP="00054EAE">
      <w:pPr>
        <w:spacing w:after="0" w:line="360" w:lineRule="auto"/>
        <w:jc w:val="center"/>
        <w:rPr>
          <w:rFonts w:ascii="Verdana" w:hAnsi="Verdana" w:cstheme="minorHAnsi"/>
        </w:rPr>
      </w:pPr>
    </w:p>
    <w:p w14:paraId="7728A31A" w14:textId="77777777" w:rsidR="00054EAE" w:rsidRPr="008E2CAE" w:rsidRDefault="00054EAE" w:rsidP="00054EAE">
      <w:pPr>
        <w:spacing w:after="0" w:line="360" w:lineRule="auto"/>
        <w:jc w:val="center"/>
        <w:rPr>
          <w:rFonts w:ascii="Verdana" w:hAnsi="Verdana" w:cstheme="minorHAnsi"/>
        </w:rPr>
      </w:pPr>
      <w:r>
        <w:rPr>
          <w:rFonts w:ascii="Verdana" w:hAnsi="Verdana"/>
        </w:rPr>
        <w:t>Articolul 4</w:t>
      </w:r>
    </w:p>
    <w:p w14:paraId="6D060904" w14:textId="77777777" w:rsidR="00054EAE" w:rsidRPr="008E2CAE" w:rsidRDefault="00054EAE" w:rsidP="00054EAE">
      <w:pPr>
        <w:spacing w:after="0" w:line="360" w:lineRule="auto"/>
        <w:jc w:val="center"/>
        <w:rPr>
          <w:rFonts w:ascii="Verdana" w:hAnsi="Verdana" w:cstheme="minorHAnsi"/>
        </w:rPr>
      </w:pPr>
      <w:r>
        <w:rPr>
          <w:rFonts w:ascii="Verdana" w:hAnsi="Verdana"/>
        </w:rPr>
        <w:t>[…]</w:t>
      </w:r>
    </w:p>
    <w:p w14:paraId="797D8056" w14:textId="4A1A464E" w:rsidR="00A75014" w:rsidRPr="00007109" w:rsidRDefault="00EB2667" w:rsidP="00C525D6">
      <w:pPr>
        <w:pStyle w:val="ListParagraph"/>
        <w:numPr>
          <w:ilvl w:val="0"/>
          <w:numId w:val="58"/>
        </w:numPr>
        <w:ind w:left="709"/>
        <w:jc w:val="both"/>
        <w:rPr>
          <w:rFonts w:ascii="Verdana" w:hAnsi="Verdana"/>
        </w:rPr>
      </w:pPr>
      <w:r>
        <w:rPr>
          <w:rFonts w:ascii="Verdana" w:hAnsi="Verdana"/>
        </w:rPr>
        <w:t>Începând cu 1 iunie 2023, se interzice ca unitățile comerciale:</w:t>
      </w:r>
    </w:p>
    <w:p w14:paraId="4B1574A0" w14:textId="583FEA2E" w:rsidR="00EB2667" w:rsidRPr="00007109" w:rsidRDefault="00A75014" w:rsidP="00C525D6">
      <w:pPr>
        <w:pStyle w:val="ListParagraph"/>
        <w:numPr>
          <w:ilvl w:val="1"/>
          <w:numId w:val="59"/>
        </w:numPr>
        <w:spacing w:after="0"/>
        <w:ind w:left="1134"/>
        <w:jc w:val="both"/>
        <w:rPr>
          <w:rFonts w:ascii="Verdana" w:hAnsi="Verdana"/>
        </w:rPr>
      </w:pPr>
      <w:r>
        <w:t xml:space="preserve">să furnizeze pungi de plastic foarte subțire pentru ambalarea </w:t>
      </w:r>
      <w:bookmarkStart w:id="56" w:name="_Hlk66404382"/>
      <w:r>
        <w:t>pâinii și a produselor de patiserie</w:t>
      </w:r>
      <w:bookmarkEnd w:id="56"/>
      <w:r>
        <w:t>, a fructelor și a legumelor;</w:t>
      </w:r>
    </w:p>
    <w:p w14:paraId="1B94BFF0" w14:textId="71559D2A" w:rsidR="00054EAE" w:rsidRPr="00007109" w:rsidRDefault="00A75014" w:rsidP="00C525D6">
      <w:pPr>
        <w:pStyle w:val="ListParagraph"/>
        <w:numPr>
          <w:ilvl w:val="1"/>
          <w:numId w:val="59"/>
        </w:numPr>
        <w:spacing w:after="0"/>
        <w:ind w:left="1134"/>
        <w:jc w:val="both"/>
        <w:rPr>
          <w:rFonts w:ascii="Verdana" w:hAnsi="Verdana"/>
        </w:rPr>
      </w:pPr>
      <w:r>
        <w:rPr>
          <w:rFonts w:ascii="Verdana" w:hAnsi="Verdana"/>
        </w:rPr>
        <w:t>să comercializeze în pungi de plastic foarte subțire pâine și produse de patiserie, fructe și legume care sunt ambalate la punctul de vânzare.</w:t>
      </w:r>
    </w:p>
    <w:p w14:paraId="349419CD" w14:textId="5F81FD4E" w:rsidR="00054EAE" w:rsidRPr="00007109" w:rsidRDefault="00EB2667" w:rsidP="00C525D6">
      <w:pPr>
        <w:pStyle w:val="ListParagraph"/>
        <w:numPr>
          <w:ilvl w:val="0"/>
          <w:numId w:val="58"/>
        </w:numPr>
        <w:ind w:left="709"/>
        <w:jc w:val="both"/>
        <w:rPr>
          <w:rFonts w:ascii="Verdana" w:hAnsi="Verdana"/>
        </w:rPr>
      </w:pPr>
      <w:r>
        <w:t xml:space="preserve">Începând cu 1 iunie 2023, se interzice ca unitățile comerciale </w:t>
      </w:r>
      <w:bookmarkStart w:id="57" w:name="_Hlk66404823"/>
      <w:r>
        <w:t>să comercializeze pâine și produse de patiserie, fructe și legume ambalate în recipiente din plastic de unică folosință, cum ar fi caserole și cutii, cu sau fără capac.</w:t>
      </w:r>
      <w:r>
        <w:rPr>
          <w:rFonts w:ascii="Verdana" w:hAnsi="Verdana"/>
        </w:rPr>
        <w:t xml:space="preserve"> </w:t>
      </w:r>
      <w:bookmarkEnd w:id="57"/>
    </w:p>
    <w:p w14:paraId="70876CC6" w14:textId="7D41C726" w:rsidR="00007109" w:rsidRDefault="00974F5D" w:rsidP="00C525D6">
      <w:pPr>
        <w:pStyle w:val="ListParagraph"/>
        <w:numPr>
          <w:ilvl w:val="0"/>
          <w:numId w:val="58"/>
        </w:numPr>
        <w:ind w:left="709"/>
        <w:jc w:val="both"/>
        <w:rPr>
          <w:rFonts w:ascii="Verdana" w:hAnsi="Verdana"/>
        </w:rPr>
      </w:pPr>
      <w:r>
        <w:rPr>
          <w:rFonts w:ascii="Verdana" w:hAnsi="Verdana"/>
        </w:rPr>
        <w:t>Pungile fabricate din materiale plastice biodegradabile și compostabile în conformitate cu standardele relevante în vigoare la momentul respectiv sunt excluse de la interdicția prevăzută la alineatul (1), cu condiția ca acestea să nu fie puse la dispoziție gratuit.</w:t>
      </w:r>
    </w:p>
    <w:p w14:paraId="00BA235A" w14:textId="1664DBFF" w:rsidR="00974F5D" w:rsidRPr="00007109" w:rsidRDefault="00974F5D" w:rsidP="00C525D6">
      <w:pPr>
        <w:pStyle w:val="ListParagraph"/>
        <w:numPr>
          <w:ilvl w:val="0"/>
          <w:numId w:val="58"/>
        </w:numPr>
        <w:ind w:left="709"/>
        <w:jc w:val="both"/>
        <w:rPr>
          <w:rFonts w:ascii="Verdana" w:hAnsi="Verdana"/>
        </w:rPr>
      </w:pPr>
      <w:r>
        <w:rPr>
          <w:rFonts w:ascii="Verdana" w:hAnsi="Verdana"/>
        </w:rPr>
        <w:lastRenderedPageBreak/>
        <w:t>Recipientele fabricate din materiale plastice biodegradabile și compostabile în conformitate cu standardele relevante în vigoare la momentul respectiv și în cazul în care acestea sunt necesare în scopul igienei și/sau siguranței alimentare sunt excluse de la interdicția prevăzută la alineatul (2).</w:t>
      </w:r>
    </w:p>
    <w:p w14:paraId="52622FDE" w14:textId="1BD3261A" w:rsidR="00974F5D" w:rsidRPr="00007109" w:rsidRDefault="00974F5D" w:rsidP="00007109">
      <w:pPr>
        <w:jc w:val="both"/>
        <w:rPr>
          <w:rFonts w:ascii="Verdana" w:hAnsi="Verdana"/>
        </w:rPr>
      </w:pPr>
    </w:p>
    <w:p w14:paraId="4ABB2644" w14:textId="77777777" w:rsidR="00054EAE" w:rsidRPr="00007109" w:rsidRDefault="00054EAE" w:rsidP="00007109">
      <w:pPr>
        <w:jc w:val="both"/>
        <w:rPr>
          <w:rFonts w:ascii="Verdana" w:hAnsi="Verdana"/>
        </w:rPr>
      </w:pPr>
    </w:p>
    <w:p w14:paraId="08B7CA3C" w14:textId="77777777" w:rsidR="00054EAE" w:rsidRPr="008E2CAE" w:rsidRDefault="00054EAE" w:rsidP="00054EAE">
      <w:pPr>
        <w:spacing w:after="0" w:line="360" w:lineRule="auto"/>
        <w:jc w:val="center"/>
        <w:rPr>
          <w:rFonts w:ascii="Verdana" w:hAnsi="Verdana" w:cstheme="minorHAnsi"/>
        </w:rPr>
      </w:pPr>
      <w:r>
        <w:rPr>
          <w:rFonts w:ascii="Verdana" w:hAnsi="Verdana"/>
        </w:rPr>
        <w:t>Articolul 5</w:t>
      </w:r>
    </w:p>
    <w:p w14:paraId="0DD616DF" w14:textId="186D58DF" w:rsidR="00054EAE" w:rsidRDefault="00054EAE" w:rsidP="00054EAE">
      <w:pPr>
        <w:spacing w:after="0" w:line="360" w:lineRule="auto"/>
        <w:jc w:val="center"/>
        <w:rPr>
          <w:rFonts w:ascii="Verdana" w:hAnsi="Verdana" w:cstheme="minorHAnsi"/>
        </w:rPr>
      </w:pPr>
      <w:r>
        <w:rPr>
          <w:rFonts w:ascii="Verdana" w:hAnsi="Verdana"/>
        </w:rPr>
        <w:t>[…]</w:t>
      </w:r>
    </w:p>
    <w:p w14:paraId="35F718E3" w14:textId="77777777" w:rsidR="00827E7D" w:rsidRPr="008E2CAE" w:rsidRDefault="00827E7D" w:rsidP="00054EAE">
      <w:pPr>
        <w:spacing w:after="0" w:line="360" w:lineRule="auto"/>
        <w:jc w:val="center"/>
        <w:rPr>
          <w:rFonts w:ascii="Verdana" w:hAnsi="Verdana" w:cstheme="minorHAnsi"/>
        </w:rPr>
      </w:pPr>
    </w:p>
    <w:p w14:paraId="578A57D7" w14:textId="3B2A8640" w:rsidR="00974F5D" w:rsidRPr="00007109" w:rsidRDefault="00827E7D" w:rsidP="00007109">
      <w:pPr>
        <w:jc w:val="both"/>
        <w:rPr>
          <w:rFonts w:ascii="Verdana" w:hAnsi="Verdana"/>
        </w:rPr>
      </w:pPr>
      <w:bookmarkStart w:id="58" w:name="_Hlk65430716"/>
      <w:r>
        <w:t xml:space="preserve">Începând cu 1 ianuarie 2022, la punctele de vânzare a produselor neambalate, este obligatoriu să se ofere consumatorilor alternative reutilizabile pentru </w:t>
      </w:r>
      <w:bookmarkStart w:id="59" w:name="_Hlk66404649"/>
      <w:r>
        <w:t>ambalarea pâinii și a produselor de patiserie, a fructelor și a legumelor</w:t>
      </w:r>
      <w:bookmarkEnd w:id="59"/>
      <w:r>
        <w:t xml:space="preserve"> sau, în cazul în care acest lucru nu este posibil, alternative fabricate dintr-un singur material.</w:t>
      </w:r>
    </w:p>
    <w:bookmarkEnd w:id="58"/>
    <w:p w14:paraId="236B55B4" w14:textId="77777777" w:rsidR="00054EAE" w:rsidRPr="00007109" w:rsidRDefault="00054EAE" w:rsidP="00007109">
      <w:pPr>
        <w:jc w:val="both"/>
        <w:rPr>
          <w:rFonts w:ascii="Verdana" w:hAnsi="Verdana"/>
        </w:rPr>
      </w:pPr>
    </w:p>
    <w:p w14:paraId="5573C051" w14:textId="77777777" w:rsidR="00054EAE" w:rsidRPr="008E2CAE" w:rsidRDefault="00054EAE" w:rsidP="00054EAE">
      <w:pPr>
        <w:spacing w:after="0" w:line="360" w:lineRule="auto"/>
        <w:jc w:val="center"/>
        <w:rPr>
          <w:rFonts w:ascii="Verdana" w:hAnsi="Verdana" w:cstheme="minorHAnsi"/>
        </w:rPr>
      </w:pPr>
      <w:r>
        <w:rPr>
          <w:rFonts w:ascii="Verdana" w:hAnsi="Verdana"/>
        </w:rPr>
        <w:t>Articolul 6</w:t>
      </w:r>
    </w:p>
    <w:p w14:paraId="54A5D17F" w14:textId="638286F1" w:rsidR="00054EAE" w:rsidRDefault="00054EAE" w:rsidP="00054EAE">
      <w:pPr>
        <w:spacing w:after="0" w:line="360" w:lineRule="auto"/>
        <w:jc w:val="center"/>
        <w:rPr>
          <w:rFonts w:ascii="Verdana" w:hAnsi="Verdana"/>
        </w:rPr>
      </w:pPr>
      <w:r>
        <w:rPr>
          <w:rFonts w:ascii="Verdana" w:hAnsi="Verdana"/>
        </w:rPr>
        <w:t>[…]</w:t>
      </w:r>
    </w:p>
    <w:p w14:paraId="217FBA86" w14:textId="77777777" w:rsidR="00827E7D" w:rsidRPr="008E2CAE" w:rsidRDefault="00827E7D" w:rsidP="00054EAE">
      <w:pPr>
        <w:spacing w:after="0" w:line="360" w:lineRule="auto"/>
        <w:jc w:val="center"/>
        <w:rPr>
          <w:rFonts w:ascii="Verdana" w:hAnsi="Verdana"/>
        </w:rPr>
      </w:pPr>
    </w:p>
    <w:p w14:paraId="6100731A" w14:textId="7DE7DB9C" w:rsidR="006923D5" w:rsidRPr="008E2CAE" w:rsidRDefault="00054EAE" w:rsidP="00C525D6">
      <w:pPr>
        <w:pStyle w:val="ListParagraph"/>
        <w:numPr>
          <w:ilvl w:val="0"/>
          <w:numId w:val="60"/>
        </w:numPr>
        <w:ind w:left="709"/>
        <w:jc w:val="both"/>
        <w:rPr>
          <w:rFonts w:ascii="Verdana" w:hAnsi="Verdana"/>
        </w:rPr>
      </w:pPr>
      <w:bookmarkStart w:id="60" w:name="_Hlk37520532"/>
      <w:r>
        <w:rPr>
          <w:rFonts w:ascii="Verdana" w:hAnsi="Verdana"/>
        </w:rPr>
        <w:t xml:space="preserve">Următoarele constituie infracțiuni administrative economice minore, care se sancționează conform sistemului juridic pentru infracțiuni economice administrative, aprobat prin Decretul-lege nr. 9/2021 din 29 ianuarie 2021 (RJCE): </w:t>
      </w:r>
    </w:p>
    <w:p w14:paraId="7862C874" w14:textId="597B1A91" w:rsidR="00054EAE" w:rsidRPr="008E2CAE" w:rsidRDefault="0069117E" w:rsidP="00C525D6">
      <w:pPr>
        <w:pStyle w:val="ListParagraph"/>
        <w:numPr>
          <w:ilvl w:val="1"/>
          <w:numId w:val="61"/>
        </w:numPr>
        <w:spacing w:after="0"/>
        <w:ind w:left="1134"/>
        <w:jc w:val="both"/>
        <w:rPr>
          <w:rFonts w:ascii="Verdana" w:hAnsi="Verdana"/>
        </w:rPr>
      </w:pPr>
      <w:r>
        <w:rPr>
          <w:rFonts w:ascii="Verdana" w:hAnsi="Verdana"/>
        </w:rPr>
        <w:t>indisponibilitatea alternativelor reutilizabile sau a unui singur material pentru consumatori, în conformitate cu articolul anterior;</w:t>
      </w:r>
    </w:p>
    <w:p w14:paraId="2C6EB85E" w14:textId="24F74B4E" w:rsidR="00590C52" w:rsidRDefault="0069117E" w:rsidP="00C525D6">
      <w:pPr>
        <w:pStyle w:val="ListParagraph"/>
        <w:numPr>
          <w:ilvl w:val="1"/>
          <w:numId w:val="61"/>
        </w:numPr>
        <w:spacing w:after="0"/>
        <w:ind w:left="1134"/>
        <w:jc w:val="both"/>
        <w:rPr>
          <w:rFonts w:ascii="Verdana" w:hAnsi="Verdana"/>
        </w:rPr>
      </w:pPr>
      <w:r>
        <w:rPr>
          <w:rFonts w:ascii="Verdana" w:hAnsi="Verdana"/>
        </w:rPr>
        <w:t xml:space="preserve">punerea la dispoziție a pungilor de plastic foarte subțire și comercializarea produselor în pungi de plastic foarte subțire, în conformitate cu articolul 4 alineatul (1); </w:t>
      </w:r>
    </w:p>
    <w:p w14:paraId="00B109BF" w14:textId="62524D09" w:rsidR="00054EAE" w:rsidRPr="008E2CAE" w:rsidRDefault="00054EAE" w:rsidP="00C525D6">
      <w:pPr>
        <w:pStyle w:val="ListParagraph"/>
        <w:numPr>
          <w:ilvl w:val="1"/>
          <w:numId w:val="61"/>
        </w:numPr>
        <w:spacing w:after="0"/>
        <w:ind w:left="1134"/>
        <w:jc w:val="both"/>
        <w:rPr>
          <w:rFonts w:ascii="Verdana" w:hAnsi="Verdana"/>
        </w:rPr>
      </w:pPr>
      <w:r>
        <w:rPr>
          <w:rFonts w:ascii="Verdana" w:hAnsi="Verdana"/>
        </w:rPr>
        <w:t xml:space="preserve"> comercializarea produselor ambalate în recipiente din plastic de unică folosință, cum ar fi caserolele și cutiile, cu sau fără capac, în conformitate cu articolul 4 alineatul (2).</w:t>
      </w:r>
    </w:p>
    <w:p w14:paraId="1597C149" w14:textId="50E38EC0" w:rsidR="00054EAE" w:rsidRPr="008E2CAE" w:rsidRDefault="00054EAE" w:rsidP="00C525D6">
      <w:pPr>
        <w:pStyle w:val="ListParagraph"/>
        <w:numPr>
          <w:ilvl w:val="0"/>
          <w:numId w:val="60"/>
        </w:numPr>
        <w:ind w:left="709"/>
        <w:jc w:val="both"/>
        <w:rPr>
          <w:rFonts w:ascii="Verdana" w:hAnsi="Verdana"/>
        </w:rPr>
      </w:pPr>
      <w:r>
        <w:rPr>
          <w:rFonts w:ascii="Verdana" w:hAnsi="Verdana"/>
        </w:rPr>
        <w:t xml:space="preserve">Tentativele și neglijența sunt sancționabile conform RJCE. </w:t>
      </w:r>
    </w:p>
    <w:bookmarkEnd w:id="60"/>
    <w:p w14:paraId="746A881B" w14:textId="77777777" w:rsidR="00054EAE" w:rsidRPr="008E2CAE" w:rsidRDefault="00054EAE" w:rsidP="00054EAE">
      <w:pPr>
        <w:spacing w:after="0" w:line="360" w:lineRule="auto"/>
        <w:jc w:val="center"/>
        <w:rPr>
          <w:rFonts w:ascii="Verdana" w:hAnsi="Verdana" w:cstheme="minorHAnsi"/>
        </w:rPr>
      </w:pPr>
    </w:p>
    <w:p w14:paraId="35F456F1" w14:textId="77777777" w:rsidR="00054EAE" w:rsidRPr="008E2CAE" w:rsidRDefault="00054EAE" w:rsidP="00054EAE">
      <w:pPr>
        <w:spacing w:after="0" w:line="360" w:lineRule="auto"/>
        <w:jc w:val="center"/>
        <w:rPr>
          <w:rFonts w:ascii="Verdana" w:hAnsi="Verdana" w:cstheme="minorHAnsi"/>
        </w:rPr>
      </w:pPr>
      <w:r>
        <w:rPr>
          <w:rFonts w:ascii="Verdana" w:hAnsi="Verdana"/>
        </w:rPr>
        <w:t>Articolul 7</w:t>
      </w:r>
    </w:p>
    <w:p w14:paraId="79B81B03" w14:textId="7DC95F01" w:rsidR="00054EAE" w:rsidRDefault="00054EAE" w:rsidP="00054EAE">
      <w:pPr>
        <w:spacing w:after="0" w:line="360" w:lineRule="auto"/>
        <w:jc w:val="center"/>
        <w:rPr>
          <w:rFonts w:ascii="Verdana" w:hAnsi="Verdana"/>
        </w:rPr>
      </w:pPr>
      <w:r>
        <w:rPr>
          <w:rFonts w:ascii="Verdana" w:hAnsi="Verdana"/>
        </w:rPr>
        <w:lastRenderedPageBreak/>
        <w:t>Monitorizarea, investigarea și decizia</w:t>
      </w:r>
    </w:p>
    <w:p w14:paraId="314E96FC" w14:textId="77777777" w:rsidR="00827E7D" w:rsidRPr="008E2CAE" w:rsidRDefault="00827E7D" w:rsidP="00054EAE">
      <w:pPr>
        <w:spacing w:after="0" w:line="360" w:lineRule="auto"/>
        <w:jc w:val="center"/>
        <w:rPr>
          <w:rFonts w:ascii="Verdana" w:hAnsi="Verdana"/>
        </w:rPr>
      </w:pPr>
    </w:p>
    <w:p w14:paraId="26F13C86" w14:textId="231F066B" w:rsidR="00054EAE" w:rsidRPr="008E2CAE" w:rsidRDefault="00054EAE" w:rsidP="00C525D6">
      <w:pPr>
        <w:pStyle w:val="ListParagraph"/>
        <w:numPr>
          <w:ilvl w:val="0"/>
          <w:numId w:val="62"/>
        </w:numPr>
        <w:ind w:left="709"/>
        <w:jc w:val="both"/>
        <w:rPr>
          <w:rFonts w:ascii="Verdana" w:hAnsi="Verdana"/>
        </w:rPr>
      </w:pPr>
      <w:r>
        <w:rPr>
          <w:rFonts w:ascii="Verdana" w:hAnsi="Verdana"/>
        </w:rPr>
        <w:t>Monitorizarea respectării dispozițiilor prezentei legi constituie responsabilitatea Autorității pentru Siguranță Alimentară și Economică (ASAE), în limitele competențelor sale respective, fără a se aduce atingere competenței poliției și a autorităților administrative.</w:t>
      </w:r>
    </w:p>
    <w:p w14:paraId="0FABB307" w14:textId="0A1F7518" w:rsidR="00054EAE" w:rsidRPr="00007109" w:rsidRDefault="00054EAE" w:rsidP="00C525D6">
      <w:pPr>
        <w:pStyle w:val="ListParagraph"/>
        <w:numPr>
          <w:ilvl w:val="0"/>
          <w:numId w:val="62"/>
        </w:numPr>
        <w:ind w:left="709"/>
        <w:jc w:val="both"/>
        <w:rPr>
          <w:rFonts w:ascii="Verdana" w:hAnsi="Verdana"/>
        </w:rPr>
      </w:pPr>
      <w:r>
        <w:rPr>
          <w:rFonts w:ascii="Verdana" w:hAnsi="Verdana"/>
        </w:rPr>
        <w:t>Este de competența ASA să investigheze cazurile referitoare la încălcările menționate la articolul 6 și să decidă cu privire la impunerea unei amenzi.</w:t>
      </w:r>
    </w:p>
    <w:p w14:paraId="4207FFB8" w14:textId="77777777" w:rsidR="008B4B7F" w:rsidRPr="003F6B93" w:rsidRDefault="008B4B7F" w:rsidP="008E2CAE">
      <w:pPr>
        <w:jc w:val="center"/>
        <w:rPr>
          <w:rFonts w:ascii="Verdana" w:hAnsi="Verdana"/>
        </w:rPr>
      </w:pPr>
    </w:p>
    <w:p w14:paraId="692CD72B" w14:textId="1CB18418" w:rsidR="008E2CAE" w:rsidRDefault="000600E7" w:rsidP="000600E7">
      <w:pPr>
        <w:pStyle w:val="Heading2"/>
        <w:numPr>
          <w:ilvl w:val="0"/>
          <w:numId w:val="0"/>
        </w:numPr>
        <w:tabs>
          <w:tab w:val="clear" w:pos="1701"/>
          <w:tab w:val="left" w:pos="1418"/>
        </w:tabs>
        <w:ind w:left="426"/>
      </w:pPr>
      <w:r>
        <w:t>Articolul 27</w:t>
      </w:r>
      <w:r>
        <w:br/>
        <w:t>Completare la Legea nr. 77/2019 din 2 septembrie 2019:</w:t>
      </w:r>
    </w:p>
    <w:p w14:paraId="23C307B6" w14:textId="77777777" w:rsidR="00827E7D" w:rsidRPr="00007109" w:rsidRDefault="00827E7D" w:rsidP="00007109">
      <w:pPr>
        <w:jc w:val="both"/>
        <w:rPr>
          <w:rFonts w:ascii="Verdana" w:hAnsi="Verdana"/>
        </w:rPr>
      </w:pPr>
    </w:p>
    <w:p w14:paraId="78478EEB" w14:textId="77777777" w:rsidR="008E2CAE" w:rsidRPr="00007109" w:rsidRDefault="008E2CAE" w:rsidP="00007109">
      <w:pPr>
        <w:jc w:val="both"/>
        <w:rPr>
          <w:rFonts w:ascii="Verdana" w:hAnsi="Verdana"/>
        </w:rPr>
      </w:pPr>
      <w:r>
        <w:rPr>
          <w:rFonts w:ascii="Verdana" w:hAnsi="Verdana"/>
        </w:rPr>
        <w:t xml:space="preserve">Articolul 7 litera (a) se adaugă la Legea nr. 77/2019 din 2 septembrie 2019: </w:t>
      </w:r>
    </w:p>
    <w:p w14:paraId="6C42C8B3" w14:textId="77777777" w:rsidR="008E2CAE" w:rsidRPr="008E2CAE" w:rsidRDefault="008E2CAE" w:rsidP="008E2CAE">
      <w:pPr>
        <w:spacing w:after="0" w:line="360" w:lineRule="auto"/>
        <w:jc w:val="center"/>
        <w:rPr>
          <w:rFonts w:ascii="Verdana" w:hAnsi="Verdana" w:cstheme="minorHAnsi"/>
        </w:rPr>
      </w:pPr>
    </w:p>
    <w:p w14:paraId="591A7AA1" w14:textId="77777777" w:rsidR="008E2CAE" w:rsidRPr="008E2CAE" w:rsidRDefault="008E2CAE" w:rsidP="008E2CAE">
      <w:pPr>
        <w:spacing w:after="0" w:line="360" w:lineRule="auto"/>
        <w:jc w:val="center"/>
        <w:rPr>
          <w:rFonts w:ascii="Verdana" w:hAnsi="Verdana" w:cstheme="minorHAnsi"/>
        </w:rPr>
      </w:pPr>
      <w:r>
        <w:rPr>
          <w:rFonts w:ascii="Verdana" w:hAnsi="Verdana"/>
        </w:rPr>
        <w:t>„Articolul 7 litera (a)</w:t>
      </w:r>
    </w:p>
    <w:p w14:paraId="67DF5936" w14:textId="77777777" w:rsidR="008E2CAE" w:rsidRPr="008E2CAE" w:rsidRDefault="008E2CAE" w:rsidP="008E2CAE">
      <w:pPr>
        <w:spacing w:after="0" w:line="360" w:lineRule="auto"/>
        <w:jc w:val="center"/>
        <w:rPr>
          <w:rFonts w:ascii="Verdana" w:hAnsi="Verdana" w:cstheme="minorHAnsi"/>
          <w:b/>
        </w:rPr>
      </w:pPr>
      <w:r>
        <w:rPr>
          <w:rFonts w:ascii="Verdana" w:hAnsi="Verdana"/>
          <w:b/>
        </w:rPr>
        <w:t>Veniturile din amenzi</w:t>
      </w:r>
    </w:p>
    <w:p w14:paraId="7E6E6DF1" w14:textId="77777777" w:rsidR="008E2CAE" w:rsidRPr="008E2CAE" w:rsidRDefault="008E2CAE" w:rsidP="008E2CAE">
      <w:pPr>
        <w:spacing w:after="0" w:line="360" w:lineRule="auto"/>
        <w:jc w:val="both"/>
        <w:rPr>
          <w:rFonts w:ascii="Verdana" w:hAnsi="Verdana" w:cstheme="minorHAnsi"/>
        </w:rPr>
      </w:pPr>
      <w:r>
        <w:rPr>
          <w:rFonts w:ascii="Verdana" w:hAnsi="Verdana"/>
        </w:rPr>
        <w:t>Veniturile din amenzi se alocă în conformitate cu RJCE.”</w:t>
      </w:r>
    </w:p>
    <w:p w14:paraId="2A5DA637" w14:textId="3065A7F9" w:rsidR="008E2CAE" w:rsidRDefault="008E2CAE" w:rsidP="008E2CAE"/>
    <w:p w14:paraId="46E9C03E" w14:textId="0F0B52EB" w:rsidR="00590C52" w:rsidRPr="00412FEF" w:rsidRDefault="00590C52" w:rsidP="00590C52">
      <w:pPr>
        <w:jc w:val="center"/>
        <w:rPr>
          <w:rFonts w:ascii="Verdana" w:hAnsi="Verdana" w:cstheme="minorHAnsi"/>
          <w:b/>
          <w:sz w:val="28"/>
          <w:szCs w:val="28"/>
        </w:rPr>
      </w:pPr>
      <w:r>
        <w:rPr>
          <w:rFonts w:ascii="Verdana" w:hAnsi="Verdana"/>
          <w:b/>
          <w:sz w:val="28"/>
        </w:rPr>
        <w:t>Capitolul XI</w:t>
      </w:r>
    </w:p>
    <w:p w14:paraId="4078BAD7" w14:textId="65125DFF" w:rsidR="00590C52" w:rsidRPr="00412FEF" w:rsidRDefault="00590C52" w:rsidP="00412FEF">
      <w:pPr>
        <w:jc w:val="center"/>
        <w:rPr>
          <w:rFonts w:ascii="Verdana" w:hAnsi="Verdana" w:cstheme="minorHAnsi"/>
          <w:b/>
        </w:rPr>
      </w:pPr>
      <w:r>
        <w:rPr>
          <w:rFonts w:ascii="Verdana" w:hAnsi="Verdana"/>
          <w:b/>
        </w:rPr>
        <w:t>Dispoziții suplimentare, tranzitorii și finale</w:t>
      </w:r>
    </w:p>
    <w:p w14:paraId="516113FA" w14:textId="77777777" w:rsidR="008E2CAE" w:rsidRPr="008E2CAE" w:rsidRDefault="008E2CAE" w:rsidP="008E2CAE"/>
    <w:p w14:paraId="5E44B2A4" w14:textId="20280901" w:rsidR="008E2CAE" w:rsidRPr="006A3393" w:rsidRDefault="00AC3F76" w:rsidP="00AC3F76">
      <w:pPr>
        <w:pStyle w:val="Heading2"/>
        <w:numPr>
          <w:ilvl w:val="0"/>
          <w:numId w:val="0"/>
        </w:numPr>
        <w:tabs>
          <w:tab w:val="clear" w:pos="1701"/>
          <w:tab w:val="left" w:pos="1560"/>
        </w:tabs>
        <w:ind w:left="426"/>
      </w:pPr>
      <w:r>
        <w:t>Articolul 28</w:t>
      </w:r>
      <w:r>
        <w:br/>
        <w:t>Dispoziție de abrogare</w:t>
      </w:r>
    </w:p>
    <w:p w14:paraId="11429E44" w14:textId="31E1C1C5" w:rsidR="008E2CAE" w:rsidRPr="008E2CAE" w:rsidRDefault="00590C52" w:rsidP="00007109">
      <w:pPr>
        <w:jc w:val="both"/>
        <w:rPr>
          <w:rFonts w:ascii="Verdana" w:hAnsi="Verdana"/>
        </w:rPr>
      </w:pPr>
      <w:r>
        <w:rPr>
          <w:rFonts w:ascii="Verdana" w:hAnsi="Verdana"/>
        </w:rPr>
        <w:t>Legea nr. 76/2019 din septembrie 2 se abrogă.</w:t>
      </w:r>
    </w:p>
    <w:p w14:paraId="43BE6334" w14:textId="5A32863C" w:rsidR="008E2CAE" w:rsidRPr="008E2CAE" w:rsidRDefault="008E2CAE" w:rsidP="00007109">
      <w:pPr>
        <w:jc w:val="both"/>
        <w:rPr>
          <w:rFonts w:ascii="Verdana" w:hAnsi="Verdana"/>
        </w:rPr>
      </w:pPr>
      <w:bookmarkStart w:id="61" w:name="_Hlk36038265"/>
    </w:p>
    <w:bookmarkEnd w:id="61"/>
    <w:p w14:paraId="0044BACA" w14:textId="5CB7690D" w:rsidR="0037079D" w:rsidRPr="0037079D" w:rsidRDefault="00A315EC" w:rsidP="00A315EC">
      <w:pPr>
        <w:pStyle w:val="Heading2"/>
        <w:numPr>
          <w:ilvl w:val="0"/>
          <w:numId w:val="0"/>
        </w:numPr>
        <w:tabs>
          <w:tab w:val="clear" w:pos="1701"/>
          <w:tab w:val="left" w:pos="1560"/>
        </w:tabs>
        <w:ind w:left="426"/>
      </w:pPr>
      <w:r>
        <w:t>Articolul 29</w:t>
      </w:r>
      <w:r>
        <w:br/>
        <w:t>Aplicarea subsidiară a Decretului-lege nr. 152-D/2017 din 11 decembrie 2017</w:t>
      </w:r>
    </w:p>
    <w:p w14:paraId="138F4285" w14:textId="75213671" w:rsidR="008E2CAE" w:rsidRPr="003F6B93" w:rsidRDefault="008E2CAE" w:rsidP="008E2CAE">
      <w:pPr>
        <w:jc w:val="both"/>
        <w:rPr>
          <w:rFonts w:ascii="Verdana" w:hAnsi="Verdana"/>
        </w:rPr>
      </w:pPr>
      <w:r>
        <w:rPr>
          <w:rFonts w:ascii="Verdana" w:hAnsi="Verdana"/>
        </w:rPr>
        <w:lastRenderedPageBreak/>
        <w:t>Pentru situațiile care nu sunt prevăzute în mod expres în prezentul decret-lege, Unilex se aplică în mod alternativ.</w:t>
      </w:r>
    </w:p>
    <w:p w14:paraId="180438A2" w14:textId="77777777" w:rsidR="008E2CAE" w:rsidRPr="00007109" w:rsidRDefault="008E2CAE" w:rsidP="00007109">
      <w:pPr>
        <w:jc w:val="both"/>
        <w:rPr>
          <w:rFonts w:ascii="Verdana" w:hAnsi="Verdana"/>
        </w:rPr>
      </w:pPr>
    </w:p>
    <w:p w14:paraId="0F3BF910" w14:textId="2FA11858" w:rsidR="00D573FE" w:rsidRDefault="00AC3F76" w:rsidP="00AC3F76">
      <w:pPr>
        <w:pStyle w:val="Heading2"/>
        <w:numPr>
          <w:ilvl w:val="0"/>
          <w:numId w:val="0"/>
        </w:numPr>
        <w:tabs>
          <w:tab w:val="clear" w:pos="1701"/>
          <w:tab w:val="left" w:pos="1418"/>
        </w:tabs>
        <w:ind w:left="426"/>
      </w:pPr>
      <w:r>
        <w:t>Articolul 30</w:t>
      </w:r>
      <w:r>
        <w:br/>
        <w:t>Sarcina de cooperare și prezentarea documentației</w:t>
      </w:r>
    </w:p>
    <w:p w14:paraId="1201E132" w14:textId="77777777" w:rsidR="0037079D" w:rsidRPr="0037079D" w:rsidRDefault="0037079D" w:rsidP="0037079D"/>
    <w:p w14:paraId="167E15F1" w14:textId="4CFE5D31" w:rsidR="001E4779" w:rsidRPr="001E4779" w:rsidRDefault="001E4779" w:rsidP="00C525D6">
      <w:pPr>
        <w:pStyle w:val="ListParagraph"/>
        <w:numPr>
          <w:ilvl w:val="0"/>
          <w:numId w:val="63"/>
        </w:numPr>
        <w:ind w:left="709"/>
        <w:jc w:val="both"/>
        <w:rPr>
          <w:rFonts w:ascii="Verdana" w:hAnsi="Verdana"/>
        </w:rPr>
      </w:pPr>
      <w:r>
        <w:rPr>
          <w:rFonts w:ascii="Verdana" w:hAnsi="Verdana"/>
        </w:rPr>
        <w:t>APA, I.P., DGAE, DGRM și organismele de monitorizare trebuie să coopereze între ele pentru a asigura aplicarea prezentului decret-lege, în special prin cooperare tehnică și prin schimbul de informații.</w:t>
      </w:r>
    </w:p>
    <w:p w14:paraId="7E1C832E" w14:textId="61023C9E" w:rsidR="001E4779" w:rsidRPr="001E4779" w:rsidRDefault="001E4779" w:rsidP="00C525D6">
      <w:pPr>
        <w:pStyle w:val="ListParagraph"/>
        <w:numPr>
          <w:ilvl w:val="0"/>
          <w:numId w:val="63"/>
        </w:numPr>
        <w:ind w:left="709"/>
        <w:jc w:val="both"/>
        <w:rPr>
          <w:rFonts w:ascii="Verdana" w:hAnsi="Verdana"/>
        </w:rPr>
      </w:pPr>
      <w:r>
        <w:rPr>
          <w:rFonts w:ascii="Verdana" w:hAnsi="Verdana"/>
        </w:rPr>
        <w:t>2 – Cooperarea prevăzută la alineatul precedent are ca scop asigurarea controlului și monitorizării integrate a activităților întreprinse în cadrul prezentului decret-lege, obligația de a coopera fiind extinsă la alte organisme publice ale părților interesate, în special la organismele competente ale regiunilor autonome.</w:t>
      </w:r>
    </w:p>
    <w:p w14:paraId="26E18A9A" w14:textId="5F54A302" w:rsidR="001E4779" w:rsidRPr="001E4779" w:rsidRDefault="001E4779" w:rsidP="00C525D6">
      <w:pPr>
        <w:pStyle w:val="ListParagraph"/>
        <w:numPr>
          <w:ilvl w:val="0"/>
          <w:numId w:val="63"/>
        </w:numPr>
        <w:ind w:left="709"/>
        <w:jc w:val="both"/>
        <w:rPr>
          <w:rFonts w:ascii="Verdana" w:hAnsi="Verdana"/>
        </w:rPr>
      </w:pPr>
      <w:r>
        <w:rPr>
          <w:rFonts w:ascii="Verdana" w:hAnsi="Verdana"/>
        </w:rPr>
        <w:t>Prezentarea documentației menționate în prezentul decret-lege care se află în posesia unor servicii sau organisme ale administrației publice poate fi exceptată și obținută prin intermediul Platformei de interoperabilitate a administrației publice în conformitate cu articolul 28-A din Decretul-lege nr. 135/99 din 22 aprilie 1999, în forma sa actuală, în cazul în care cetățenii sau operatorii economici își dau acordul cu privire la aceasta.</w:t>
      </w:r>
    </w:p>
    <w:p w14:paraId="1E683183" w14:textId="77777777" w:rsidR="008B4B7F" w:rsidRPr="003F6B93" w:rsidRDefault="008B4B7F" w:rsidP="003035F6">
      <w:pPr>
        <w:jc w:val="center"/>
        <w:rPr>
          <w:rFonts w:ascii="Verdana" w:hAnsi="Verdana"/>
        </w:rPr>
      </w:pPr>
    </w:p>
    <w:p w14:paraId="1E403387" w14:textId="517F0FA0" w:rsidR="008B4B7F" w:rsidRDefault="00AC3F76" w:rsidP="00AC3F76">
      <w:pPr>
        <w:pStyle w:val="Heading2"/>
        <w:numPr>
          <w:ilvl w:val="0"/>
          <w:numId w:val="0"/>
        </w:numPr>
        <w:tabs>
          <w:tab w:val="clear" w:pos="1701"/>
          <w:tab w:val="left" w:pos="1418"/>
        </w:tabs>
        <w:ind w:left="426"/>
      </w:pPr>
      <w:r>
        <w:t>Articolul 31</w:t>
      </w:r>
      <w:r>
        <w:br/>
        <w:t>Regiunile Autonome</w:t>
      </w:r>
    </w:p>
    <w:p w14:paraId="58156734" w14:textId="77777777" w:rsidR="0037079D" w:rsidRPr="0037079D" w:rsidRDefault="0037079D" w:rsidP="0037079D"/>
    <w:p w14:paraId="45480258" w14:textId="4D486621" w:rsidR="008B4B7F" w:rsidRPr="00875033" w:rsidRDefault="008B4B7F" w:rsidP="00C525D6">
      <w:pPr>
        <w:pStyle w:val="ListParagraph"/>
        <w:numPr>
          <w:ilvl w:val="0"/>
          <w:numId w:val="64"/>
        </w:numPr>
        <w:ind w:left="709"/>
        <w:jc w:val="both"/>
        <w:rPr>
          <w:rFonts w:ascii="Verdana" w:hAnsi="Verdana"/>
        </w:rPr>
      </w:pPr>
      <w:r>
        <w:rPr>
          <w:rFonts w:ascii="Verdana" w:hAnsi="Verdana"/>
        </w:rPr>
        <w:t>Prezentul decret-lege se aplică Regiunilor Autonome Azore și Madeira, fără a se aduce atingere adecvării sale la particularitățile regionale, în conformitate cu autonomia sa politică și administrativă, punerea sa în aplicare fiind datoria serviciilor și organismelor guvernelor regionale autonome respective cu atribuțiile și competențele care țin de domeniul de aplicare al gestionării deșeurilor, fără a se aduce atingere competențelor organismelor la nivel național.</w:t>
      </w:r>
    </w:p>
    <w:p w14:paraId="3387C8A0" w14:textId="6D82DF72" w:rsidR="008B4B7F" w:rsidRPr="00875033" w:rsidRDefault="008B4B7F" w:rsidP="00C525D6">
      <w:pPr>
        <w:pStyle w:val="ListParagraph"/>
        <w:numPr>
          <w:ilvl w:val="0"/>
          <w:numId w:val="64"/>
        </w:numPr>
        <w:ind w:left="709"/>
        <w:jc w:val="both"/>
        <w:rPr>
          <w:rFonts w:ascii="Verdana" w:hAnsi="Verdana"/>
        </w:rPr>
      </w:pPr>
      <w:r>
        <w:rPr>
          <w:rFonts w:ascii="Verdana" w:hAnsi="Verdana"/>
        </w:rPr>
        <w:t>Venituri din amenzi aplicate în regiunile autonome se alocă exclusiv ca venituri ale acestor regiuni.</w:t>
      </w:r>
    </w:p>
    <w:p w14:paraId="481EC9CD" w14:textId="77777777" w:rsidR="00667FE9" w:rsidRPr="003F6B93" w:rsidRDefault="00667FE9" w:rsidP="008B4B7F">
      <w:pPr>
        <w:jc w:val="both"/>
        <w:rPr>
          <w:rFonts w:ascii="Verdana" w:hAnsi="Verdana"/>
        </w:rPr>
      </w:pPr>
    </w:p>
    <w:p w14:paraId="284B6D7F" w14:textId="6ADFA1B8" w:rsidR="00667FE9" w:rsidRDefault="00AC3F76" w:rsidP="00AC3F76">
      <w:pPr>
        <w:pStyle w:val="Heading2"/>
        <w:numPr>
          <w:ilvl w:val="0"/>
          <w:numId w:val="0"/>
        </w:numPr>
        <w:tabs>
          <w:tab w:val="clear" w:pos="1701"/>
          <w:tab w:val="left" w:pos="1418"/>
        </w:tabs>
        <w:ind w:left="426"/>
      </w:pPr>
      <w:r>
        <w:t>Articolul 32</w:t>
      </w:r>
      <w:r>
        <w:br/>
        <w:t>Intrarea în vigoare și producția</w:t>
      </w:r>
    </w:p>
    <w:p w14:paraId="52CD741A" w14:textId="77777777" w:rsidR="0037079D" w:rsidRPr="0037079D" w:rsidRDefault="0037079D" w:rsidP="0037079D"/>
    <w:p w14:paraId="34CDD4A8" w14:textId="200B8CE5" w:rsidR="00DD3E8A" w:rsidRDefault="002A32BE" w:rsidP="00C525D6">
      <w:pPr>
        <w:pStyle w:val="ListParagraph"/>
        <w:numPr>
          <w:ilvl w:val="0"/>
          <w:numId w:val="65"/>
        </w:numPr>
        <w:ind w:left="709"/>
        <w:jc w:val="both"/>
        <w:rPr>
          <w:rFonts w:ascii="Verdana" w:hAnsi="Verdana"/>
        </w:rPr>
      </w:pPr>
      <w:r>
        <w:rPr>
          <w:rFonts w:ascii="Verdana" w:hAnsi="Verdana"/>
        </w:rPr>
        <w:t>Prezentul decret-lege intră în vigoare la 1 iulie 2021.</w:t>
      </w:r>
    </w:p>
    <w:p w14:paraId="3CC62673" w14:textId="7628EE87" w:rsidR="00DD3E8A" w:rsidRPr="00DD3E8A" w:rsidRDefault="00DD3E8A" w:rsidP="00C525D6">
      <w:pPr>
        <w:pStyle w:val="ListParagraph"/>
        <w:numPr>
          <w:ilvl w:val="0"/>
          <w:numId w:val="65"/>
        </w:numPr>
        <w:ind w:left="709"/>
        <w:jc w:val="both"/>
        <w:rPr>
          <w:rFonts w:ascii="Verdana" w:hAnsi="Verdana"/>
        </w:rPr>
      </w:pPr>
      <w:r>
        <w:rPr>
          <w:rFonts w:ascii="Verdana" w:hAnsi="Verdana"/>
        </w:rPr>
        <w:t>Fără a aduce atingere articolului 183 din Decretul-lege nr. 9/2021 din 29 ianuarie 2021, care a aprobat condițiile juridice ale infracțiunilor administrative economice, aceste dispoziții se aplică imediat în cazul infracțiunilor administrative prevăzute la articolul 21 alineatul (1) din prezentul decret-lege.</w:t>
      </w:r>
    </w:p>
    <w:p w14:paraId="50C301FD" w14:textId="18BDE172" w:rsidR="00DD3E8A" w:rsidRDefault="00DD3E8A" w:rsidP="00575347">
      <w:pPr>
        <w:jc w:val="both"/>
        <w:rPr>
          <w:rFonts w:ascii="Verdana" w:hAnsi="Verdana"/>
        </w:rPr>
      </w:pPr>
    </w:p>
    <w:p w14:paraId="1ACB74EF" w14:textId="77777777" w:rsidR="00575347" w:rsidRPr="00575347" w:rsidRDefault="00575347" w:rsidP="00575347">
      <w:pPr>
        <w:jc w:val="both"/>
        <w:rPr>
          <w:rFonts w:ascii="Verdana" w:hAnsi="Verdana"/>
        </w:rPr>
        <w:sectPr w:rsidR="00575347" w:rsidRPr="00575347">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pPr>
    </w:p>
    <w:p w14:paraId="1AA09983" w14:textId="240281D8" w:rsidR="00A172F1" w:rsidRPr="003F6B93" w:rsidRDefault="00A172F1" w:rsidP="00A172F1">
      <w:pPr>
        <w:jc w:val="both"/>
        <w:rPr>
          <w:rFonts w:ascii="Verdana" w:hAnsi="Verdana"/>
        </w:rPr>
      </w:pPr>
    </w:p>
    <w:p w14:paraId="0B29489E" w14:textId="2A7C1B94" w:rsidR="00875033" w:rsidRPr="00575347" w:rsidRDefault="000933C0" w:rsidP="00794353">
      <w:pPr>
        <w:pStyle w:val="Heading3"/>
      </w:pPr>
      <w:r>
        <w:br/>
      </w:r>
      <w:bookmarkStart w:id="62" w:name="_Ref63440905"/>
      <w:r>
        <w:t>Produsele din plastic de unică folosință menționate la articolul 2 alineatul (1)</w:t>
      </w:r>
      <w:bookmarkEnd w:id="62"/>
    </w:p>
    <w:p w14:paraId="43DD799A" w14:textId="77777777" w:rsidR="006418B1" w:rsidRPr="003F6B93" w:rsidRDefault="006418B1" w:rsidP="00575347">
      <w:pPr>
        <w:pStyle w:val="ListParagraph"/>
        <w:numPr>
          <w:ilvl w:val="0"/>
          <w:numId w:val="66"/>
        </w:numPr>
        <w:ind w:left="709"/>
        <w:jc w:val="both"/>
        <w:rPr>
          <w:rFonts w:ascii="Verdana" w:hAnsi="Verdana"/>
        </w:rPr>
      </w:pPr>
      <w:r>
        <w:rPr>
          <w:rFonts w:ascii="Verdana" w:hAnsi="Verdana"/>
        </w:rPr>
        <w:t xml:space="preserve">pahare pentru băuturi, inclusiv dopurile și capacele acestora; </w:t>
      </w:r>
    </w:p>
    <w:p w14:paraId="228ED85F" w14:textId="77777777" w:rsidR="006418B1" w:rsidRPr="003F6B93" w:rsidRDefault="006418B1" w:rsidP="00575347">
      <w:pPr>
        <w:pStyle w:val="ListParagraph"/>
        <w:numPr>
          <w:ilvl w:val="0"/>
          <w:numId w:val="66"/>
        </w:numPr>
        <w:ind w:left="709"/>
        <w:jc w:val="both"/>
        <w:rPr>
          <w:rFonts w:ascii="Verdana" w:hAnsi="Verdana"/>
        </w:rPr>
      </w:pPr>
      <w:r>
        <w:rPr>
          <w:rFonts w:ascii="Verdana" w:hAnsi="Verdana"/>
        </w:rPr>
        <w:t xml:space="preserve">recipiente pentru alimente, adică recipiente precum cutii, cu sau fără capac, utilizate pentru a conține produse alimentare care: </w:t>
      </w:r>
    </w:p>
    <w:p w14:paraId="5D0F7CAB" w14:textId="58578C70" w:rsidR="006418B1" w:rsidRPr="00875033" w:rsidRDefault="006418B1" w:rsidP="00575347">
      <w:pPr>
        <w:pStyle w:val="ListParagraph"/>
        <w:numPr>
          <w:ilvl w:val="0"/>
          <w:numId w:val="67"/>
        </w:numPr>
        <w:spacing w:line="240" w:lineRule="auto"/>
        <w:rPr>
          <w:rFonts w:ascii="Verdana" w:hAnsi="Verdana"/>
        </w:rPr>
      </w:pPr>
      <w:r>
        <w:rPr>
          <w:rFonts w:ascii="Verdana" w:hAnsi="Verdana"/>
        </w:rPr>
        <w:t xml:space="preserve">sunt destinate consumului imediat, fie pe loc, fie la pachet; </w:t>
      </w:r>
    </w:p>
    <w:p w14:paraId="362E82E4" w14:textId="58405378" w:rsidR="006418B1" w:rsidRPr="00875033" w:rsidRDefault="006418B1" w:rsidP="00575347">
      <w:pPr>
        <w:pStyle w:val="ListParagraph"/>
        <w:numPr>
          <w:ilvl w:val="0"/>
          <w:numId w:val="67"/>
        </w:numPr>
        <w:spacing w:line="240" w:lineRule="auto"/>
        <w:rPr>
          <w:rFonts w:ascii="Verdana" w:hAnsi="Verdana"/>
        </w:rPr>
      </w:pPr>
      <w:r>
        <w:rPr>
          <w:rFonts w:ascii="Verdana" w:hAnsi="Verdana"/>
        </w:rPr>
        <w:t xml:space="preserve">sunt de regulă consumate din recipient; și </w:t>
      </w:r>
    </w:p>
    <w:p w14:paraId="31602558" w14:textId="0788487C" w:rsidR="006418B1" w:rsidRPr="00875033" w:rsidRDefault="006418B1" w:rsidP="00575347">
      <w:pPr>
        <w:pStyle w:val="ListParagraph"/>
        <w:numPr>
          <w:ilvl w:val="0"/>
          <w:numId w:val="67"/>
        </w:numPr>
        <w:spacing w:line="240" w:lineRule="auto"/>
        <w:rPr>
          <w:rFonts w:ascii="Verdana" w:hAnsi="Verdana"/>
        </w:rPr>
      </w:pPr>
      <w:r>
        <w:rPr>
          <w:rFonts w:ascii="Verdana" w:hAnsi="Verdana"/>
        </w:rPr>
        <w:t>sunt gata de consum fără a necesita o pregătire suplimentară, precum gătirea, fierberea sau încălzirea,</w:t>
      </w:r>
    </w:p>
    <w:p w14:paraId="50856381" w14:textId="77777777" w:rsidR="006418B1" w:rsidRPr="003F6B93" w:rsidRDefault="006418B1" w:rsidP="00575347">
      <w:pPr>
        <w:pStyle w:val="ListParagraph"/>
        <w:ind w:left="709"/>
        <w:jc w:val="both"/>
        <w:rPr>
          <w:rFonts w:ascii="Verdana" w:hAnsi="Verdana"/>
        </w:rPr>
      </w:pPr>
      <w:r>
        <w:rPr>
          <w:rFonts w:ascii="Verdana" w:hAnsi="Verdana"/>
        </w:rPr>
        <w:t>inclusiv recipiente pentru produse alimentare utilizate pentru meniuri de tip fast food sau alte meniuri gata pentru consumul imediat, cu excepția recipientelor pentru băuturi, a farfuriilor, a pungilor și a foliilor din material flexibil care conțin produsele alimentare;</w:t>
      </w:r>
    </w:p>
    <w:p w14:paraId="28473118" w14:textId="4C13086B"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bețișoare pentru urechi, cu excepția cazului în care acestea intră în domeniul de aplicare al Decretului-lege nr. 145/2009 din 17 iunie 2009, în forma sa actuală; </w:t>
      </w:r>
    </w:p>
    <w:p w14:paraId="4E332868" w14:textId="77777777"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tacâmuri (furculițe, cuțite, linguri, bețișoare chinezești); </w:t>
      </w:r>
    </w:p>
    <w:p w14:paraId="1BA1EA96" w14:textId="77777777"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farfurii; </w:t>
      </w:r>
    </w:p>
    <w:p w14:paraId="2DB136F0" w14:textId="7FEE640F"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paie pentru băuturi, cu excepția cazului în care acestea intră în domeniul de aplicare al Decretului-lege nr. 145/2009 din 17 iunie 2009, în forma sa actuală; </w:t>
      </w:r>
    </w:p>
    <w:p w14:paraId="029562BE" w14:textId="77777777"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agitatoare pentru băuturi; </w:t>
      </w:r>
    </w:p>
    <w:p w14:paraId="37F9C66D" w14:textId="77777777" w:rsidR="007879A9"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bețe care se atașează baloanelor sau care sprijină baloane, cu excepția baloanelor de uz industrial sau pentru alte utilizări și aplicații profesionale, care nu sunt distribuite consumatorilor, inclusiv mecanismele acestor bețe;</w:t>
      </w:r>
    </w:p>
    <w:p w14:paraId="3BD5CD2C" w14:textId="77777777" w:rsidR="00502353" w:rsidRPr="003F6B93" w:rsidRDefault="00F957CC" w:rsidP="00575347">
      <w:pPr>
        <w:pStyle w:val="ListParagraph"/>
        <w:numPr>
          <w:ilvl w:val="0"/>
          <w:numId w:val="66"/>
        </w:numPr>
        <w:tabs>
          <w:tab w:val="left" w:pos="993"/>
        </w:tabs>
        <w:ind w:left="709"/>
        <w:jc w:val="both"/>
        <w:rPr>
          <w:rFonts w:ascii="Verdana" w:hAnsi="Verdana"/>
        </w:rPr>
      </w:pPr>
      <w:r>
        <w:rPr>
          <w:rFonts w:ascii="Verdana" w:hAnsi="Verdana"/>
        </w:rPr>
        <w:t xml:space="preserve">recipiente pentru alimente, fabricate din polistiren expandat, cum ar fi cutiile cu sau fără capac, utilizate pentru a conține produse alimentare care: </w:t>
      </w:r>
    </w:p>
    <w:p w14:paraId="134BCB71" w14:textId="66E95134" w:rsidR="00FD6DE7" w:rsidRPr="003F6B93" w:rsidRDefault="00F957CC" w:rsidP="00575347">
      <w:pPr>
        <w:pStyle w:val="ListParagraph"/>
        <w:numPr>
          <w:ilvl w:val="0"/>
          <w:numId w:val="68"/>
        </w:numPr>
        <w:spacing w:line="240" w:lineRule="auto"/>
        <w:rPr>
          <w:rFonts w:ascii="Verdana" w:hAnsi="Verdana"/>
        </w:rPr>
      </w:pPr>
      <w:r>
        <w:rPr>
          <w:rFonts w:ascii="Verdana" w:hAnsi="Verdana"/>
        </w:rPr>
        <w:t xml:space="preserve">sunt destinate consumului imediat, fie pe loc, fie la pachet; </w:t>
      </w:r>
    </w:p>
    <w:p w14:paraId="6CE4B79B" w14:textId="1FDD2417" w:rsidR="00FD6DE7" w:rsidRPr="003F6B93" w:rsidRDefault="00F957CC" w:rsidP="00575347">
      <w:pPr>
        <w:pStyle w:val="ListParagraph"/>
        <w:numPr>
          <w:ilvl w:val="0"/>
          <w:numId w:val="68"/>
        </w:numPr>
        <w:spacing w:line="240" w:lineRule="auto"/>
        <w:rPr>
          <w:rFonts w:ascii="Verdana" w:hAnsi="Verdana"/>
        </w:rPr>
      </w:pPr>
      <w:r>
        <w:rPr>
          <w:rFonts w:ascii="Verdana" w:hAnsi="Verdana"/>
        </w:rPr>
        <w:t xml:space="preserve">sunt de regulă consumate din recipient; și </w:t>
      </w:r>
    </w:p>
    <w:p w14:paraId="3B4977B3" w14:textId="01BE44ED" w:rsidR="00FD6DE7" w:rsidRPr="003F6B93" w:rsidRDefault="00F957CC" w:rsidP="00575347">
      <w:pPr>
        <w:pStyle w:val="ListParagraph"/>
        <w:numPr>
          <w:ilvl w:val="0"/>
          <w:numId w:val="68"/>
        </w:numPr>
        <w:spacing w:line="240" w:lineRule="auto"/>
        <w:rPr>
          <w:rFonts w:ascii="Verdana" w:hAnsi="Verdana"/>
        </w:rPr>
      </w:pPr>
      <w:r>
        <w:rPr>
          <w:rFonts w:ascii="Verdana" w:hAnsi="Verdana"/>
        </w:rPr>
        <w:t xml:space="preserve">sunt gata de consum fără a necesita o pregătire suplimentară, precum gătirea, fierberea sau încălzirea, </w:t>
      </w:r>
    </w:p>
    <w:p w14:paraId="574EB5F8" w14:textId="0C81E672" w:rsidR="00502353" w:rsidRPr="003F6B93" w:rsidRDefault="00F957CC" w:rsidP="00575347">
      <w:pPr>
        <w:pStyle w:val="ListParagraph"/>
        <w:tabs>
          <w:tab w:val="left" w:pos="993"/>
        </w:tabs>
        <w:ind w:left="709"/>
        <w:jc w:val="both"/>
        <w:rPr>
          <w:rFonts w:ascii="Verdana" w:hAnsi="Verdana"/>
        </w:rPr>
      </w:pPr>
      <w:r>
        <w:rPr>
          <w:rFonts w:ascii="Verdana" w:hAnsi="Verdana"/>
        </w:rPr>
        <w:t xml:space="preserve">inclusiv recipiente pentru alimente utilizate pentru meniuri de tip fast food sau alte meniuri gata pentru consum imediat, cu excepția recipientelor pentru băuturi, a farfuriilor, a pachetelor și a foliilor din material flexibil care conțin produsele alimentare; </w:t>
      </w:r>
    </w:p>
    <w:p w14:paraId="391C3ED9" w14:textId="77777777" w:rsidR="00502353" w:rsidRPr="003F6B93" w:rsidRDefault="00F957CC" w:rsidP="00575347">
      <w:pPr>
        <w:pStyle w:val="ListParagraph"/>
        <w:numPr>
          <w:ilvl w:val="0"/>
          <w:numId w:val="66"/>
        </w:numPr>
        <w:tabs>
          <w:tab w:val="left" w:pos="993"/>
        </w:tabs>
        <w:ind w:left="709"/>
        <w:jc w:val="both"/>
        <w:rPr>
          <w:rFonts w:ascii="Verdana" w:hAnsi="Verdana"/>
        </w:rPr>
      </w:pPr>
      <w:r>
        <w:rPr>
          <w:rFonts w:ascii="Verdana" w:hAnsi="Verdana"/>
        </w:rPr>
        <w:lastRenderedPageBreak/>
        <w:t xml:space="preserve">recipiente pentru băuturi fabricate din polistiren expandat, inclusiv dopurile și capacele acestora; </w:t>
      </w:r>
    </w:p>
    <w:p w14:paraId="11679328" w14:textId="356AA442" w:rsidR="00F957CC" w:rsidRPr="003F6B93" w:rsidRDefault="00F957CC" w:rsidP="00575347">
      <w:pPr>
        <w:pStyle w:val="ListParagraph"/>
        <w:numPr>
          <w:ilvl w:val="0"/>
          <w:numId w:val="66"/>
        </w:numPr>
        <w:tabs>
          <w:tab w:val="left" w:pos="993"/>
        </w:tabs>
        <w:ind w:left="709"/>
        <w:jc w:val="both"/>
        <w:rPr>
          <w:rFonts w:ascii="Verdana" w:hAnsi="Verdana"/>
        </w:rPr>
      </w:pPr>
      <w:r>
        <w:rPr>
          <w:rFonts w:ascii="Verdana" w:hAnsi="Verdana"/>
        </w:rPr>
        <w:t>pahare pentru băuturi fabricate din polistiren expandat, inclusiv capacele acestora;</w:t>
      </w:r>
    </w:p>
    <w:p w14:paraId="58289D5C"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 xml:space="preserve">recipiente pentru băuturi cu o capacitate de până la trei litri, și anume recipiente utilizate pentru a conține lichid, cum ar fi sticlele pentru băuturi, inclusiv dopurile și capacele și ambalajele de băuturi compozite inclusiv dopurile și capacele acestora, dar nu și: </w:t>
      </w:r>
    </w:p>
    <w:p w14:paraId="42BC013C" w14:textId="11D5E5C8" w:rsidR="00FD6DE7" w:rsidRPr="003F6B93" w:rsidRDefault="00FD6DE7" w:rsidP="00575347">
      <w:pPr>
        <w:pStyle w:val="ListParagraph"/>
        <w:numPr>
          <w:ilvl w:val="0"/>
          <w:numId w:val="69"/>
        </w:numPr>
        <w:spacing w:line="240" w:lineRule="auto"/>
        <w:rPr>
          <w:rFonts w:ascii="Verdana" w:hAnsi="Verdana"/>
        </w:rPr>
      </w:pPr>
      <w:r>
        <w:rPr>
          <w:rFonts w:ascii="Verdana" w:hAnsi="Verdana"/>
        </w:rPr>
        <w:t xml:space="preserve">recipientele din sticlă sau metal cu dopuri și capace din plastic; </w:t>
      </w:r>
    </w:p>
    <w:p w14:paraId="6E7263C6" w14:textId="6B820680" w:rsidR="00FD6DE7" w:rsidRPr="003F6B93" w:rsidRDefault="00FD6DE7" w:rsidP="00575347">
      <w:pPr>
        <w:pStyle w:val="ListParagraph"/>
        <w:numPr>
          <w:ilvl w:val="0"/>
          <w:numId w:val="69"/>
        </w:numPr>
        <w:spacing w:line="240" w:lineRule="auto"/>
        <w:rPr>
          <w:rFonts w:ascii="Verdana" w:hAnsi="Verdana"/>
        </w:rPr>
      </w:pPr>
      <w:r>
        <w:rPr>
          <w:rFonts w:ascii="Verdana" w:hAnsi="Verdana"/>
        </w:rPr>
        <w:t>recipientele pentru băuturi destinate și utilizate pentru alimente destinate unor scopuri medicale speciale, astfel cum sunt definite la articolul 2 litera (g) din Regulamentul (UE) nr. 609/2013 al Parlamentului European și al Consiliului (3), care sunt în formă lichidă;</w:t>
      </w:r>
    </w:p>
    <w:p w14:paraId="70363A60"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 xml:space="preserve">absorbante, tampoane igienice și aplicatoare de tampoane; </w:t>
      </w:r>
    </w:p>
    <w:p w14:paraId="4FE8461D"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 xml:space="preserve">șervețele umede, și anume șervețele preumezite de îngrijire personală și de uz casnic; </w:t>
      </w:r>
    </w:p>
    <w:p w14:paraId="027317AB"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 xml:space="preserve">produse din tutun cu filtre și filtre comercializate pentru a fi utilizate în combinație cu produse din tutun; </w:t>
      </w:r>
    </w:p>
    <w:p w14:paraId="45459176" w14:textId="2227CC2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pachete și folii din material flexibil care conțin produse alimentare destinate consumului direct din pachet sau folie fără preparare ulterioară;</w:t>
      </w:r>
    </w:p>
    <w:p w14:paraId="6BCFB3EE" w14:textId="7C3E78E1"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pungi de transport din plastic subțire;</w:t>
      </w:r>
    </w:p>
    <w:p w14:paraId="289B47C5" w14:textId="50B62608"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baloane, cu excepția baloanelor de uz industrial sau pentru alte utilizări și aplicații profesionale, care nu sunt distribuite consumatorilor;</w:t>
      </w:r>
    </w:p>
    <w:bookmarkEnd w:id="0"/>
    <w:p w14:paraId="199D7A21" w14:textId="77777777" w:rsidR="00092BC2" w:rsidRPr="00B73AFF" w:rsidRDefault="00092BC2" w:rsidP="00092BC2">
      <w:pPr>
        <w:rPr>
          <w:rFonts w:ascii="Verdana" w:hAnsi="Verdana"/>
        </w:rPr>
      </w:pPr>
    </w:p>
    <w:sectPr w:rsidR="00092BC2" w:rsidRPr="00B73AF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C9DFC" w14:textId="77777777" w:rsidR="003762ED" w:rsidRDefault="003762ED" w:rsidP="007879A9">
      <w:pPr>
        <w:spacing w:after="0" w:line="240" w:lineRule="auto"/>
      </w:pPr>
      <w:r>
        <w:separator/>
      </w:r>
    </w:p>
  </w:endnote>
  <w:endnote w:type="continuationSeparator" w:id="0">
    <w:p w14:paraId="2F875B55" w14:textId="77777777" w:rsidR="003762ED" w:rsidRDefault="003762ED" w:rsidP="0078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5C216" w14:textId="77777777" w:rsidR="00D4270E" w:rsidRDefault="00D42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105A1" w14:textId="66925990" w:rsidR="00D4270E" w:rsidRDefault="00D4270E">
    <w:pPr>
      <w:pStyle w:val="Footer"/>
    </w:pPr>
    <w:r>
      <w:t xml:space="preserve">Versiunea </w:t>
    </w:r>
    <w:r>
      <w:t>din 15.3.2021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84A1F" w14:textId="77777777" w:rsidR="00D4270E" w:rsidRDefault="00D42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9BDB2" w14:textId="77777777" w:rsidR="003762ED" w:rsidRDefault="003762ED" w:rsidP="007879A9">
      <w:pPr>
        <w:spacing w:after="0" w:line="240" w:lineRule="auto"/>
      </w:pPr>
      <w:r>
        <w:separator/>
      </w:r>
    </w:p>
  </w:footnote>
  <w:footnote w:type="continuationSeparator" w:id="0">
    <w:p w14:paraId="4759470B" w14:textId="77777777" w:rsidR="003762ED" w:rsidRDefault="003762ED" w:rsidP="00787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7344D" w14:textId="77777777" w:rsidR="00D4270E" w:rsidRDefault="00D42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90618" w14:textId="203BD1E5" w:rsidR="00D4270E" w:rsidRPr="00C82E2D" w:rsidRDefault="00D4270E" w:rsidP="00C82E2D">
    <w:pPr>
      <w:tabs>
        <w:tab w:val="right" w:pos="7655"/>
      </w:tabs>
      <w:spacing w:after="360"/>
      <w:ind w:firstLine="993"/>
      <w:jc w:val="center"/>
      <w:rPr>
        <w:rFonts w:ascii="Palatino" w:eastAsia="Times New Roman" w:hAnsi="Palatino" w:cs="Times New Roman"/>
        <w:sz w:val="32"/>
        <w:szCs w:val="32"/>
      </w:rPr>
    </w:pPr>
    <w:r>
      <w:rPr>
        <w:rFonts w:ascii="Times New Roman" w:hAnsi="Times New Roman"/>
        <w:noProof/>
        <w:sz w:val="24"/>
      </w:rPr>
      <w:drawing>
        <wp:inline distT="0" distB="0" distL="0" distR="0" wp14:anchorId="1210180C" wp14:editId="0E774AB8">
          <wp:extent cx="409575" cy="409575"/>
          <wp:effectExtent l="0" t="0" r="9525" b="9525"/>
          <wp:docPr id="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34BB9339" w14:textId="77777777" w:rsidR="00D4270E" w:rsidRPr="00C82E2D" w:rsidRDefault="00D4270E" w:rsidP="00C82E2D">
    <w:pPr>
      <w:tabs>
        <w:tab w:val="right" w:pos="7655"/>
      </w:tabs>
      <w:spacing w:after="360" w:line="240" w:lineRule="auto"/>
      <w:ind w:firstLine="993"/>
      <w:jc w:val="both"/>
      <w:rPr>
        <w:rFonts w:ascii="Palatino" w:eastAsia="Times New Roman" w:hAnsi="Palatino" w:cs="Times New Roman"/>
        <w:sz w:val="32"/>
        <w:szCs w:val="32"/>
      </w:rPr>
    </w:pPr>
    <w:r>
      <w:rPr>
        <w:rFonts w:ascii="Palatino" w:hAnsi="Palatino"/>
        <w:sz w:val="32"/>
      </w:rPr>
      <w:t xml:space="preserve"> </w:t>
    </w:r>
    <w:r>
      <w:rPr>
        <w:rFonts w:ascii="Palatino" w:hAnsi="Palatino"/>
        <w:sz w:val="32"/>
      </w:rPr>
      <w:t>Ministrul</w:t>
    </w:r>
    <w:r>
      <w:rPr>
        <w:rFonts w:ascii="Times New Roman" w:hAnsi="Times New Roman"/>
        <w:sz w:val="32"/>
        <w:u w:val="dotted"/>
      </w:rPr>
      <w:tab/>
    </w:r>
  </w:p>
  <w:p w14:paraId="1B0BB6A5" w14:textId="77777777" w:rsidR="00D4270E" w:rsidRPr="00C82E2D" w:rsidRDefault="00D4270E" w:rsidP="00C82E2D">
    <w:pPr>
      <w:tabs>
        <w:tab w:val="center" w:pos="4252"/>
        <w:tab w:val="left" w:pos="6210"/>
      </w:tabs>
      <w:spacing w:before="120" w:after="120" w:line="240" w:lineRule="auto"/>
      <w:rPr>
        <w:rFonts w:ascii="Cambria" w:eastAsia="Times New Roman" w:hAnsi="Cambria" w:cs="Times New Roman"/>
        <w:sz w:val="32"/>
        <w:szCs w:val="32"/>
      </w:rPr>
    </w:pPr>
    <w:r>
      <w:rPr>
        <w:rFonts w:ascii="Times New Roman" w:hAnsi="Times New Roman"/>
        <w:sz w:val="32"/>
      </w:rPr>
      <w:tab/>
    </w:r>
    <w:r w:rsidR="003762ED">
      <w:rPr>
        <w:rFonts w:ascii="Cambria" w:hAnsi="Cambria"/>
      </w:rPr>
      <w:pict w14:anchorId="6C2C0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5pt;height:16.1pt">
          <v:imagedata r:id="rId2" o:title=""/>
        </v:shape>
      </w:pict>
    </w:r>
    <w:r>
      <w:rPr>
        <w:rFonts w:ascii="Times New Roman" w:hAnsi="Times New Roman"/>
        <w:sz w:val="32"/>
      </w:rPr>
      <w:tab/>
    </w:r>
  </w:p>
  <w:p w14:paraId="2B6A8F9D" w14:textId="77777777" w:rsidR="00D4270E" w:rsidRPr="00C82E2D" w:rsidRDefault="00D4270E" w:rsidP="00C82E2D">
    <w:pPr>
      <w:tabs>
        <w:tab w:val="left" w:pos="4678"/>
        <w:tab w:val="left" w:pos="6237"/>
      </w:tabs>
      <w:spacing w:after="0" w:line="240" w:lineRule="auto"/>
      <w:ind w:firstLine="2410"/>
      <w:jc w:val="both"/>
      <w:rPr>
        <w:rFonts w:ascii="Palatino" w:eastAsia="Times New Roman" w:hAnsi="Palatino" w:cs="Times New Roman"/>
        <w:sz w:val="24"/>
        <w:szCs w:val="24"/>
        <w:lang w:eastAsia="pt-PT"/>
      </w:rPr>
    </w:pPr>
  </w:p>
  <w:p w14:paraId="3214524D" w14:textId="77777777" w:rsidR="00D4270E" w:rsidRPr="00C82E2D" w:rsidRDefault="00D4270E" w:rsidP="00C82E2D">
    <w:pPr>
      <w:tabs>
        <w:tab w:val="left" w:pos="4678"/>
        <w:tab w:val="left" w:pos="6237"/>
      </w:tabs>
      <w:spacing w:after="0" w:line="240" w:lineRule="auto"/>
      <w:ind w:firstLine="2410"/>
      <w:jc w:val="both"/>
      <w:rPr>
        <w:rFonts w:ascii="Cambria" w:eastAsia="Times New Roman" w:hAnsi="Cambria" w:cs="Times New Roman"/>
        <w:sz w:val="32"/>
        <w:szCs w:val="32"/>
      </w:rPr>
    </w:pPr>
    <w:r>
      <w:rPr>
        <w:rFonts w:ascii="Palatino" w:hAnsi="Palatino"/>
        <w:sz w:val="24"/>
      </w:rPr>
      <w:t xml:space="preserve">Decretul </w:t>
    </w:r>
    <w:r>
      <w:rPr>
        <w:rFonts w:ascii="Times New Roman" w:hAnsi="Times New Roman"/>
        <w:sz w:val="32"/>
        <w:u w:val="dotted"/>
        <w:vertAlign w:val="subscript"/>
      </w:rPr>
      <w:tab/>
    </w:r>
    <w:r>
      <w:rPr>
        <w:rFonts w:ascii="Palatino" w:hAnsi="Palatino"/>
        <w:sz w:val="24"/>
      </w:rPr>
      <w:t xml:space="preserve"> nr.</w:t>
    </w:r>
    <w:r>
      <w:rPr>
        <w:rFonts w:ascii="Arial" w:hAnsi="Arial"/>
        <w:sz w:val="32"/>
      </w:rPr>
      <w:t xml:space="preserve"> </w:t>
    </w:r>
    <w:r>
      <w:rPr>
        <w:rFonts w:ascii="Times New Roman" w:hAnsi="Times New Roman"/>
        <w:sz w:val="32"/>
        <w:u w:val="dotted"/>
        <w:vertAlign w:val="subscript"/>
      </w:rPr>
      <w:tab/>
    </w:r>
  </w:p>
  <w:p w14:paraId="66BF1573" w14:textId="50A62CC3" w:rsidR="00D4270E" w:rsidRDefault="00D4270E" w:rsidP="007879A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F8E7A" w14:textId="77777777" w:rsidR="00D4270E" w:rsidRDefault="00D42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04A7"/>
    <w:multiLevelType w:val="hybridMultilevel"/>
    <w:tmpl w:val="41CA431A"/>
    <w:lvl w:ilvl="0" w:tplc="2B4682E0">
      <w:start w:val="1"/>
      <w:numFmt w:val="decimal"/>
      <w:lvlText w:val="%1 -"/>
      <w:lvlJc w:val="left"/>
      <w:pPr>
        <w:ind w:left="720" w:hanging="360"/>
      </w:pPr>
      <w:rPr>
        <w:rFonts w:hint="default"/>
      </w:rPr>
    </w:lvl>
    <w:lvl w:ilvl="1" w:tplc="4774ADE4">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2232881"/>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4183190"/>
    <w:multiLevelType w:val="hybridMultilevel"/>
    <w:tmpl w:val="D8A833BC"/>
    <w:lvl w:ilvl="0" w:tplc="1348FCFE">
      <w:start w:val="1"/>
      <w:numFmt w:val="lowerLetter"/>
      <w:lvlText w:val="%1)"/>
      <w:lvlJc w:val="left"/>
      <w:pPr>
        <w:ind w:left="720" w:hanging="360"/>
      </w:pPr>
      <w:rPr>
        <w:rFonts w:hint="default"/>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 w15:restartNumberingAfterBreak="0">
    <w:nsid w:val="08F84C74"/>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9693BF9"/>
    <w:multiLevelType w:val="multilevel"/>
    <w:tmpl w:val="CD70D7A0"/>
    <w:lvl w:ilvl="0">
      <w:start w:val="1"/>
      <w:numFmt w:val="decimal"/>
      <w:pStyle w:val="Chapitre"/>
      <w:suff w:val="nothing"/>
      <w:lvlText w:val="Chapitre %1"/>
      <w:lvlJc w:val="left"/>
      <w:pPr>
        <w:ind w:left="360" w:hanging="360"/>
      </w:pPr>
      <w:rPr>
        <w:rFonts w:ascii="Verdana" w:hAnsi="Verdana" w:hint="default"/>
        <w:b/>
        <w:i w:val="0"/>
        <w:sz w:val="20"/>
      </w:rPr>
    </w:lvl>
    <w:lvl w:ilvl="1">
      <w:start w:val="1"/>
      <w:numFmt w:val="decimal"/>
      <w:pStyle w:val="Section"/>
      <w:suff w:val="nothing"/>
      <w:lvlText w:val="Section %2"/>
      <w:lvlJc w:val="left"/>
      <w:pPr>
        <w:ind w:left="3970" w:firstLine="0"/>
      </w:pPr>
      <w:rPr>
        <w:rFonts w:ascii="Verdana" w:hAnsi="Verdana" w:hint="default"/>
        <w:b/>
        <w:i w:val="0"/>
        <w:sz w:val="20"/>
      </w:rPr>
    </w:lvl>
    <w:lvl w:ilvl="2">
      <w:start w:val="1"/>
      <w:numFmt w:val="decimal"/>
      <w:pStyle w:val="Sous-section"/>
      <w:suff w:val="nothing"/>
      <w:lvlText w:val="Sous-section %3"/>
      <w:lvlJc w:val="left"/>
      <w:pPr>
        <w:ind w:left="0" w:firstLine="0"/>
      </w:pPr>
      <w:rPr>
        <w:rFonts w:ascii="Verdana" w:hAnsi="Verdana" w:hint="default"/>
        <w:b/>
        <w:i w:val="0"/>
        <w:sz w:val="20"/>
      </w:rPr>
    </w:lvl>
    <w:lvl w:ilvl="3">
      <w:start w:val="1"/>
      <w:numFmt w:val="decimal"/>
      <w:lvlRestart w:val="0"/>
      <w:pStyle w:val="Article"/>
      <w:suff w:val="nothing"/>
      <w:lvlText w:val="Art. %4"/>
      <w:lvlJc w:val="left"/>
      <w:pPr>
        <w:ind w:left="494" w:firstLine="357"/>
      </w:pPr>
      <w:rPr>
        <w:rFonts w:ascii="Verdana" w:hAnsi="Verdana" w:hint="default"/>
        <w:b/>
        <w:i w:val="0"/>
        <w:sz w:val="20"/>
      </w:rPr>
    </w:lvl>
    <w:lvl w:ilvl="4">
      <w:start w:val="1"/>
      <w:numFmt w:val="decimal"/>
      <w:pStyle w:val="Liste1"/>
      <w:suff w:val="space"/>
      <w:lvlText w:val="(%5)"/>
      <w:lvlJc w:val="left"/>
      <w:pPr>
        <w:ind w:left="0" w:firstLine="357"/>
      </w:pPr>
      <w:rPr>
        <w:rFonts w:ascii="Verdana" w:hAnsi="Verdana" w:hint="default"/>
        <w:sz w:val="20"/>
      </w:rPr>
    </w:lvl>
    <w:lvl w:ilvl="5">
      <w:start w:val="1"/>
      <w:numFmt w:val="decimal"/>
      <w:pStyle w:val="Liste10"/>
      <w:suff w:val="space"/>
      <w:lvlText w:val="%6."/>
      <w:lvlJc w:val="left"/>
      <w:pPr>
        <w:ind w:left="964" w:hanging="255"/>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Listea"/>
      <w:lvlText w:val="%7)"/>
      <w:lvlJc w:val="left"/>
      <w:pPr>
        <w:ind w:left="1276" w:hanging="255"/>
      </w:pPr>
    </w:lvl>
    <w:lvl w:ilvl="7">
      <w:start w:val="1"/>
      <w:numFmt w:val="decimal"/>
      <w:pStyle w:val="Numerotation1"/>
      <w:lvlText w:val="%8."/>
      <w:lvlJc w:val="left"/>
      <w:pPr>
        <w:ind w:left="726" w:hanging="369"/>
      </w:pPr>
      <w:rPr>
        <w:rFonts w:ascii="Verdana" w:hAnsi="Verdana" w:hint="default"/>
        <w:sz w:val="20"/>
      </w:rPr>
    </w:lvl>
    <w:lvl w:ilvl="8">
      <w:start w:val="1"/>
      <w:numFmt w:val="lowerLetter"/>
      <w:pStyle w:val="Numerotationa"/>
      <w:lvlText w:val="%9)"/>
      <w:lvlJc w:val="left"/>
      <w:pPr>
        <w:tabs>
          <w:tab w:val="num" w:pos="1219"/>
        </w:tabs>
        <w:ind w:left="1219" w:hanging="36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5" w15:restartNumberingAfterBreak="0">
    <w:nsid w:val="0AC00B75"/>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EBD274A"/>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0F514703"/>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0FE15EFC"/>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0FE31CC5"/>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5E812E6"/>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6C66415"/>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17F54B4B"/>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13" w15:restartNumberingAfterBreak="0">
    <w:nsid w:val="1AF86172"/>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930894"/>
    <w:multiLevelType w:val="hybridMultilevel"/>
    <w:tmpl w:val="E7D096DE"/>
    <w:lvl w:ilvl="0" w:tplc="2B4682E0">
      <w:start w:val="1"/>
      <w:numFmt w:val="decimal"/>
      <w:lvlText w:val="%1 -"/>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1F0125F7"/>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1171F0D"/>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3B33B48"/>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18" w15:restartNumberingAfterBreak="0">
    <w:nsid w:val="28E20FF0"/>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0B25800"/>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31C05378"/>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33CA0EB8"/>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355650C8"/>
    <w:multiLevelType w:val="hybridMultilevel"/>
    <w:tmpl w:val="41CA431A"/>
    <w:lvl w:ilvl="0" w:tplc="2B4682E0">
      <w:start w:val="1"/>
      <w:numFmt w:val="decimal"/>
      <w:lvlText w:val="%1 -"/>
      <w:lvlJc w:val="left"/>
      <w:pPr>
        <w:ind w:left="720" w:hanging="360"/>
      </w:pPr>
      <w:rPr>
        <w:rFonts w:hint="default"/>
      </w:rPr>
    </w:lvl>
    <w:lvl w:ilvl="1" w:tplc="4774ADE4">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362A1B50"/>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3697716C"/>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9E73B2"/>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393C7C6A"/>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3DBA4468"/>
    <w:multiLevelType w:val="hybridMultilevel"/>
    <w:tmpl w:val="16761180"/>
    <w:lvl w:ilvl="0" w:tplc="4774ADE4">
      <w:start w:val="1"/>
      <w:numFmt w:val="lowerLetter"/>
      <w:lvlText w:val="%1)"/>
      <w:lvlJc w:val="left"/>
      <w:pPr>
        <w:ind w:left="1428" w:hanging="360"/>
      </w:pPr>
      <w:rPr>
        <w:rFonts w:hint="default"/>
      </w:rPr>
    </w:lvl>
    <w:lvl w:ilvl="1" w:tplc="08160017">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28" w15:restartNumberingAfterBreak="0">
    <w:nsid w:val="3E4D3EF5"/>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42E04A98"/>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43166C4F"/>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31" w15:restartNumberingAfterBreak="0">
    <w:nsid w:val="43541F79"/>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4856D98"/>
    <w:multiLevelType w:val="hybridMultilevel"/>
    <w:tmpl w:val="D8A833BC"/>
    <w:lvl w:ilvl="0" w:tplc="1348FCFE">
      <w:start w:val="1"/>
      <w:numFmt w:val="lowerLetter"/>
      <w:lvlText w:val="%1)"/>
      <w:lvlJc w:val="left"/>
      <w:pPr>
        <w:ind w:left="720" w:hanging="360"/>
      </w:pPr>
      <w:rPr>
        <w:rFonts w:hint="default"/>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3" w15:restartNumberingAfterBreak="0">
    <w:nsid w:val="44E71D84"/>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47596925"/>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9D418A9"/>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4C1C19B7"/>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D0E4615"/>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38" w15:restartNumberingAfterBreak="0">
    <w:nsid w:val="4F9418F5"/>
    <w:multiLevelType w:val="hybridMultilevel"/>
    <w:tmpl w:val="3A1490E8"/>
    <w:lvl w:ilvl="0" w:tplc="EC3A1064">
      <w:start w:val="1"/>
      <w:numFmt w:val="lowerRoman"/>
      <w:lvlText w:val="%1)"/>
      <w:lvlJc w:val="left"/>
      <w:pPr>
        <w:ind w:left="1068" w:hanging="360"/>
      </w:pPr>
      <w:rPr>
        <w:i/>
      </w:rPr>
    </w:lvl>
    <w:lvl w:ilvl="1" w:tplc="08160019">
      <w:start w:val="1"/>
      <w:numFmt w:val="lowerLetter"/>
      <w:lvlText w:val="%2."/>
      <w:lvlJc w:val="left"/>
      <w:pPr>
        <w:ind w:left="1788" w:hanging="360"/>
      </w:pPr>
    </w:lvl>
    <w:lvl w:ilvl="2" w:tplc="0816001B">
      <w:start w:val="1"/>
      <w:numFmt w:val="lowerRoman"/>
      <w:lvlText w:val="%3."/>
      <w:lvlJc w:val="right"/>
      <w:pPr>
        <w:ind w:left="2508" w:hanging="180"/>
      </w:pPr>
    </w:lvl>
    <w:lvl w:ilvl="3" w:tplc="0816000F">
      <w:start w:val="1"/>
      <w:numFmt w:val="decimal"/>
      <w:lvlText w:val="%4."/>
      <w:lvlJc w:val="left"/>
      <w:pPr>
        <w:ind w:left="3228" w:hanging="360"/>
      </w:pPr>
    </w:lvl>
    <w:lvl w:ilvl="4" w:tplc="08160019">
      <w:start w:val="1"/>
      <w:numFmt w:val="lowerLetter"/>
      <w:lvlText w:val="%5."/>
      <w:lvlJc w:val="left"/>
      <w:pPr>
        <w:ind w:left="3948" w:hanging="360"/>
      </w:pPr>
    </w:lvl>
    <w:lvl w:ilvl="5" w:tplc="0816001B">
      <w:start w:val="1"/>
      <w:numFmt w:val="lowerRoman"/>
      <w:lvlText w:val="%6."/>
      <w:lvlJc w:val="right"/>
      <w:pPr>
        <w:ind w:left="4668" w:hanging="180"/>
      </w:pPr>
    </w:lvl>
    <w:lvl w:ilvl="6" w:tplc="0816000F">
      <w:start w:val="1"/>
      <w:numFmt w:val="decimal"/>
      <w:lvlText w:val="%7."/>
      <w:lvlJc w:val="left"/>
      <w:pPr>
        <w:ind w:left="5388" w:hanging="360"/>
      </w:pPr>
    </w:lvl>
    <w:lvl w:ilvl="7" w:tplc="08160019">
      <w:start w:val="1"/>
      <w:numFmt w:val="lowerLetter"/>
      <w:lvlText w:val="%8."/>
      <w:lvlJc w:val="left"/>
      <w:pPr>
        <w:ind w:left="6108" w:hanging="360"/>
      </w:pPr>
    </w:lvl>
    <w:lvl w:ilvl="8" w:tplc="0816001B">
      <w:start w:val="1"/>
      <w:numFmt w:val="lowerRoman"/>
      <w:lvlText w:val="%9."/>
      <w:lvlJc w:val="right"/>
      <w:pPr>
        <w:ind w:left="6828" w:hanging="180"/>
      </w:pPr>
    </w:lvl>
  </w:abstractNum>
  <w:abstractNum w:abstractNumId="39" w15:restartNumberingAfterBreak="0">
    <w:nsid w:val="50F6432A"/>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53FF195F"/>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54F45FE2"/>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70A5F79"/>
    <w:multiLevelType w:val="hybridMultilevel"/>
    <w:tmpl w:val="732E4728"/>
    <w:lvl w:ilvl="0" w:tplc="CC6245F6">
      <w:start w:val="1"/>
      <w:numFmt w:val="upperRoman"/>
      <w:pStyle w:val="Heading1"/>
      <w:lvlText w:val="CAPITOLUL %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572F726B"/>
    <w:multiLevelType w:val="hybridMultilevel"/>
    <w:tmpl w:val="2236D358"/>
    <w:lvl w:ilvl="0" w:tplc="54D85534">
      <w:start w:val="1"/>
      <w:numFmt w:val="decimal"/>
      <w:pStyle w:val="Heading2"/>
      <w:lvlText w:val="Artigo %1.º"/>
      <w:lvlJc w:val="left"/>
      <w:pPr>
        <w:ind w:left="5400" w:hanging="360"/>
      </w:pPr>
      <w:rPr>
        <w:rFonts w:hint="default"/>
        <w:b w:val="0"/>
      </w:rPr>
    </w:lvl>
    <w:lvl w:ilvl="1" w:tplc="08160019" w:tentative="1">
      <w:start w:val="1"/>
      <w:numFmt w:val="lowerLetter"/>
      <w:lvlText w:val="%2."/>
      <w:lvlJc w:val="left"/>
      <w:pPr>
        <w:ind w:left="-2026" w:hanging="360"/>
      </w:pPr>
    </w:lvl>
    <w:lvl w:ilvl="2" w:tplc="0816001B" w:tentative="1">
      <w:start w:val="1"/>
      <w:numFmt w:val="lowerRoman"/>
      <w:lvlText w:val="%3."/>
      <w:lvlJc w:val="right"/>
      <w:pPr>
        <w:ind w:left="-1306" w:hanging="180"/>
      </w:pPr>
    </w:lvl>
    <w:lvl w:ilvl="3" w:tplc="0816000F" w:tentative="1">
      <w:start w:val="1"/>
      <w:numFmt w:val="decimal"/>
      <w:lvlText w:val="%4."/>
      <w:lvlJc w:val="left"/>
      <w:pPr>
        <w:ind w:left="-586" w:hanging="360"/>
      </w:pPr>
    </w:lvl>
    <w:lvl w:ilvl="4" w:tplc="08160019" w:tentative="1">
      <w:start w:val="1"/>
      <w:numFmt w:val="lowerLetter"/>
      <w:lvlText w:val="%5."/>
      <w:lvlJc w:val="left"/>
      <w:pPr>
        <w:ind w:left="134" w:hanging="360"/>
      </w:pPr>
    </w:lvl>
    <w:lvl w:ilvl="5" w:tplc="0816001B" w:tentative="1">
      <w:start w:val="1"/>
      <w:numFmt w:val="lowerRoman"/>
      <w:lvlText w:val="%6."/>
      <w:lvlJc w:val="right"/>
      <w:pPr>
        <w:ind w:left="854" w:hanging="180"/>
      </w:pPr>
    </w:lvl>
    <w:lvl w:ilvl="6" w:tplc="0816000F" w:tentative="1">
      <w:start w:val="1"/>
      <w:numFmt w:val="decimal"/>
      <w:lvlText w:val="%7."/>
      <w:lvlJc w:val="left"/>
      <w:pPr>
        <w:ind w:left="1574" w:hanging="360"/>
      </w:pPr>
    </w:lvl>
    <w:lvl w:ilvl="7" w:tplc="08160019" w:tentative="1">
      <w:start w:val="1"/>
      <w:numFmt w:val="lowerLetter"/>
      <w:lvlText w:val="%8."/>
      <w:lvlJc w:val="left"/>
      <w:pPr>
        <w:ind w:left="2294" w:hanging="360"/>
      </w:pPr>
    </w:lvl>
    <w:lvl w:ilvl="8" w:tplc="0816001B" w:tentative="1">
      <w:start w:val="1"/>
      <w:numFmt w:val="lowerRoman"/>
      <w:lvlText w:val="%9."/>
      <w:lvlJc w:val="right"/>
      <w:pPr>
        <w:ind w:left="3014" w:hanging="180"/>
      </w:pPr>
    </w:lvl>
  </w:abstractNum>
  <w:abstractNum w:abstractNumId="44" w15:restartNumberingAfterBreak="0">
    <w:nsid w:val="573C4F20"/>
    <w:multiLevelType w:val="hybridMultilevel"/>
    <w:tmpl w:val="23EC7F56"/>
    <w:lvl w:ilvl="0" w:tplc="9BB280BA">
      <w:start w:val="1"/>
      <w:numFmt w:val="lowerLetter"/>
      <w:lvlText w:val="%1)"/>
      <w:lvlJc w:val="left"/>
      <w:pPr>
        <w:ind w:left="1080" w:hanging="360"/>
      </w:pPr>
      <w:rPr>
        <w:i/>
      </w:rPr>
    </w:lvl>
    <w:lvl w:ilvl="1" w:tplc="08160019">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5" w15:restartNumberingAfterBreak="0">
    <w:nsid w:val="593C1F19"/>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60141F53"/>
    <w:multiLevelType w:val="hybridMultilevel"/>
    <w:tmpl w:val="D8A833BC"/>
    <w:lvl w:ilvl="0" w:tplc="1348FCFE">
      <w:start w:val="1"/>
      <w:numFmt w:val="lowerLetter"/>
      <w:lvlText w:val="%1)"/>
      <w:lvlJc w:val="left"/>
      <w:pPr>
        <w:ind w:left="720" w:hanging="360"/>
      </w:pPr>
      <w:rPr>
        <w:rFonts w:hint="default"/>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47" w15:restartNumberingAfterBreak="0">
    <w:nsid w:val="603345C6"/>
    <w:multiLevelType w:val="hybridMultilevel"/>
    <w:tmpl w:val="FB5A2F40"/>
    <w:lvl w:ilvl="0" w:tplc="2B4682E0">
      <w:start w:val="1"/>
      <w:numFmt w:val="decimal"/>
      <w:lvlText w:val="%1 -"/>
      <w:lvlJc w:val="left"/>
      <w:pPr>
        <w:ind w:left="1920" w:hanging="360"/>
      </w:pPr>
      <w:rPr>
        <w:rFonts w:hint="default"/>
      </w:rPr>
    </w:lvl>
    <w:lvl w:ilvl="1" w:tplc="08160019">
      <w:start w:val="1"/>
      <w:numFmt w:val="lowerLetter"/>
      <w:lvlText w:val="%2."/>
      <w:lvlJc w:val="left"/>
      <w:pPr>
        <w:ind w:left="2411" w:hanging="360"/>
      </w:pPr>
    </w:lvl>
    <w:lvl w:ilvl="2" w:tplc="EC3A1064">
      <w:start w:val="1"/>
      <w:numFmt w:val="lowerRoman"/>
      <w:lvlText w:val="%3)"/>
      <w:lvlJc w:val="left"/>
      <w:pPr>
        <w:ind w:left="3360" w:hanging="180"/>
      </w:pPr>
      <w:rPr>
        <w:i/>
      </w:rPr>
    </w:lvl>
    <w:lvl w:ilvl="3" w:tplc="0816000F" w:tentative="1">
      <w:start w:val="1"/>
      <w:numFmt w:val="decimal"/>
      <w:lvlText w:val="%4."/>
      <w:lvlJc w:val="left"/>
      <w:pPr>
        <w:ind w:left="4080" w:hanging="360"/>
      </w:pPr>
    </w:lvl>
    <w:lvl w:ilvl="4" w:tplc="08160019" w:tentative="1">
      <w:start w:val="1"/>
      <w:numFmt w:val="lowerLetter"/>
      <w:lvlText w:val="%5."/>
      <w:lvlJc w:val="left"/>
      <w:pPr>
        <w:ind w:left="4800" w:hanging="360"/>
      </w:pPr>
    </w:lvl>
    <w:lvl w:ilvl="5" w:tplc="0816001B" w:tentative="1">
      <w:start w:val="1"/>
      <w:numFmt w:val="lowerRoman"/>
      <w:lvlText w:val="%6."/>
      <w:lvlJc w:val="right"/>
      <w:pPr>
        <w:ind w:left="5520" w:hanging="180"/>
      </w:pPr>
    </w:lvl>
    <w:lvl w:ilvl="6" w:tplc="0816000F" w:tentative="1">
      <w:start w:val="1"/>
      <w:numFmt w:val="decimal"/>
      <w:lvlText w:val="%7."/>
      <w:lvlJc w:val="left"/>
      <w:pPr>
        <w:ind w:left="6240" w:hanging="360"/>
      </w:pPr>
    </w:lvl>
    <w:lvl w:ilvl="7" w:tplc="08160019" w:tentative="1">
      <w:start w:val="1"/>
      <w:numFmt w:val="lowerLetter"/>
      <w:lvlText w:val="%8."/>
      <w:lvlJc w:val="left"/>
      <w:pPr>
        <w:ind w:left="6960" w:hanging="360"/>
      </w:pPr>
    </w:lvl>
    <w:lvl w:ilvl="8" w:tplc="0816001B" w:tentative="1">
      <w:start w:val="1"/>
      <w:numFmt w:val="lowerRoman"/>
      <w:lvlText w:val="%9."/>
      <w:lvlJc w:val="right"/>
      <w:pPr>
        <w:ind w:left="7680" w:hanging="180"/>
      </w:pPr>
    </w:lvl>
  </w:abstractNum>
  <w:abstractNum w:abstractNumId="48" w15:restartNumberingAfterBreak="0">
    <w:nsid w:val="615C4592"/>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9" w15:restartNumberingAfterBreak="0">
    <w:nsid w:val="61820723"/>
    <w:multiLevelType w:val="hybridMultilevel"/>
    <w:tmpl w:val="E5069E18"/>
    <w:lvl w:ilvl="0" w:tplc="703E7332">
      <w:start w:val="1"/>
      <w:numFmt w:val="lowerLetter"/>
      <w:lvlText w:val="%1)"/>
      <w:lvlJc w:val="left"/>
      <w:pPr>
        <w:ind w:left="720" w:hanging="360"/>
      </w:pPr>
      <w:rPr>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50" w15:restartNumberingAfterBreak="0">
    <w:nsid w:val="61C75E52"/>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1" w15:restartNumberingAfterBreak="0">
    <w:nsid w:val="62C60394"/>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2" w15:restartNumberingAfterBreak="0">
    <w:nsid w:val="64560072"/>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3" w15:restartNumberingAfterBreak="0">
    <w:nsid w:val="64736F18"/>
    <w:multiLevelType w:val="hybridMultilevel"/>
    <w:tmpl w:val="5C606C2C"/>
    <w:lvl w:ilvl="0" w:tplc="BDDC2812">
      <w:start w:val="1"/>
      <w:numFmt w:val="lowerRoman"/>
      <w:lvlText w:val="%1)"/>
      <w:lvlJc w:val="right"/>
      <w:pPr>
        <w:ind w:left="1428" w:hanging="360"/>
      </w:pPr>
      <w:rPr>
        <w:rFonts w:hint="default"/>
        <w:b w:val="0"/>
        <w:i/>
      </w:rPr>
    </w:lvl>
    <w:lvl w:ilvl="1" w:tplc="08160019" w:tentative="1">
      <w:start w:val="1"/>
      <w:numFmt w:val="lowerLetter"/>
      <w:lvlText w:val="%2."/>
      <w:lvlJc w:val="left"/>
      <w:pPr>
        <w:ind w:left="2148" w:hanging="360"/>
      </w:pPr>
    </w:lvl>
    <w:lvl w:ilvl="2" w:tplc="EC3A1064">
      <w:start w:val="1"/>
      <w:numFmt w:val="lowerRoman"/>
      <w:lvlText w:val="%3)"/>
      <w:lvlJc w:val="left"/>
      <w:pPr>
        <w:ind w:left="2868" w:hanging="180"/>
      </w:pPr>
      <w:rPr>
        <w:i/>
      </w:rPr>
    </w:lvl>
    <w:lvl w:ilvl="3" w:tplc="0816000F">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54" w15:restartNumberingAfterBreak="0">
    <w:nsid w:val="65D7410C"/>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55" w15:restartNumberingAfterBreak="0">
    <w:nsid w:val="66C864AC"/>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6" w15:restartNumberingAfterBreak="0">
    <w:nsid w:val="67126E0D"/>
    <w:multiLevelType w:val="hybridMultilevel"/>
    <w:tmpl w:val="FE5A4BDC"/>
    <w:lvl w:ilvl="0" w:tplc="7C78AF48">
      <w:start w:val="1"/>
      <w:numFmt w:val="upperRoman"/>
      <w:pStyle w:val="Heading3"/>
      <w:lvlText w:val="Anexa %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7" w15:restartNumberingAfterBreak="0">
    <w:nsid w:val="6FA67F0D"/>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8" w15:restartNumberingAfterBreak="0">
    <w:nsid w:val="700F4586"/>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9" w15:restartNumberingAfterBreak="0">
    <w:nsid w:val="72A32F8E"/>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0" w15:restartNumberingAfterBreak="0">
    <w:nsid w:val="72EA5288"/>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1" w15:restartNumberingAfterBreak="0">
    <w:nsid w:val="73974408"/>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2" w15:restartNumberingAfterBreak="0">
    <w:nsid w:val="741F1A1B"/>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3" w15:restartNumberingAfterBreak="0">
    <w:nsid w:val="74715A9E"/>
    <w:multiLevelType w:val="hybridMultilevel"/>
    <w:tmpl w:val="41CA431A"/>
    <w:lvl w:ilvl="0" w:tplc="2B4682E0">
      <w:start w:val="1"/>
      <w:numFmt w:val="decimal"/>
      <w:lvlText w:val="%1 -"/>
      <w:lvlJc w:val="left"/>
      <w:pPr>
        <w:ind w:left="720" w:hanging="360"/>
      </w:pPr>
      <w:rPr>
        <w:rFonts w:hint="default"/>
      </w:rPr>
    </w:lvl>
    <w:lvl w:ilvl="1" w:tplc="4774ADE4">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4" w15:restartNumberingAfterBreak="0">
    <w:nsid w:val="78F77A6A"/>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E031AE6"/>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6" w15:restartNumberingAfterBreak="0">
    <w:nsid w:val="7F2C15CA"/>
    <w:multiLevelType w:val="hybridMultilevel"/>
    <w:tmpl w:val="3A1490E8"/>
    <w:lvl w:ilvl="0" w:tplc="EC3A1064">
      <w:start w:val="1"/>
      <w:numFmt w:val="lowerRoman"/>
      <w:lvlText w:val="%1)"/>
      <w:lvlJc w:val="left"/>
      <w:pPr>
        <w:ind w:left="1068" w:hanging="360"/>
      </w:pPr>
      <w:rPr>
        <w:i/>
      </w:rPr>
    </w:lvl>
    <w:lvl w:ilvl="1" w:tplc="08160019">
      <w:start w:val="1"/>
      <w:numFmt w:val="lowerLetter"/>
      <w:lvlText w:val="%2."/>
      <w:lvlJc w:val="left"/>
      <w:pPr>
        <w:ind w:left="1788" w:hanging="360"/>
      </w:pPr>
    </w:lvl>
    <w:lvl w:ilvl="2" w:tplc="0816001B">
      <w:start w:val="1"/>
      <w:numFmt w:val="lowerRoman"/>
      <w:lvlText w:val="%3."/>
      <w:lvlJc w:val="right"/>
      <w:pPr>
        <w:ind w:left="2508" w:hanging="180"/>
      </w:pPr>
    </w:lvl>
    <w:lvl w:ilvl="3" w:tplc="0816000F">
      <w:start w:val="1"/>
      <w:numFmt w:val="decimal"/>
      <w:lvlText w:val="%4."/>
      <w:lvlJc w:val="left"/>
      <w:pPr>
        <w:ind w:left="3228" w:hanging="360"/>
      </w:pPr>
    </w:lvl>
    <w:lvl w:ilvl="4" w:tplc="08160019">
      <w:start w:val="1"/>
      <w:numFmt w:val="lowerLetter"/>
      <w:lvlText w:val="%5."/>
      <w:lvlJc w:val="left"/>
      <w:pPr>
        <w:ind w:left="3948" w:hanging="360"/>
      </w:pPr>
    </w:lvl>
    <w:lvl w:ilvl="5" w:tplc="0816001B">
      <w:start w:val="1"/>
      <w:numFmt w:val="lowerRoman"/>
      <w:lvlText w:val="%6."/>
      <w:lvlJc w:val="right"/>
      <w:pPr>
        <w:ind w:left="4668" w:hanging="180"/>
      </w:pPr>
    </w:lvl>
    <w:lvl w:ilvl="6" w:tplc="0816000F">
      <w:start w:val="1"/>
      <w:numFmt w:val="decimal"/>
      <w:lvlText w:val="%7."/>
      <w:lvlJc w:val="left"/>
      <w:pPr>
        <w:ind w:left="5388" w:hanging="360"/>
      </w:pPr>
    </w:lvl>
    <w:lvl w:ilvl="7" w:tplc="08160019">
      <w:start w:val="1"/>
      <w:numFmt w:val="lowerLetter"/>
      <w:lvlText w:val="%8."/>
      <w:lvlJc w:val="left"/>
      <w:pPr>
        <w:ind w:left="6108" w:hanging="360"/>
      </w:pPr>
    </w:lvl>
    <w:lvl w:ilvl="8" w:tplc="0816001B">
      <w:start w:val="1"/>
      <w:numFmt w:val="lowerRoman"/>
      <w:lvlText w:val="%9."/>
      <w:lvlJc w:val="right"/>
      <w:pPr>
        <w:ind w:left="6828" w:hanging="180"/>
      </w:pPr>
    </w:lvl>
  </w:abstractNum>
  <w:abstractNum w:abstractNumId="67" w15:restartNumberingAfterBreak="0">
    <w:nsid w:val="7F3C0250"/>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8" w15:restartNumberingAfterBreak="0">
    <w:nsid w:val="7FC626B1"/>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44"/>
  </w:num>
  <w:num w:numId="2">
    <w:abstractNumId w:val="2"/>
  </w:num>
  <w:num w:numId="3">
    <w:abstractNumId w:val="3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43"/>
  </w:num>
  <w:num w:numId="7">
    <w:abstractNumId w:val="53"/>
  </w:num>
  <w:num w:numId="8">
    <w:abstractNumId w:val="56"/>
  </w:num>
  <w:num w:numId="9">
    <w:abstractNumId w:val="14"/>
  </w:num>
  <w:num w:numId="10">
    <w:abstractNumId w:val="27"/>
  </w:num>
  <w:num w:numId="11">
    <w:abstractNumId w:val="0"/>
  </w:num>
  <w:num w:numId="12">
    <w:abstractNumId w:val="49"/>
  </w:num>
  <w:num w:numId="13">
    <w:abstractNumId w:val="62"/>
  </w:num>
  <w:num w:numId="14">
    <w:abstractNumId w:val="47"/>
  </w:num>
  <w:num w:numId="15">
    <w:abstractNumId w:val="64"/>
  </w:num>
  <w:num w:numId="16">
    <w:abstractNumId w:val="52"/>
  </w:num>
  <w:num w:numId="17">
    <w:abstractNumId w:val="22"/>
  </w:num>
  <w:num w:numId="18">
    <w:abstractNumId w:val="63"/>
  </w:num>
  <w:num w:numId="19">
    <w:abstractNumId w:val="50"/>
  </w:num>
  <w:num w:numId="20">
    <w:abstractNumId w:val="20"/>
  </w:num>
  <w:num w:numId="21">
    <w:abstractNumId w:val="15"/>
  </w:num>
  <w:num w:numId="22">
    <w:abstractNumId w:val="39"/>
  </w:num>
  <w:num w:numId="23">
    <w:abstractNumId w:val="68"/>
  </w:num>
  <w:num w:numId="24">
    <w:abstractNumId w:val="40"/>
  </w:num>
  <w:num w:numId="25">
    <w:abstractNumId w:val="11"/>
  </w:num>
  <w:num w:numId="26">
    <w:abstractNumId w:val="7"/>
  </w:num>
  <w:num w:numId="27">
    <w:abstractNumId w:val="51"/>
  </w:num>
  <w:num w:numId="28">
    <w:abstractNumId w:val="8"/>
  </w:num>
  <w:num w:numId="29">
    <w:abstractNumId w:val="21"/>
  </w:num>
  <w:num w:numId="30">
    <w:abstractNumId w:val="1"/>
  </w:num>
  <w:num w:numId="31">
    <w:abstractNumId w:val="18"/>
  </w:num>
  <w:num w:numId="32">
    <w:abstractNumId w:val="61"/>
  </w:num>
  <w:num w:numId="33">
    <w:abstractNumId w:val="55"/>
  </w:num>
  <w:num w:numId="34">
    <w:abstractNumId w:val="16"/>
  </w:num>
  <w:num w:numId="35">
    <w:abstractNumId w:val="57"/>
  </w:num>
  <w:num w:numId="36">
    <w:abstractNumId w:val="65"/>
  </w:num>
  <w:num w:numId="37">
    <w:abstractNumId w:val="25"/>
  </w:num>
  <w:num w:numId="38">
    <w:abstractNumId w:val="19"/>
  </w:num>
  <w:num w:numId="39">
    <w:abstractNumId w:val="28"/>
  </w:num>
  <w:num w:numId="40">
    <w:abstractNumId w:val="48"/>
  </w:num>
  <w:num w:numId="41">
    <w:abstractNumId w:val="3"/>
  </w:num>
  <w:num w:numId="42">
    <w:abstractNumId w:val="26"/>
  </w:num>
  <w:num w:numId="43">
    <w:abstractNumId w:val="23"/>
  </w:num>
  <w:num w:numId="44">
    <w:abstractNumId w:val="6"/>
  </w:num>
  <w:num w:numId="45">
    <w:abstractNumId w:val="66"/>
  </w:num>
  <w:num w:numId="46">
    <w:abstractNumId w:val="58"/>
  </w:num>
  <w:num w:numId="47">
    <w:abstractNumId w:val="37"/>
  </w:num>
  <w:num w:numId="48">
    <w:abstractNumId w:val="32"/>
  </w:num>
  <w:num w:numId="49">
    <w:abstractNumId w:val="46"/>
  </w:num>
  <w:num w:numId="50">
    <w:abstractNumId w:val="54"/>
  </w:num>
  <w:num w:numId="51">
    <w:abstractNumId w:val="30"/>
  </w:num>
  <w:num w:numId="52">
    <w:abstractNumId w:val="34"/>
  </w:num>
  <w:num w:numId="53">
    <w:abstractNumId w:val="17"/>
  </w:num>
  <w:num w:numId="54">
    <w:abstractNumId w:val="24"/>
  </w:num>
  <w:num w:numId="55">
    <w:abstractNumId w:val="13"/>
  </w:num>
  <w:num w:numId="56">
    <w:abstractNumId w:val="12"/>
  </w:num>
  <w:num w:numId="57">
    <w:abstractNumId w:val="41"/>
  </w:num>
  <w:num w:numId="58">
    <w:abstractNumId w:val="35"/>
  </w:num>
  <w:num w:numId="59">
    <w:abstractNumId w:val="31"/>
  </w:num>
  <w:num w:numId="60">
    <w:abstractNumId w:val="29"/>
  </w:num>
  <w:num w:numId="61">
    <w:abstractNumId w:val="36"/>
  </w:num>
  <w:num w:numId="62">
    <w:abstractNumId w:val="33"/>
  </w:num>
  <w:num w:numId="63">
    <w:abstractNumId w:val="59"/>
  </w:num>
  <w:num w:numId="64">
    <w:abstractNumId w:val="67"/>
  </w:num>
  <w:num w:numId="65">
    <w:abstractNumId w:val="10"/>
  </w:num>
  <w:num w:numId="66">
    <w:abstractNumId w:val="60"/>
  </w:num>
  <w:num w:numId="67">
    <w:abstractNumId w:val="45"/>
  </w:num>
  <w:num w:numId="68">
    <w:abstractNumId w:val="9"/>
  </w:num>
  <w:num w:numId="69">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757"/>
    <w:rsid w:val="00004334"/>
    <w:rsid w:val="000062E0"/>
    <w:rsid w:val="00006B68"/>
    <w:rsid w:val="00007109"/>
    <w:rsid w:val="00010D04"/>
    <w:rsid w:val="0001108C"/>
    <w:rsid w:val="00014396"/>
    <w:rsid w:val="00014E5F"/>
    <w:rsid w:val="000216F2"/>
    <w:rsid w:val="0002587F"/>
    <w:rsid w:val="00033B03"/>
    <w:rsid w:val="00036184"/>
    <w:rsid w:val="00040333"/>
    <w:rsid w:val="00040D73"/>
    <w:rsid w:val="00041479"/>
    <w:rsid w:val="00045ECB"/>
    <w:rsid w:val="00052FC6"/>
    <w:rsid w:val="00054A1A"/>
    <w:rsid w:val="00054EAE"/>
    <w:rsid w:val="0005584B"/>
    <w:rsid w:val="00055892"/>
    <w:rsid w:val="00057951"/>
    <w:rsid w:val="000600E7"/>
    <w:rsid w:val="00061AA4"/>
    <w:rsid w:val="000624C7"/>
    <w:rsid w:val="0006435A"/>
    <w:rsid w:val="00067FE6"/>
    <w:rsid w:val="00070A0C"/>
    <w:rsid w:val="00073215"/>
    <w:rsid w:val="00077048"/>
    <w:rsid w:val="00081139"/>
    <w:rsid w:val="00081672"/>
    <w:rsid w:val="000843A0"/>
    <w:rsid w:val="00091DD7"/>
    <w:rsid w:val="00091E78"/>
    <w:rsid w:val="00092AED"/>
    <w:rsid w:val="00092BC2"/>
    <w:rsid w:val="000933C0"/>
    <w:rsid w:val="000A440A"/>
    <w:rsid w:val="000A5AF9"/>
    <w:rsid w:val="000A6D64"/>
    <w:rsid w:val="000B1395"/>
    <w:rsid w:val="000B232D"/>
    <w:rsid w:val="000B5D90"/>
    <w:rsid w:val="000C1496"/>
    <w:rsid w:val="000C351A"/>
    <w:rsid w:val="000C5357"/>
    <w:rsid w:val="000C6EEA"/>
    <w:rsid w:val="000C7AD4"/>
    <w:rsid w:val="000D3116"/>
    <w:rsid w:val="000D53C5"/>
    <w:rsid w:val="000E29F8"/>
    <w:rsid w:val="000E33FB"/>
    <w:rsid w:val="000E38BD"/>
    <w:rsid w:val="000F077F"/>
    <w:rsid w:val="000F1553"/>
    <w:rsid w:val="000F5032"/>
    <w:rsid w:val="000F6DCC"/>
    <w:rsid w:val="001012F9"/>
    <w:rsid w:val="0010209F"/>
    <w:rsid w:val="00105C80"/>
    <w:rsid w:val="00116D8C"/>
    <w:rsid w:val="001171C4"/>
    <w:rsid w:val="001222AD"/>
    <w:rsid w:val="00124A0A"/>
    <w:rsid w:val="001257FD"/>
    <w:rsid w:val="0012646D"/>
    <w:rsid w:val="00127D8B"/>
    <w:rsid w:val="0013619A"/>
    <w:rsid w:val="0014162A"/>
    <w:rsid w:val="00144B84"/>
    <w:rsid w:val="001508BE"/>
    <w:rsid w:val="00152321"/>
    <w:rsid w:val="001617A7"/>
    <w:rsid w:val="00162EF3"/>
    <w:rsid w:val="00163405"/>
    <w:rsid w:val="00164BE8"/>
    <w:rsid w:val="00165ADE"/>
    <w:rsid w:val="00166A58"/>
    <w:rsid w:val="00170628"/>
    <w:rsid w:val="00171A5A"/>
    <w:rsid w:val="00172DCA"/>
    <w:rsid w:val="00172E85"/>
    <w:rsid w:val="0018147D"/>
    <w:rsid w:val="00182AD4"/>
    <w:rsid w:val="00186111"/>
    <w:rsid w:val="00190667"/>
    <w:rsid w:val="001912BE"/>
    <w:rsid w:val="001976FC"/>
    <w:rsid w:val="00197BF8"/>
    <w:rsid w:val="001A0286"/>
    <w:rsid w:val="001A4AAD"/>
    <w:rsid w:val="001A4D54"/>
    <w:rsid w:val="001B0B31"/>
    <w:rsid w:val="001C5248"/>
    <w:rsid w:val="001C5980"/>
    <w:rsid w:val="001C632F"/>
    <w:rsid w:val="001D278E"/>
    <w:rsid w:val="001D3C9D"/>
    <w:rsid w:val="001D4FEE"/>
    <w:rsid w:val="001D7D5A"/>
    <w:rsid w:val="001E0B00"/>
    <w:rsid w:val="001E12B7"/>
    <w:rsid w:val="001E337A"/>
    <w:rsid w:val="001E4779"/>
    <w:rsid w:val="001F4E2F"/>
    <w:rsid w:val="001F7456"/>
    <w:rsid w:val="00200376"/>
    <w:rsid w:val="00201636"/>
    <w:rsid w:val="00205C37"/>
    <w:rsid w:val="00216CAB"/>
    <w:rsid w:val="002310F9"/>
    <w:rsid w:val="00231C0A"/>
    <w:rsid w:val="0023255A"/>
    <w:rsid w:val="0023346E"/>
    <w:rsid w:val="00241552"/>
    <w:rsid w:val="002421EA"/>
    <w:rsid w:val="002521A7"/>
    <w:rsid w:val="0025489D"/>
    <w:rsid w:val="00262186"/>
    <w:rsid w:val="00263C94"/>
    <w:rsid w:val="00271F5B"/>
    <w:rsid w:val="0027294A"/>
    <w:rsid w:val="00272EF8"/>
    <w:rsid w:val="0027492F"/>
    <w:rsid w:val="00275E26"/>
    <w:rsid w:val="00276240"/>
    <w:rsid w:val="0027658F"/>
    <w:rsid w:val="00280359"/>
    <w:rsid w:val="0028259B"/>
    <w:rsid w:val="002845B5"/>
    <w:rsid w:val="00284CB1"/>
    <w:rsid w:val="002856D7"/>
    <w:rsid w:val="00285B71"/>
    <w:rsid w:val="002943D5"/>
    <w:rsid w:val="002A1520"/>
    <w:rsid w:val="002A32BE"/>
    <w:rsid w:val="002B07FB"/>
    <w:rsid w:val="002B3376"/>
    <w:rsid w:val="002B37F4"/>
    <w:rsid w:val="002B499A"/>
    <w:rsid w:val="002B4BF3"/>
    <w:rsid w:val="002B55CA"/>
    <w:rsid w:val="002D5416"/>
    <w:rsid w:val="002E1128"/>
    <w:rsid w:val="002E1C35"/>
    <w:rsid w:val="002E39C6"/>
    <w:rsid w:val="002F0C08"/>
    <w:rsid w:val="002F5600"/>
    <w:rsid w:val="002F5931"/>
    <w:rsid w:val="002F5B07"/>
    <w:rsid w:val="002F684F"/>
    <w:rsid w:val="0030214C"/>
    <w:rsid w:val="00302848"/>
    <w:rsid w:val="003035F6"/>
    <w:rsid w:val="003067B2"/>
    <w:rsid w:val="00307CFE"/>
    <w:rsid w:val="003120A6"/>
    <w:rsid w:val="003146BB"/>
    <w:rsid w:val="003163DE"/>
    <w:rsid w:val="003176D3"/>
    <w:rsid w:val="00317D24"/>
    <w:rsid w:val="003207BA"/>
    <w:rsid w:val="003241D2"/>
    <w:rsid w:val="00324CCE"/>
    <w:rsid w:val="003279D7"/>
    <w:rsid w:val="00327A73"/>
    <w:rsid w:val="003307FF"/>
    <w:rsid w:val="00330E63"/>
    <w:rsid w:val="0033525C"/>
    <w:rsid w:val="0034515E"/>
    <w:rsid w:val="003517C6"/>
    <w:rsid w:val="00351C72"/>
    <w:rsid w:val="0035214A"/>
    <w:rsid w:val="00355C0C"/>
    <w:rsid w:val="003679EF"/>
    <w:rsid w:val="0037079D"/>
    <w:rsid w:val="00371285"/>
    <w:rsid w:val="00373A84"/>
    <w:rsid w:val="003762ED"/>
    <w:rsid w:val="00380A5C"/>
    <w:rsid w:val="0038660E"/>
    <w:rsid w:val="00390143"/>
    <w:rsid w:val="003929D2"/>
    <w:rsid w:val="003955BA"/>
    <w:rsid w:val="00397243"/>
    <w:rsid w:val="00397D00"/>
    <w:rsid w:val="003A31EA"/>
    <w:rsid w:val="003A4480"/>
    <w:rsid w:val="003A48D5"/>
    <w:rsid w:val="003A568F"/>
    <w:rsid w:val="003A6EB6"/>
    <w:rsid w:val="003B1E95"/>
    <w:rsid w:val="003B2C53"/>
    <w:rsid w:val="003B40FD"/>
    <w:rsid w:val="003B6098"/>
    <w:rsid w:val="003B738C"/>
    <w:rsid w:val="003B7AD3"/>
    <w:rsid w:val="003B7CDD"/>
    <w:rsid w:val="003B7D3E"/>
    <w:rsid w:val="003B7EF0"/>
    <w:rsid w:val="003C2FA4"/>
    <w:rsid w:val="003C5F97"/>
    <w:rsid w:val="003D077F"/>
    <w:rsid w:val="003D0F20"/>
    <w:rsid w:val="003E2913"/>
    <w:rsid w:val="003E48A6"/>
    <w:rsid w:val="003E7269"/>
    <w:rsid w:val="003F14EA"/>
    <w:rsid w:val="003F3CD8"/>
    <w:rsid w:val="003F40CB"/>
    <w:rsid w:val="003F42AF"/>
    <w:rsid w:val="003F5B7B"/>
    <w:rsid w:val="003F5BA9"/>
    <w:rsid w:val="003F6B93"/>
    <w:rsid w:val="004010E0"/>
    <w:rsid w:val="00401F93"/>
    <w:rsid w:val="0040499B"/>
    <w:rsid w:val="004060D1"/>
    <w:rsid w:val="004072AD"/>
    <w:rsid w:val="00407DEE"/>
    <w:rsid w:val="00410873"/>
    <w:rsid w:val="00412F32"/>
    <w:rsid w:val="00412FEF"/>
    <w:rsid w:val="00417E45"/>
    <w:rsid w:val="00423282"/>
    <w:rsid w:val="004243A1"/>
    <w:rsid w:val="00433A38"/>
    <w:rsid w:val="0043511D"/>
    <w:rsid w:val="004352AA"/>
    <w:rsid w:val="004366EF"/>
    <w:rsid w:val="004400C2"/>
    <w:rsid w:val="004412FD"/>
    <w:rsid w:val="0044301E"/>
    <w:rsid w:val="00444B37"/>
    <w:rsid w:val="0045113B"/>
    <w:rsid w:val="00451876"/>
    <w:rsid w:val="004526A9"/>
    <w:rsid w:val="00452EC4"/>
    <w:rsid w:val="004551A4"/>
    <w:rsid w:val="00455329"/>
    <w:rsid w:val="00460F43"/>
    <w:rsid w:val="0046301F"/>
    <w:rsid w:val="004728F7"/>
    <w:rsid w:val="00480D92"/>
    <w:rsid w:val="004829AB"/>
    <w:rsid w:val="004854CF"/>
    <w:rsid w:val="00485945"/>
    <w:rsid w:val="00486308"/>
    <w:rsid w:val="004864E7"/>
    <w:rsid w:val="004A192F"/>
    <w:rsid w:val="004A2BF1"/>
    <w:rsid w:val="004A318C"/>
    <w:rsid w:val="004A480B"/>
    <w:rsid w:val="004A6360"/>
    <w:rsid w:val="004B3546"/>
    <w:rsid w:val="004B632A"/>
    <w:rsid w:val="004C6401"/>
    <w:rsid w:val="004C777A"/>
    <w:rsid w:val="004D1142"/>
    <w:rsid w:val="004E09D6"/>
    <w:rsid w:val="004E1231"/>
    <w:rsid w:val="004E62F8"/>
    <w:rsid w:val="004F01C9"/>
    <w:rsid w:val="004F67BE"/>
    <w:rsid w:val="004F6945"/>
    <w:rsid w:val="004F7464"/>
    <w:rsid w:val="00500119"/>
    <w:rsid w:val="005016C9"/>
    <w:rsid w:val="00502353"/>
    <w:rsid w:val="005109DB"/>
    <w:rsid w:val="005130A5"/>
    <w:rsid w:val="005143F2"/>
    <w:rsid w:val="00522335"/>
    <w:rsid w:val="0052378C"/>
    <w:rsid w:val="005248A7"/>
    <w:rsid w:val="00536AC7"/>
    <w:rsid w:val="00537243"/>
    <w:rsid w:val="00540495"/>
    <w:rsid w:val="005414C1"/>
    <w:rsid w:val="00541F00"/>
    <w:rsid w:val="00542A5A"/>
    <w:rsid w:val="00544073"/>
    <w:rsid w:val="0055353E"/>
    <w:rsid w:val="00562DB6"/>
    <w:rsid w:val="005630B1"/>
    <w:rsid w:val="005644EA"/>
    <w:rsid w:val="005665D8"/>
    <w:rsid w:val="00567B64"/>
    <w:rsid w:val="00573522"/>
    <w:rsid w:val="00575347"/>
    <w:rsid w:val="005760FA"/>
    <w:rsid w:val="00580E90"/>
    <w:rsid w:val="00583B4E"/>
    <w:rsid w:val="00583C6E"/>
    <w:rsid w:val="00586839"/>
    <w:rsid w:val="00586A43"/>
    <w:rsid w:val="00590C52"/>
    <w:rsid w:val="00590D62"/>
    <w:rsid w:val="005A5E59"/>
    <w:rsid w:val="005B7604"/>
    <w:rsid w:val="005B7E3F"/>
    <w:rsid w:val="005C2187"/>
    <w:rsid w:val="005C584A"/>
    <w:rsid w:val="005C70F1"/>
    <w:rsid w:val="005C719D"/>
    <w:rsid w:val="005D2783"/>
    <w:rsid w:val="005D3824"/>
    <w:rsid w:val="005D508B"/>
    <w:rsid w:val="005D68EA"/>
    <w:rsid w:val="005E08E7"/>
    <w:rsid w:val="005E5AC3"/>
    <w:rsid w:val="005E70D6"/>
    <w:rsid w:val="005F1FD7"/>
    <w:rsid w:val="005F417E"/>
    <w:rsid w:val="005F42E9"/>
    <w:rsid w:val="005F5411"/>
    <w:rsid w:val="00600886"/>
    <w:rsid w:val="00602922"/>
    <w:rsid w:val="006079A7"/>
    <w:rsid w:val="006139D1"/>
    <w:rsid w:val="00615E24"/>
    <w:rsid w:val="006236DA"/>
    <w:rsid w:val="00627930"/>
    <w:rsid w:val="00630471"/>
    <w:rsid w:val="00632F42"/>
    <w:rsid w:val="00633146"/>
    <w:rsid w:val="006336DE"/>
    <w:rsid w:val="0063372A"/>
    <w:rsid w:val="0063711A"/>
    <w:rsid w:val="00637341"/>
    <w:rsid w:val="00640B81"/>
    <w:rsid w:val="006418B1"/>
    <w:rsid w:val="00644A07"/>
    <w:rsid w:val="00647079"/>
    <w:rsid w:val="0065229B"/>
    <w:rsid w:val="006539B8"/>
    <w:rsid w:val="00655287"/>
    <w:rsid w:val="00660F8D"/>
    <w:rsid w:val="006610EC"/>
    <w:rsid w:val="00661287"/>
    <w:rsid w:val="00664F99"/>
    <w:rsid w:val="0066664C"/>
    <w:rsid w:val="006670DD"/>
    <w:rsid w:val="0066757C"/>
    <w:rsid w:val="00667FE9"/>
    <w:rsid w:val="00671CF1"/>
    <w:rsid w:val="006802F6"/>
    <w:rsid w:val="006804AE"/>
    <w:rsid w:val="00687AAA"/>
    <w:rsid w:val="00687CC3"/>
    <w:rsid w:val="00690F31"/>
    <w:rsid w:val="0069117E"/>
    <w:rsid w:val="006923D5"/>
    <w:rsid w:val="00694109"/>
    <w:rsid w:val="0069538A"/>
    <w:rsid w:val="00697A64"/>
    <w:rsid w:val="006A0EC2"/>
    <w:rsid w:val="006A3393"/>
    <w:rsid w:val="006A48D0"/>
    <w:rsid w:val="006A5C0B"/>
    <w:rsid w:val="006A5FE8"/>
    <w:rsid w:val="006A6A15"/>
    <w:rsid w:val="006B0045"/>
    <w:rsid w:val="006B0668"/>
    <w:rsid w:val="006B1ABC"/>
    <w:rsid w:val="006B2A11"/>
    <w:rsid w:val="006C58E5"/>
    <w:rsid w:val="006C7BE2"/>
    <w:rsid w:val="006D472D"/>
    <w:rsid w:val="006D7B8B"/>
    <w:rsid w:val="006E492C"/>
    <w:rsid w:val="006E5E19"/>
    <w:rsid w:val="006E6B90"/>
    <w:rsid w:val="006F23E4"/>
    <w:rsid w:val="00700314"/>
    <w:rsid w:val="00701DFF"/>
    <w:rsid w:val="00702B09"/>
    <w:rsid w:val="00710998"/>
    <w:rsid w:val="0071171C"/>
    <w:rsid w:val="00714103"/>
    <w:rsid w:val="00720039"/>
    <w:rsid w:val="00720090"/>
    <w:rsid w:val="00726285"/>
    <w:rsid w:val="00727AB1"/>
    <w:rsid w:val="007311B2"/>
    <w:rsid w:val="0073210C"/>
    <w:rsid w:val="0073669A"/>
    <w:rsid w:val="0073716A"/>
    <w:rsid w:val="00737467"/>
    <w:rsid w:val="0074102C"/>
    <w:rsid w:val="00742CC9"/>
    <w:rsid w:val="00742FDD"/>
    <w:rsid w:val="00743415"/>
    <w:rsid w:val="007443AC"/>
    <w:rsid w:val="00745A82"/>
    <w:rsid w:val="00745F8D"/>
    <w:rsid w:val="00747BE6"/>
    <w:rsid w:val="007501D7"/>
    <w:rsid w:val="0075174E"/>
    <w:rsid w:val="00757BC4"/>
    <w:rsid w:val="00757D3C"/>
    <w:rsid w:val="0076137D"/>
    <w:rsid w:val="007627B3"/>
    <w:rsid w:val="00767829"/>
    <w:rsid w:val="00771237"/>
    <w:rsid w:val="00780E56"/>
    <w:rsid w:val="00786257"/>
    <w:rsid w:val="00786C9D"/>
    <w:rsid w:val="007879A9"/>
    <w:rsid w:val="007922B0"/>
    <w:rsid w:val="00794353"/>
    <w:rsid w:val="00794BCB"/>
    <w:rsid w:val="00796318"/>
    <w:rsid w:val="007A078C"/>
    <w:rsid w:val="007A09FC"/>
    <w:rsid w:val="007A4B3C"/>
    <w:rsid w:val="007A4E87"/>
    <w:rsid w:val="007A7C70"/>
    <w:rsid w:val="007B286C"/>
    <w:rsid w:val="007B2E82"/>
    <w:rsid w:val="007B6FE0"/>
    <w:rsid w:val="007B7409"/>
    <w:rsid w:val="007C0F01"/>
    <w:rsid w:val="007C610D"/>
    <w:rsid w:val="007C6D38"/>
    <w:rsid w:val="007D2095"/>
    <w:rsid w:val="007D5D97"/>
    <w:rsid w:val="007E04D1"/>
    <w:rsid w:val="007E0AD6"/>
    <w:rsid w:val="007E1EED"/>
    <w:rsid w:val="007E35A4"/>
    <w:rsid w:val="007E41E8"/>
    <w:rsid w:val="007E651E"/>
    <w:rsid w:val="007F022A"/>
    <w:rsid w:val="007F0AD8"/>
    <w:rsid w:val="008018E8"/>
    <w:rsid w:val="00801916"/>
    <w:rsid w:val="00805BAF"/>
    <w:rsid w:val="00815B0E"/>
    <w:rsid w:val="0082184E"/>
    <w:rsid w:val="00824535"/>
    <w:rsid w:val="00825CC5"/>
    <w:rsid w:val="00825EEB"/>
    <w:rsid w:val="008271EC"/>
    <w:rsid w:val="00827E7D"/>
    <w:rsid w:val="008320B9"/>
    <w:rsid w:val="00833B19"/>
    <w:rsid w:val="00835407"/>
    <w:rsid w:val="00836720"/>
    <w:rsid w:val="008429BA"/>
    <w:rsid w:val="008464FF"/>
    <w:rsid w:val="00860049"/>
    <w:rsid w:val="00863DCE"/>
    <w:rsid w:val="0086714F"/>
    <w:rsid w:val="008716CA"/>
    <w:rsid w:val="00871AB7"/>
    <w:rsid w:val="00872666"/>
    <w:rsid w:val="00873D89"/>
    <w:rsid w:val="0087474A"/>
    <w:rsid w:val="00874A86"/>
    <w:rsid w:val="00875033"/>
    <w:rsid w:val="00877F02"/>
    <w:rsid w:val="00880837"/>
    <w:rsid w:val="00881A44"/>
    <w:rsid w:val="00882892"/>
    <w:rsid w:val="008855C2"/>
    <w:rsid w:val="00890411"/>
    <w:rsid w:val="00891961"/>
    <w:rsid w:val="00893B34"/>
    <w:rsid w:val="008A3EE5"/>
    <w:rsid w:val="008A461E"/>
    <w:rsid w:val="008A5EE0"/>
    <w:rsid w:val="008A723D"/>
    <w:rsid w:val="008B1B8C"/>
    <w:rsid w:val="008B374C"/>
    <w:rsid w:val="008B4B7F"/>
    <w:rsid w:val="008B4F8D"/>
    <w:rsid w:val="008B6561"/>
    <w:rsid w:val="008C24CC"/>
    <w:rsid w:val="008C286A"/>
    <w:rsid w:val="008C701F"/>
    <w:rsid w:val="008C7FA9"/>
    <w:rsid w:val="008D2DA3"/>
    <w:rsid w:val="008E2CAE"/>
    <w:rsid w:val="008F329A"/>
    <w:rsid w:val="008F5012"/>
    <w:rsid w:val="008F60B1"/>
    <w:rsid w:val="00902E8C"/>
    <w:rsid w:val="009056DE"/>
    <w:rsid w:val="00905D0B"/>
    <w:rsid w:val="009060EC"/>
    <w:rsid w:val="00906955"/>
    <w:rsid w:val="00910B5B"/>
    <w:rsid w:val="00910FE3"/>
    <w:rsid w:val="00911BA9"/>
    <w:rsid w:val="0091273F"/>
    <w:rsid w:val="00915230"/>
    <w:rsid w:val="00916749"/>
    <w:rsid w:val="00925731"/>
    <w:rsid w:val="00932172"/>
    <w:rsid w:val="00936247"/>
    <w:rsid w:val="00941D35"/>
    <w:rsid w:val="0094255D"/>
    <w:rsid w:val="0094645D"/>
    <w:rsid w:val="00947951"/>
    <w:rsid w:val="0094799C"/>
    <w:rsid w:val="00947FD9"/>
    <w:rsid w:val="00950E5B"/>
    <w:rsid w:val="00951CCF"/>
    <w:rsid w:val="00953C37"/>
    <w:rsid w:val="00954B1A"/>
    <w:rsid w:val="00954BAB"/>
    <w:rsid w:val="0095583C"/>
    <w:rsid w:val="009571C1"/>
    <w:rsid w:val="00962A63"/>
    <w:rsid w:val="009637A8"/>
    <w:rsid w:val="0096640F"/>
    <w:rsid w:val="009724CB"/>
    <w:rsid w:val="0097371A"/>
    <w:rsid w:val="00974F5D"/>
    <w:rsid w:val="00975B2D"/>
    <w:rsid w:val="00977D4D"/>
    <w:rsid w:val="009820C4"/>
    <w:rsid w:val="00982814"/>
    <w:rsid w:val="00982B0F"/>
    <w:rsid w:val="00982E49"/>
    <w:rsid w:val="009870C4"/>
    <w:rsid w:val="00991E89"/>
    <w:rsid w:val="00997587"/>
    <w:rsid w:val="00997AC5"/>
    <w:rsid w:val="009A04E8"/>
    <w:rsid w:val="009A1A39"/>
    <w:rsid w:val="009B01EE"/>
    <w:rsid w:val="009B7BF2"/>
    <w:rsid w:val="009C3670"/>
    <w:rsid w:val="009D112F"/>
    <w:rsid w:val="009D2C5C"/>
    <w:rsid w:val="009D6685"/>
    <w:rsid w:val="009D685C"/>
    <w:rsid w:val="009D7707"/>
    <w:rsid w:val="009E11DC"/>
    <w:rsid w:val="009E5334"/>
    <w:rsid w:val="009E63FF"/>
    <w:rsid w:val="009F0BDA"/>
    <w:rsid w:val="009F229E"/>
    <w:rsid w:val="009F4869"/>
    <w:rsid w:val="009F5F74"/>
    <w:rsid w:val="009F77FA"/>
    <w:rsid w:val="00A0135C"/>
    <w:rsid w:val="00A04379"/>
    <w:rsid w:val="00A12632"/>
    <w:rsid w:val="00A13400"/>
    <w:rsid w:val="00A172F1"/>
    <w:rsid w:val="00A21790"/>
    <w:rsid w:val="00A26F33"/>
    <w:rsid w:val="00A27EAE"/>
    <w:rsid w:val="00A30DF7"/>
    <w:rsid w:val="00A315EC"/>
    <w:rsid w:val="00A36DA8"/>
    <w:rsid w:val="00A412C4"/>
    <w:rsid w:val="00A421A0"/>
    <w:rsid w:val="00A44BAD"/>
    <w:rsid w:val="00A51A0D"/>
    <w:rsid w:val="00A53FF8"/>
    <w:rsid w:val="00A569F6"/>
    <w:rsid w:val="00A6409C"/>
    <w:rsid w:val="00A6504A"/>
    <w:rsid w:val="00A66A89"/>
    <w:rsid w:val="00A7205B"/>
    <w:rsid w:val="00A74B5E"/>
    <w:rsid w:val="00A75014"/>
    <w:rsid w:val="00A7556F"/>
    <w:rsid w:val="00A756A5"/>
    <w:rsid w:val="00A75EDB"/>
    <w:rsid w:val="00A76322"/>
    <w:rsid w:val="00A842D7"/>
    <w:rsid w:val="00A85085"/>
    <w:rsid w:val="00A95F20"/>
    <w:rsid w:val="00A96BD3"/>
    <w:rsid w:val="00AA057C"/>
    <w:rsid w:val="00AA1E2E"/>
    <w:rsid w:val="00AA3A44"/>
    <w:rsid w:val="00AA54E8"/>
    <w:rsid w:val="00AA57E3"/>
    <w:rsid w:val="00AA76FE"/>
    <w:rsid w:val="00AB3078"/>
    <w:rsid w:val="00AB54DE"/>
    <w:rsid w:val="00AB5B9A"/>
    <w:rsid w:val="00AC1392"/>
    <w:rsid w:val="00AC3F76"/>
    <w:rsid w:val="00AC6AEB"/>
    <w:rsid w:val="00AD0378"/>
    <w:rsid w:val="00AD140F"/>
    <w:rsid w:val="00AD1546"/>
    <w:rsid w:val="00AD17C9"/>
    <w:rsid w:val="00AE0971"/>
    <w:rsid w:val="00AE50FA"/>
    <w:rsid w:val="00AE7131"/>
    <w:rsid w:val="00AE74DB"/>
    <w:rsid w:val="00AE76FD"/>
    <w:rsid w:val="00AF0F49"/>
    <w:rsid w:val="00AF4392"/>
    <w:rsid w:val="00AF5C5D"/>
    <w:rsid w:val="00AF6757"/>
    <w:rsid w:val="00AF69E9"/>
    <w:rsid w:val="00B109CB"/>
    <w:rsid w:val="00B11AF4"/>
    <w:rsid w:val="00B1457B"/>
    <w:rsid w:val="00B17AB0"/>
    <w:rsid w:val="00B20085"/>
    <w:rsid w:val="00B25C34"/>
    <w:rsid w:val="00B31050"/>
    <w:rsid w:val="00B33CF2"/>
    <w:rsid w:val="00B342D0"/>
    <w:rsid w:val="00B349CA"/>
    <w:rsid w:val="00B3789F"/>
    <w:rsid w:val="00B425B3"/>
    <w:rsid w:val="00B46206"/>
    <w:rsid w:val="00B50531"/>
    <w:rsid w:val="00B52B4F"/>
    <w:rsid w:val="00B63641"/>
    <w:rsid w:val="00B65C65"/>
    <w:rsid w:val="00B6773F"/>
    <w:rsid w:val="00B73AFF"/>
    <w:rsid w:val="00B779E1"/>
    <w:rsid w:val="00B828B5"/>
    <w:rsid w:val="00B82A72"/>
    <w:rsid w:val="00B915B2"/>
    <w:rsid w:val="00B92520"/>
    <w:rsid w:val="00B92ACB"/>
    <w:rsid w:val="00B933C4"/>
    <w:rsid w:val="00B94B1F"/>
    <w:rsid w:val="00BA0152"/>
    <w:rsid w:val="00BA18DD"/>
    <w:rsid w:val="00BA1982"/>
    <w:rsid w:val="00BA2797"/>
    <w:rsid w:val="00BA6C11"/>
    <w:rsid w:val="00BA75AD"/>
    <w:rsid w:val="00BB0671"/>
    <w:rsid w:val="00BB3230"/>
    <w:rsid w:val="00BC18BB"/>
    <w:rsid w:val="00BC2957"/>
    <w:rsid w:val="00BD58EB"/>
    <w:rsid w:val="00BD72E0"/>
    <w:rsid w:val="00BD7BB0"/>
    <w:rsid w:val="00BE10CB"/>
    <w:rsid w:val="00BF2101"/>
    <w:rsid w:val="00BF314B"/>
    <w:rsid w:val="00BF55A0"/>
    <w:rsid w:val="00BF5EF9"/>
    <w:rsid w:val="00BF777F"/>
    <w:rsid w:val="00C011F4"/>
    <w:rsid w:val="00C02B32"/>
    <w:rsid w:val="00C04707"/>
    <w:rsid w:val="00C04AC8"/>
    <w:rsid w:val="00C053D3"/>
    <w:rsid w:val="00C1016D"/>
    <w:rsid w:val="00C35B58"/>
    <w:rsid w:val="00C432BB"/>
    <w:rsid w:val="00C4660B"/>
    <w:rsid w:val="00C50FA7"/>
    <w:rsid w:val="00C525D6"/>
    <w:rsid w:val="00C5297A"/>
    <w:rsid w:val="00C533DE"/>
    <w:rsid w:val="00C60CF8"/>
    <w:rsid w:val="00C63B34"/>
    <w:rsid w:val="00C64656"/>
    <w:rsid w:val="00C67A42"/>
    <w:rsid w:val="00C73230"/>
    <w:rsid w:val="00C73235"/>
    <w:rsid w:val="00C756A3"/>
    <w:rsid w:val="00C8168B"/>
    <w:rsid w:val="00C816AD"/>
    <w:rsid w:val="00C82D3F"/>
    <w:rsid w:val="00C82E2D"/>
    <w:rsid w:val="00C83A0F"/>
    <w:rsid w:val="00C859B4"/>
    <w:rsid w:val="00C86F32"/>
    <w:rsid w:val="00C8780B"/>
    <w:rsid w:val="00C9165B"/>
    <w:rsid w:val="00CA2D86"/>
    <w:rsid w:val="00CA6349"/>
    <w:rsid w:val="00CB2CFD"/>
    <w:rsid w:val="00CB46D1"/>
    <w:rsid w:val="00CB4A94"/>
    <w:rsid w:val="00CB61AB"/>
    <w:rsid w:val="00CC50F8"/>
    <w:rsid w:val="00CC5401"/>
    <w:rsid w:val="00CD02F1"/>
    <w:rsid w:val="00CD1E3A"/>
    <w:rsid w:val="00CD4ECA"/>
    <w:rsid w:val="00CE4719"/>
    <w:rsid w:val="00CF0B7D"/>
    <w:rsid w:val="00CF3B6A"/>
    <w:rsid w:val="00CF55DA"/>
    <w:rsid w:val="00CF61CD"/>
    <w:rsid w:val="00CF6469"/>
    <w:rsid w:val="00D03557"/>
    <w:rsid w:val="00D063E0"/>
    <w:rsid w:val="00D1020F"/>
    <w:rsid w:val="00D10707"/>
    <w:rsid w:val="00D10EED"/>
    <w:rsid w:val="00D17E59"/>
    <w:rsid w:val="00D207CE"/>
    <w:rsid w:val="00D22B19"/>
    <w:rsid w:val="00D27005"/>
    <w:rsid w:val="00D27FFC"/>
    <w:rsid w:val="00D30E28"/>
    <w:rsid w:val="00D31F7B"/>
    <w:rsid w:val="00D36D0D"/>
    <w:rsid w:val="00D37F66"/>
    <w:rsid w:val="00D426A9"/>
    <w:rsid w:val="00D4270E"/>
    <w:rsid w:val="00D50C7B"/>
    <w:rsid w:val="00D573FE"/>
    <w:rsid w:val="00D61808"/>
    <w:rsid w:val="00D61A2F"/>
    <w:rsid w:val="00D64089"/>
    <w:rsid w:val="00D64DFD"/>
    <w:rsid w:val="00D679F7"/>
    <w:rsid w:val="00D73085"/>
    <w:rsid w:val="00D7669C"/>
    <w:rsid w:val="00D77E05"/>
    <w:rsid w:val="00D808DC"/>
    <w:rsid w:val="00D80A33"/>
    <w:rsid w:val="00D81874"/>
    <w:rsid w:val="00D82408"/>
    <w:rsid w:val="00D92534"/>
    <w:rsid w:val="00D92F2E"/>
    <w:rsid w:val="00D96512"/>
    <w:rsid w:val="00DA0902"/>
    <w:rsid w:val="00DA3B75"/>
    <w:rsid w:val="00DA7B55"/>
    <w:rsid w:val="00DB0171"/>
    <w:rsid w:val="00DB1F86"/>
    <w:rsid w:val="00DB4ADB"/>
    <w:rsid w:val="00DB617D"/>
    <w:rsid w:val="00DC1982"/>
    <w:rsid w:val="00DC7404"/>
    <w:rsid w:val="00DD1E2B"/>
    <w:rsid w:val="00DD3E8A"/>
    <w:rsid w:val="00DF10CE"/>
    <w:rsid w:val="00DF36B8"/>
    <w:rsid w:val="00E00282"/>
    <w:rsid w:val="00E00F48"/>
    <w:rsid w:val="00E03495"/>
    <w:rsid w:val="00E04FE3"/>
    <w:rsid w:val="00E0517F"/>
    <w:rsid w:val="00E05C06"/>
    <w:rsid w:val="00E06216"/>
    <w:rsid w:val="00E073E9"/>
    <w:rsid w:val="00E11241"/>
    <w:rsid w:val="00E12B4F"/>
    <w:rsid w:val="00E1488F"/>
    <w:rsid w:val="00E20617"/>
    <w:rsid w:val="00E25180"/>
    <w:rsid w:val="00E30083"/>
    <w:rsid w:val="00E35955"/>
    <w:rsid w:val="00E36BA6"/>
    <w:rsid w:val="00E4144C"/>
    <w:rsid w:val="00E4184A"/>
    <w:rsid w:val="00E422F7"/>
    <w:rsid w:val="00E45968"/>
    <w:rsid w:val="00E5017E"/>
    <w:rsid w:val="00E50C64"/>
    <w:rsid w:val="00E549CE"/>
    <w:rsid w:val="00E57E6D"/>
    <w:rsid w:val="00E603BE"/>
    <w:rsid w:val="00E66EC8"/>
    <w:rsid w:val="00E709F7"/>
    <w:rsid w:val="00E763C0"/>
    <w:rsid w:val="00E76B63"/>
    <w:rsid w:val="00E811FC"/>
    <w:rsid w:val="00E83CDF"/>
    <w:rsid w:val="00E84B94"/>
    <w:rsid w:val="00E92A33"/>
    <w:rsid w:val="00E9719B"/>
    <w:rsid w:val="00EA0FA0"/>
    <w:rsid w:val="00EA263A"/>
    <w:rsid w:val="00EA27D9"/>
    <w:rsid w:val="00EA4824"/>
    <w:rsid w:val="00EA5DD2"/>
    <w:rsid w:val="00EA5EB4"/>
    <w:rsid w:val="00EA646D"/>
    <w:rsid w:val="00EA7565"/>
    <w:rsid w:val="00EB2667"/>
    <w:rsid w:val="00EB3966"/>
    <w:rsid w:val="00EB48AC"/>
    <w:rsid w:val="00EB6964"/>
    <w:rsid w:val="00EB6F1B"/>
    <w:rsid w:val="00EC283C"/>
    <w:rsid w:val="00EC6623"/>
    <w:rsid w:val="00EC6E3A"/>
    <w:rsid w:val="00EC7C0C"/>
    <w:rsid w:val="00EC7F38"/>
    <w:rsid w:val="00ED05A7"/>
    <w:rsid w:val="00ED1689"/>
    <w:rsid w:val="00ED1B31"/>
    <w:rsid w:val="00ED42A5"/>
    <w:rsid w:val="00ED439E"/>
    <w:rsid w:val="00ED79DD"/>
    <w:rsid w:val="00ED7ADD"/>
    <w:rsid w:val="00ED7BEC"/>
    <w:rsid w:val="00ED7D6D"/>
    <w:rsid w:val="00EE3204"/>
    <w:rsid w:val="00EE4CF1"/>
    <w:rsid w:val="00EE73F2"/>
    <w:rsid w:val="00EF159B"/>
    <w:rsid w:val="00EF5D3B"/>
    <w:rsid w:val="00F00C88"/>
    <w:rsid w:val="00F026F2"/>
    <w:rsid w:val="00F04860"/>
    <w:rsid w:val="00F154EB"/>
    <w:rsid w:val="00F23634"/>
    <w:rsid w:val="00F23643"/>
    <w:rsid w:val="00F256AF"/>
    <w:rsid w:val="00F263C7"/>
    <w:rsid w:val="00F37157"/>
    <w:rsid w:val="00F37A77"/>
    <w:rsid w:val="00F40635"/>
    <w:rsid w:val="00F47504"/>
    <w:rsid w:val="00F504FA"/>
    <w:rsid w:val="00F50BD0"/>
    <w:rsid w:val="00F56733"/>
    <w:rsid w:val="00F6121B"/>
    <w:rsid w:val="00F61E21"/>
    <w:rsid w:val="00F63E67"/>
    <w:rsid w:val="00F67F34"/>
    <w:rsid w:val="00F71DDF"/>
    <w:rsid w:val="00F756BD"/>
    <w:rsid w:val="00F75E18"/>
    <w:rsid w:val="00F76468"/>
    <w:rsid w:val="00F7675E"/>
    <w:rsid w:val="00F808D0"/>
    <w:rsid w:val="00F817B7"/>
    <w:rsid w:val="00F8276E"/>
    <w:rsid w:val="00F82D02"/>
    <w:rsid w:val="00F86C90"/>
    <w:rsid w:val="00F9082F"/>
    <w:rsid w:val="00F90F16"/>
    <w:rsid w:val="00F92863"/>
    <w:rsid w:val="00F93C73"/>
    <w:rsid w:val="00F957CC"/>
    <w:rsid w:val="00F966AD"/>
    <w:rsid w:val="00FA0BAE"/>
    <w:rsid w:val="00FA2B2F"/>
    <w:rsid w:val="00FA4CC4"/>
    <w:rsid w:val="00FA4D43"/>
    <w:rsid w:val="00FA5420"/>
    <w:rsid w:val="00FA7C8B"/>
    <w:rsid w:val="00FB0A52"/>
    <w:rsid w:val="00FB2438"/>
    <w:rsid w:val="00FB7559"/>
    <w:rsid w:val="00FC1973"/>
    <w:rsid w:val="00FC2AB5"/>
    <w:rsid w:val="00FC2EDA"/>
    <w:rsid w:val="00FD46D9"/>
    <w:rsid w:val="00FD4765"/>
    <w:rsid w:val="00FD6DE7"/>
    <w:rsid w:val="00FE4C9B"/>
    <w:rsid w:val="00FE5D75"/>
    <w:rsid w:val="00FE671F"/>
    <w:rsid w:val="00FF0EDD"/>
    <w:rsid w:val="00FF16C4"/>
    <w:rsid w:val="00FF44BC"/>
    <w:rsid w:val="00FF618F"/>
    <w:rsid w:val="00FF7FD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CDB76"/>
  <w15:chartTrackingRefBased/>
  <w15:docId w15:val="{9C497655-5132-4BE5-BFA3-6656A12C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B65C65"/>
    <w:pPr>
      <w:numPr>
        <w:numId w:val="5"/>
      </w:numPr>
      <w:tabs>
        <w:tab w:val="left" w:pos="3969"/>
      </w:tabs>
      <w:spacing w:before="120" w:line="360" w:lineRule="auto"/>
      <w:jc w:val="center"/>
      <w:outlineLvl w:val="0"/>
    </w:pPr>
    <w:rPr>
      <w:rFonts w:ascii="Verdana" w:hAnsi="Verdana"/>
      <w:b/>
      <w:sz w:val="24"/>
    </w:rPr>
  </w:style>
  <w:style w:type="paragraph" w:styleId="Heading2">
    <w:name w:val="heading 2"/>
    <w:basedOn w:val="ListParagraph"/>
    <w:next w:val="Normal"/>
    <w:link w:val="Heading2Char"/>
    <w:uiPriority w:val="9"/>
    <w:unhideWhenUsed/>
    <w:qFormat/>
    <w:rsid w:val="006A3393"/>
    <w:pPr>
      <w:numPr>
        <w:numId w:val="6"/>
      </w:numPr>
      <w:tabs>
        <w:tab w:val="left" w:pos="1701"/>
      </w:tabs>
      <w:spacing w:before="120" w:after="0" w:line="360" w:lineRule="auto"/>
      <w:ind w:left="426"/>
      <w:jc w:val="center"/>
      <w:outlineLvl w:val="1"/>
    </w:pPr>
    <w:rPr>
      <w:rFonts w:ascii="Verdana" w:hAnsi="Verdana"/>
      <w:b/>
      <w:color w:val="000000" w:themeColor="text1"/>
    </w:rPr>
  </w:style>
  <w:style w:type="paragraph" w:styleId="Heading3">
    <w:name w:val="heading 3"/>
    <w:basedOn w:val="ListParagraph"/>
    <w:next w:val="Normal"/>
    <w:link w:val="Heading3Char"/>
    <w:uiPriority w:val="9"/>
    <w:unhideWhenUsed/>
    <w:qFormat/>
    <w:rsid w:val="00875033"/>
    <w:pPr>
      <w:numPr>
        <w:numId w:val="8"/>
      </w:numPr>
      <w:jc w:val="center"/>
      <w:outlineLvl w:val="2"/>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0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9A9"/>
    <w:pPr>
      <w:tabs>
        <w:tab w:val="center" w:pos="4252"/>
        <w:tab w:val="right" w:pos="8504"/>
      </w:tabs>
      <w:spacing w:after="0" w:line="240" w:lineRule="auto"/>
    </w:pPr>
  </w:style>
  <w:style w:type="character" w:customStyle="1" w:styleId="HeaderChar">
    <w:name w:val="Header Char"/>
    <w:basedOn w:val="DefaultParagraphFont"/>
    <w:link w:val="Header"/>
    <w:uiPriority w:val="99"/>
    <w:rsid w:val="007879A9"/>
  </w:style>
  <w:style w:type="paragraph" w:styleId="Footer">
    <w:name w:val="footer"/>
    <w:basedOn w:val="Normal"/>
    <w:link w:val="FooterChar"/>
    <w:uiPriority w:val="99"/>
    <w:unhideWhenUsed/>
    <w:rsid w:val="007879A9"/>
    <w:pPr>
      <w:tabs>
        <w:tab w:val="center" w:pos="4252"/>
        <w:tab w:val="right" w:pos="8504"/>
      </w:tabs>
      <w:spacing w:after="0" w:line="240" w:lineRule="auto"/>
    </w:pPr>
  </w:style>
  <w:style w:type="character" w:customStyle="1" w:styleId="FooterChar">
    <w:name w:val="Footer Char"/>
    <w:basedOn w:val="DefaultParagraphFont"/>
    <w:link w:val="Footer"/>
    <w:uiPriority w:val="99"/>
    <w:rsid w:val="007879A9"/>
  </w:style>
  <w:style w:type="paragraph" w:styleId="ListParagraph">
    <w:name w:val="List Paragraph"/>
    <w:aliases w:val="Paragraph,Paragraphe de liste PBLH,Normal bullet 2,Bullet list,Figure_name,Equipment,Numbered Indented Text,List Paragraph1,lp1,List Paragraph11,List Paragraph Char Char Char,List Paragraph Char Char,Citation List,List Paragraph2,Ha"/>
    <w:basedOn w:val="Normal"/>
    <w:link w:val="ListParagraphChar"/>
    <w:uiPriority w:val="34"/>
    <w:qFormat/>
    <w:rsid w:val="00A172F1"/>
    <w:pPr>
      <w:ind w:left="720"/>
      <w:contextualSpacing/>
    </w:pPr>
  </w:style>
  <w:style w:type="character" w:styleId="CommentReference">
    <w:name w:val="annotation reference"/>
    <w:basedOn w:val="DefaultParagraphFont"/>
    <w:uiPriority w:val="99"/>
    <w:semiHidden/>
    <w:unhideWhenUsed/>
    <w:rsid w:val="006418B1"/>
    <w:rPr>
      <w:sz w:val="16"/>
      <w:szCs w:val="16"/>
    </w:rPr>
  </w:style>
  <w:style w:type="paragraph" w:styleId="CommentText">
    <w:name w:val="annotation text"/>
    <w:basedOn w:val="Normal"/>
    <w:link w:val="CommentTextChar"/>
    <w:uiPriority w:val="99"/>
    <w:unhideWhenUsed/>
    <w:rsid w:val="006418B1"/>
    <w:pPr>
      <w:spacing w:line="240" w:lineRule="auto"/>
    </w:pPr>
    <w:rPr>
      <w:sz w:val="20"/>
      <w:szCs w:val="20"/>
    </w:rPr>
  </w:style>
  <w:style w:type="character" w:customStyle="1" w:styleId="CommentTextChar">
    <w:name w:val="Comment Text Char"/>
    <w:basedOn w:val="DefaultParagraphFont"/>
    <w:link w:val="CommentText"/>
    <w:uiPriority w:val="99"/>
    <w:rsid w:val="006418B1"/>
    <w:rPr>
      <w:sz w:val="20"/>
      <w:szCs w:val="20"/>
    </w:rPr>
  </w:style>
  <w:style w:type="paragraph" w:styleId="CommentSubject">
    <w:name w:val="annotation subject"/>
    <w:basedOn w:val="CommentText"/>
    <w:next w:val="CommentText"/>
    <w:link w:val="CommentSubjectChar"/>
    <w:uiPriority w:val="99"/>
    <w:semiHidden/>
    <w:unhideWhenUsed/>
    <w:rsid w:val="006418B1"/>
    <w:rPr>
      <w:b/>
      <w:bCs/>
    </w:rPr>
  </w:style>
  <w:style w:type="character" w:customStyle="1" w:styleId="CommentSubjectChar">
    <w:name w:val="Comment Subject Char"/>
    <w:basedOn w:val="CommentTextChar"/>
    <w:link w:val="CommentSubject"/>
    <w:uiPriority w:val="99"/>
    <w:semiHidden/>
    <w:rsid w:val="006418B1"/>
    <w:rPr>
      <w:b/>
      <w:bCs/>
      <w:sz w:val="20"/>
      <w:szCs w:val="20"/>
    </w:rPr>
  </w:style>
  <w:style w:type="paragraph" w:styleId="BalloonText">
    <w:name w:val="Balloon Text"/>
    <w:basedOn w:val="Normal"/>
    <w:link w:val="BalloonTextChar"/>
    <w:uiPriority w:val="99"/>
    <w:semiHidden/>
    <w:unhideWhenUsed/>
    <w:rsid w:val="00641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8B1"/>
    <w:rPr>
      <w:rFonts w:ascii="Segoe UI" w:hAnsi="Segoe UI" w:cs="Segoe UI"/>
      <w:sz w:val="18"/>
      <w:szCs w:val="18"/>
    </w:rPr>
  </w:style>
  <w:style w:type="character" w:customStyle="1" w:styleId="ListParagraphChar">
    <w:name w:val="List Paragraph Char"/>
    <w:aliases w:val="Paragraph Char,Paragraphe de liste PBLH Char,Normal bullet 2 Char,Bullet list Char,Figure_name Char,Equipment Char,Numbered Indented Text Char,List Paragraph1 Char,lp1 Char,List Paragraph11 Char,List Paragraph Char Char Char Char"/>
    <w:link w:val="ListParagraph"/>
    <w:uiPriority w:val="34"/>
    <w:qFormat/>
    <w:rsid w:val="00092BC2"/>
  </w:style>
  <w:style w:type="character" w:customStyle="1" w:styleId="Heading1Char">
    <w:name w:val="Heading 1 Char"/>
    <w:basedOn w:val="DefaultParagraphFont"/>
    <w:link w:val="Heading1"/>
    <w:uiPriority w:val="9"/>
    <w:rsid w:val="00B65C65"/>
    <w:rPr>
      <w:rFonts w:ascii="Verdana" w:hAnsi="Verdana"/>
      <w:b/>
      <w:sz w:val="24"/>
    </w:rPr>
  </w:style>
  <w:style w:type="paragraph" w:customStyle="1" w:styleId="tex">
    <w:name w:val="tex"/>
    <w:basedOn w:val="Normal"/>
    <w:rsid w:val="00105C80"/>
    <w:pPr>
      <w:spacing w:before="60" w:after="60" w:line="240" w:lineRule="auto"/>
      <w:jc w:val="both"/>
    </w:pPr>
    <w:rPr>
      <w:rFonts w:ascii="Times New Roman" w:eastAsia="Times New Roman" w:hAnsi="Times New Roman" w:cs="Times New Roman"/>
      <w:sz w:val="24"/>
      <w:szCs w:val="24"/>
      <w:lang w:eastAsia="da-DK"/>
    </w:rPr>
  </w:style>
  <w:style w:type="paragraph" w:styleId="NormalWeb">
    <w:name w:val="Normal (Web)"/>
    <w:basedOn w:val="Normal"/>
    <w:uiPriority w:val="99"/>
    <w:unhideWhenUsed/>
    <w:rsid w:val="004551A4"/>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yperlink">
    <w:name w:val="Hyperlink"/>
    <w:basedOn w:val="DefaultParagraphFont"/>
    <w:uiPriority w:val="99"/>
    <w:unhideWhenUsed/>
    <w:rsid w:val="004551A4"/>
    <w:rPr>
      <w:color w:val="0000FF"/>
      <w:u w:val="single"/>
    </w:rPr>
  </w:style>
  <w:style w:type="paragraph" w:styleId="Revision">
    <w:name w:val="Revision"/>
    <w:hidden/>
    <w:uiPriority w:val="99"/>
    <w:semiHidden/>
    <w:rsid w:val="00D96512"/>
    <w:pPr>
      <w:spacing w:after="0" w:line="240" w:lineRule="auto"/>
    </w:pPr>
  </w:style>
  <w:style w:type="paragraph" w:styleId="FootnoteText">
    <w:name w:val="footnote text"/>
    <w:basedOn w:val="Normal"/>
    <w:link w:val="FootnoteTextChar"/>
    <w:uiPriority w:val="99"/>
    <w:semiHidden/>
    <w:unhideWhenUsed/>
    <w:rsid w:val="00863D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DCE"/>
    <w:rPr>
      <w:sz w:val="20"/>
      <w:szCs w:val="20"/>
    </w:rPr>
  </w:style>
  <w:style w:type="character" w:styleId="FootnoteReference">
    <w:name w:val="footnote reference"/>
    <w:basedOn w:val="DefaultParagraphFont"/>
    <w:uiPriority w:val="99"/>
    <w:semiHidden/>
    <w:unhideWhenUsed/>
    <w:rsid w:val="00863DCE"/>
    <w:rPr>
      <w:vertAlign w:val="superscript"/>
    </w:rPr>
  </w:style>
  <w:style w:type="paragraph" w:customStyle="1" w:styleId="CM1">
    <w:name w:val="CM1"/>
    <w:basedOn w:val="Normal"/>
    <w:next w:val="Normal"/>
    <w:uiPriority w:val="99"/>
    <w:rsid w:val="00AE74DB"/>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AE74DB"/>
    <w:pPr>
      <w:autoSpaceDE w:val="0"/>
      <w:autoSpaceDN w:val="0"/>
      <w:adjustRightInd w:val="0"/>
      <w:spacing w:after="0" w:line="240" w:lineRule="auto"/>
    </w:pPr>
    <w:rPr>
      <w:rFonts w:ascii="EUAlbertina" w:hAnsi="EUAlbertina"/>
      <w:sz w:val="24"/>
      <w:szCs w:val="24"/>
    </w:rPr>
  </w:style>
  <w:style w:type="character" w:customStyle="1" w:styleId="MenoNoResolvida1">
    <w:name w:val="Menção Não Resolvida1"/>
    <w:basedOn w:val="DefaultParagraphFont"/>
    <w:uiPriority w:val="99"/>
    <w:semiHidden/>
    <w:unhideWhenUsed/>
    <w:rsid w:val="005414C1"/>
    <w:rPr>
      <w:color w:val="605E5C"/>
      <w:shd w:val="clear" w:color="auto" w:fill="E1DFDD"/>
    </w:rPr>
  </w:style>
  <w:style w:type="paragraph" w:customStyle="1" w:styleId="Chapitre">
    <w:name w:val="Chapitre"/>
    <w:basedOn w:val="Normal"/>
    <w:qFormat/>
    <w:rsid w:val="005414C1"/>
    <w:pPr>
      <w:numPr>
        <w:numId w:val="4"/>
      </w:numPr>
      <w:spacing w:beforeLines="100" w:after="240" w:line="240" w:lineRule="auto"/>
      <w:ind w:left="720"/>
      <w:jc w:val="center"/>
    </w:pPr>
    <w:rPr>
      <w:rFonts w:ascii="Verdana" w:eastAsia="Calibri" w:hAnsi="Verdana" w:cs="TimesLTStd-Roman"/>
      <w:b/>
      <w:sz w:val="20"/>
      <w:szCs w:val="20"/>
    </w:rPr>
  </w:style>
  <w:style w:type="paragraph" w:customStyle="1" w:styleId="Section">
    <w:name w:val="Section"/>
    <w:basedOn w:val="Normal"/>
    <w:qFormat/>
    <w:rsid w:val="005414C1"/>
    <w:pPr>
      <w:numPr>
        <w:ilvl w:val="1"/>
        <w:numId w:val="4"/>
      </w:numPr>
      <w:spacing w:beforeLines="100" w:after="240" w:line="240" w:lineRule="auto"/>
      <w:jc w:val="center"/>
    </w:pPr>
    <w:rPr>
      <w:rFonts w:ascii="Verdana" w:eastAsia="Calibri" w:hAnsi="Verdana" w:cs="TimesLTStd-Roman"/>
      <w:b/>
      <w:sz w:val="20"/>
      <w:szCs w:val="20"/>
    </w:rPr>
  </w:style>
  <w:style w:type="paragraph" w:customStyle="1" w:styleId="Sous-section">
    <w:name w:val="Sous-section"/>
    <w:basedOn w:val="Normal"/>
    <w:qFormat/>
    <w:rsid w:val="005414C1"/>
    <w:pPr>
      <w:numPr>
        <w:ilvl w:val="2"/>
        <w:numId w:val="4"/>
      </w:numPr>
      <w:spacing w:beforeLines="100" w:after="240" w:line="240" w:lineRule="auto"/>
      <w:jc w:val="center"/>
    </w:pPr>
    <w:rPr>
      <w:rFonts w:ascii="Verdana" w:eastAsia="Calibri" w:hAnsi="Verdana" w:cs="TimesLTStd-Roman"/>
      <w:b/>
      <w:sz w:val="20"/>
      <w:szCs w:val="20"/>
    </w:rPr>
  </w:style>
  <w:style w:type="paragraph" w:customStyle="1" w:styleId="Article">
    <w:name w:val="Article"/>
    <w:basedOn w:val="Normal"/>
    <w:qFormat/>
    <w:rsid w:val="005414C1"/>
    <w:pPr>
      <w:numPr>
        <w:ilvl w:val="3"/>
        <w:numId w:val="4"/>
      </w:numPr>
      <w:spacing w:beforeLines="100" w:after="240" w:line="240" w:lineRule="auto"/>
      <w:jc w:val="both"/>
    </w:pPr>
    <w:rPr>
      <w:rFonts w:ascii="Verdana" w:eastAsia="Calibri" w:hAnsi="Verdana" w:cs="TimesLTStd-Roman"/>
      <w:b/>
      <w:sz w:val="20"/>
      <w:szCs w:val="20"/>
    </w:rPr>
  </w:style>
  <w:style w:type="paragraph" w:customStyle="1" w:styleId="Liste1">
    <w:name w:val="Liste (1)"/>
    <w:basedOn w:val="Normal"/>
    <w:qFormat/>
    <w:rsid w:val="005414C1"/>
    <w:pPr>
      <w:numPr>
        <w:ilvl w:val="4"/>
        <w:numId w:val="4"/>
      </w:numPr>
      <w:spacing w:beforeLines="125" w:after="240" w:line="240" w:lineRule="auto"/>
      <w:jc w:val="both"/>
    </w:pPr>
    <w:rPr>
      <w:rFonts w:ascii="Verdana" w:eastAsia="Calibri" w:hAnsi="Verdana" w:cs="TimesLTStd-Roman"/>
      <w:bCs/>
      <w:color w:val="221E1F"/>
      <w:sz w:val="20"/>
      <w:szCs w:val="20"/>
    </w:rPr>
  </w:style>
  <w:style w:type="paragraph" w:customStyle="1" w:styleId="Liste10">
    <w:name w:val="Liste 1."/>
    <w:basedOn w:val="Normal"/>
    <w:qFormat/>
    <w:rsid w:val="005414C1"/>
    <w:pPr>
      <w:numPr>
        <w:ilvl w:val="5"/>
        <w:numId w:val="4"/>
      </w:numPr>
      <w:spacing w:before="60" w:after="120" w:line="240" w:lineRule="auto"/>
      <w:jc w:val="both"/>
    </w:pPr>
    <w:rPr>
      <w:rFonts w:ascii="Verdana" w:eastAsia="Calibri" w:hAnsi="Verdana" w:cs="TimesLTStd-Roman"/>
      <w:iCs/>
      <w:sz w:val="20"/>
      <w:szCs w:val="20"/>
    </w:rPr>
  </w:style>
  <w:style w:type="paragraph" w:customStyle="1" w:styleId="Listea">
    <w:name w:val="Liste a)"/>
    <w:basedOn w:val="Liste10"/>
    <w:qFormat/>
    <w:rsid w:val="005414C1"/>
    <w:pPr>
      <w:numPr>
        <w:ilvl w:val="6"/>
      </w:numPr>
    </w:pPr>
    <w:rPr>
      <w:lang w:eastAsia="fr-BE"/>
    </w:rPr>
  </w:style>
  <w:style w:type="paragraph" w:customStyle="1" w:styleId="Numerotation1">
    <w:name w:val="Numerotation 1."/>
    <w:basedOn w:val="Liste1"/>
    <w:qFormat/>
    <w:rsid w:val="005414C1"/>
    <w:pPr>
      <w:numPr>
        <w:ilvl w:val="7"/>
      </w:numPr>
      <w:spacing w:beforeLines="0" w:before="120" w:after="120"/>
    </w:pPr>
  </w:style>
  <w:style w:type="paragraph" w:customStyle="1" w:styleId="Numerotationa">
    <w:name w:val="Numerotation a)"/>
    <w:basedOn w:val="Liste10"/>
    <w:qFormat/>
    <w:rsid w:val="005414C1"/>
    <w:pPr>
      <w:numPr>
        <w:ilvl w:val="8"/>
      </w:numPr>
      <w:spacing w:before="240" w:after="240"/>
    </w:pPr>
  </w:style>
  <w:style w:type="paragraph" w:customStyle="1" w:styleId="sti-art">
    <w:name w:val="sti-art"/>
    <w:basedOn w:val="Normal"/>
    <w:rsid w:val="00F256AF"/>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super">
    <w:name w:val="super"/>
    <w:basedOn w:val="DefaultParagraphFont"/>
    <w:rsid w:val="00F256AF"/>
  </w:style>
  <w:style w:type="paragraph" w:customStyle="1" w:styleId="ti-art">
    <w:name w:val="ti-art"/>
    <w:basedOn w:val="Normal"/>
    <w:rsid w:val="00F256AF"/>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Default">
    <w:name w:val="Default"/>
    <w:rsid w:val="008A3EE5"/>
    <w:pPr>
      <w:autoSpaceDE w:val="0"/>
      <w:autoSpaceDN w:val="0"/>
      <w:adjustRightInd w:val="0"/>
      <w:spacing w:after="0" w:line="240" w:lineRule="auto"/>
    </w:pPr>
    <w:rPr>
      <w:rFonts w:ascii="EUAlbertina" w:hAnsi="EUAlbertina" w:cs="EUAlbertina"/>
      <w:color w:val="000000"/>
      <w:sz w:val="24"/>
      <w:szCs w:val="24"/>
    </w:rPr>
  </w:style>
  <w:style w:type="character" w:customStyle="1" w:styleId="Heading2Char">
    <w:name w:val="Heading 2 Char"/>
    <w:basedOn w:val="DefaultParagraphFont"/>
    <w:link w:val="Heading2"/>
    <w:uiPriority w:val="9"/>
    <w:rsid w:val="006A3393"/>
    <w:rPr>
      <w:rFonts w:ascii="Verdana" w:hAnsi="Verdana"/>
      <w:b/>
      <w:color w:val="000000" w:themeColor="text1"/>
    </w:rPr>
  </w:style>
  <w:style w:type="character" w:customStyle="1" w:styleId="Heading3Char">
    <w:name w:val="Heading 3 Char"/>
    <w:basedOn w:val="DefaultParagraphFont"/>
    <w:link w:val="Heading3"/>
    <w:uiPriority w:val="9"/>
    <w:rsid w:val="00875033"/>
    <w:rPr>
      <w:rFonts w:ascii="Verdana" w:hAnsi="Verdana"/>
    </w:rPr>
  </w:style>
  <w:style w:type="paragraph" w:customStyle="1" w:styleId="CM4">
    <w:name w:val="CM4"/>
    <w:basedOn w:val="Default"/>
    <w:next w:val="Default"/>
    <w:uiPriority w:val="99"/>
    <w:rsid w:val="00004334"/>
    <w:rPr>
      <w:rFonts w:ascii="EU Albertina" w:hAnsi="EU Albertina" w:cstheme="minorBidi"/>
      <w:color w:val="auto"/>
    </w:rPr>
  </w:style>
  <w:style w:type="character" w:customStyle="1" w:styleId="MenoNoResolvida2">
    <w:name w:val="Menção Não Resolvida2"/>
    <w:basedOn w:val="DefaultParagraphFont"/>
    <w:uiPriority w:val="99"/>
    <w:semiHidden/>
    <w:unhideWhenUsed/>
    <w:rsid w:val="00FF16C4"/>
    <w:rPr>
      <w:color w:val="605E5C"/>
      <w:shd w:val="clear" w:color="auto" w:fill="E1DFDD"/>
    </w:rPr>
  </w:style>
  <w:style w:type="character" w:styleId="FollowedHyperlink">
    <w:name w:val="FollowedHyperlink"/>
    <w:basedOn w:val="DefaultParagraphFont"/>
    <w:uiPriority w:val="99"/>
    <w:semiHidden/>
    <w:unhideWhenUsed/>
    <w:rsid w:val="003B2C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72149">
      <w:bodyDiv w:val="1"/>
      <w:marLeft w:val="0"/>
      <w:marRight w:val="0"/>
      <w:marTop w:val="0"/>
      <w:marBottom w:val="0"/>
      <w:divBdr>
        <w:top w:val="none" w:sz="0" w:space="0" w:color="auto"/>
        <w:left w:val="none" w:sz="0" w:space="0" w:color="auto"/>
        <w:bottom w:val="none" w:sz="0" w:space="0" w:color="auto"/>
        <w:right w:val="none" w:sz="0" w:space="0" w:color="auto"/>
      </w:divBdr>
    </w:div>
    <w:div w:id="43602140">
      <w:bodyDiv w:val="1"/>
      <w:marLeft w:val="0"/>
      <w:marRight w:val="0"/>
      <w:marTop w:val="0"/>
      <w:marBottom w:val="0"/>
      <w:divBdr>
        <w:top w:val="none" w:sz="0" w:space="0" w:color="auto"/>
        <w:left w:val="none" w:sz="0" w:space="0" w:color="auto"/>
        <w:bottom w:val="none" w:sz="0" w:space="0" w:color="auto"/>
        <w:right w:val="none" w:sz="0" w:space="0" w:color="auto"/>
      </w:divBdr>
    </w:div>
    <w:div w:id="106044057">
      <w:bodyDiv w:val="1"/>
      <w:marLeft w:val="0"/>
      <w:marRight w:val="0"/>
      <w:marTop w:val="0"/>
      <w:marBottom w:val="0"/>
      <w:divBdr>
        <w:top w:val="none" w:sz="0" w:space="0" w:color="auto"/>
        <w:left w:val="none" w:sz="0" w:space="0" w:color="auto"/>
        <w:bottom w:val="none" w:sz="0" w:space="0" w:color="auto"/>
        <w:right w:val="none" w:sz="0" w:space="0" w:color="auto"/>
      </w:divBdr>
    </w:div>
    <w:div w:id="272711859">
      <w:bodyDiv w:val="1"/>
      <w:marLeft w:val="0"/>
      <w:marRight w:val="0"/>
      <w:marTop w:val="0"/>
      <w:marBottom w:val="0"/>
      <w:divBdr>
        <w:top w:val="none" w:sz="0" w:space="0" w:color="auto"/>
        <w:left w:val="none" w:sz="0" w:space="0" w:color="auto"/>
        <w:bottom w:val="none" w:sz="0" w:space="0" w:color="auto"/>
        <w:right w:val="none" w:sz="0" w:space="0" w:color="auto"/>
      </w:divBdr>
    </w:div>
    <w:div w:id="535002326">
      <w:bodyDiv w:val="1"/>
      <w:marLeft w:val="0"/>
      <w:marRight w:val="0"/>
      <w:marTop w:val="0"/>
      <w:marBottom w:val="0"/>
      <w:divBdr>
        <w:top w:val="none" w:sz="0" w:space="0" w:color="auto"/>
        <w:left w:val="none" w:sz="0" w:space="0" w:color="auto"/>
        <w:bottom w:val="none" w:sz="0" w:space="0" w:color="auto"/>
        <w:right w:val="none" w:sz="0" w:space="0" w:color="auto"/>
      </w:divBdr>
    </w:div>
    <w:div w:id="558907982">
      <w:bodyDiv w:val="1"/>
      <w:marLeft w:val="0"/>
      <w:marRight w:val="0"/>
      <w:marTop w:val="0"/>
      <w:marBottom w:val="0"/>
      <w:divBdr>
        <w:top w:val="none" w:sz="0" w:space="0" w:color="auto"/>
        <w:left w:val="none" w:sz="0" w:space="0" w:color="auto"/>
        <w:bottom w:val="none" w:sz="0" w:space="0" w:color="auto"/>
        <w:right w:val="none" w:sz="0" w:space="0" w:color="auto"/>
      </w:divBdr>
    </w:div>
    <w:div w:id="569727360">
      <w:bodyDiv w:val="1"/>
      <w:marLeft w:val="0"/>
      <w:marRight w:val="0"/>
      <w:marTop w:val="0"/>
      <w:marBottom w:val="0"/>
      <w:divBdr>
        <w:top w:val="none" w:sz="0" w:space="0" w:color="auto"/>
        <w:left w:val="none" w:sz="0" w:space="0" w:color="auto"/>
        <w:bottom w:val="none" w:sz="0" w:space="0" w:color="auto"/>
        <w:right w:val="none" w:sz="0" w:space="0" w:color="auto"/>
      </w:divBdr>
    </w:div>
    <w:div w:id="644966926">
      <w:bodyDiv w:val="1"/>
      <w:marLeft w:val="0"/>
      <w:marRight w:val="0"/>
      <w:marTop w:val="0"/>
      <w:marBottom w:val="0"/>
      <w:divBdr>
        <w:top w:val="none" w:sz="0" w:space="0" w:color="auto"/>
        <w:left w:val="none" w:sz="0" w:space="0" w:color="auto"/>
        <w:bottom w:val="none" w:sz="0" w:space="0" w:color="auto"/>
        <w:right w:val="none" w:sz="0" w:space="0" w:color="auto"/>
      </w:divBdr>
    </w:div>
    <w:div w:id="671301495">
      <w:bodyDiv w:val="1"/>
      <w:marLeft w:val="0"/>
      <w:marRight w:val="0"/>
      <w:marTop w:val="0"/>
      <w:marBottom w:val="0"/>
      <w:divBdr>
        <w:top w:val="none" w:sz="0" w:space="0" w:color="auto"/>
        <w:left w:val="none" w:sz="0" w:space="0" w:color="auto"/>
        <w:bottom w:val="none" w:sz="0" w:space="0" w:color="auto"/>
        <w:right w:val="none" w:sz="0" w:space="0" w:color="auto"/>
      </w:divBdr>
    </w:div>
    <w:div w:id="872226490">
      <w:bodyDiv w:val="1"/>
      <w:marLeft w:val="0"/>
      <w:marRight w:val="0"/>
      <w:marTop w:val="0"/>
      <w:marBottom w:val="0"/>
      <w:divBdr>
        <w:top w:val="none" w:sz="0" w:space="0" w:color="auto"/>
        <w:left w:val="none" w:sz="0" w:space="0" w:color="auto"/>
        <w:bottom w:val="none" w:sz="0" w:space="0" w:color="auto"/>
        <w:right w:val="none" w:sz="0" w:space="0" w:color="auto"/>
      </w:divBdr>
    </w:div>
    <w:div w:id="922838542">
      <w:bodyDiv w:val="1"/>
      <w:marLeft w:val="0"/>
      <w:marRight w:val="0"/>
      <w:marTop w:val="0"/>
      <w:marBottom w:val="0"/>
      <w:divBdr>
        <w:top w:val="none" w:sz="0" w:space="0" w:color="auto"/>
        <w:left w:val="none" w:sz="0" w:space="0" w:color="auto"/>
        <w:bottom w:val="none" w:sz="0" w:space="0" w:color="auto"/>
        <w:right w:val="none" w:sz="0" w:space="0" w:color="auto"/>
      </w:divBdr>
    </w:div>
    <w:div w:id="1004893017">
      <w:bodyDiv w:val="1"/>
      <w:marLeft w:val="0"/>
      <w:marRight w:val="0"/>
      <w:marTop w:val="0"/>
      <w:marBottom w:val="0"/>
      <w:divBdr>
        <w:top w:val="none" w:sz="0" w:space="0" w:color="auto"/>
        <w:left w:val="none" w:sz="0" w:space="0" w:color="auto"/>
        <w:bottom w:val="none" w:sz="0" w:space="0" w:color="auto"/>
        <w:right w:val="none" w:sz="0" w:space="0" w:color="auto"/>
      </w:divBdr>
    </w:div>
    <w:div w:id="1073505622">
      <w:bodyDiv w:val="1"/>
      <w:marLeft w:val="0"/>
      <w:marRight w:val="0"/>
      <w:marTop w:val="0"/>
      <w:marBottom w:val="0"/>
      <w:divBdr>
        <w:top w:val="none" w:sz="0" w:space="0" w:color="auto"/>
        <w:left w:val="none" w:sz="0" w:space="0" w:color="auto"/>
        <w:bottom w:val="none" w:sz="0" w:space="0" w:color="auto"/>
        <w:right w:val="none" w:sz="0" w:space="0" w:color="auto"/>
      </w:divBdr>
    </w:div>
    <w:div w:id="1350328602">
      <w:bodyDiv w:val="1"/>
      <w:marLeft w:val="0"/>
      <w:marRight w:val="0"/>
      <w:marTop w:val="0"/>
      <w:marBottom w:val="0"/>
      <w:divBdr>
        <w:top w:val="none" w:sz="0" w:space="0" w:color="auto"/>
        <w:left w:val="none" w:sz="0" w:space="0" w:color="auto"/>
        <w:bottom w:val="none" w:sz="0" w:space="0" w:color="auto"/>
        <w:right w:val="none" w:sz="0" w:space="0" w:color="auto"/>
      </w:divBdr>
    </w:div>
    <w:div w:id="1790584226">
      <w:bodyDiv w:val="1"/>
      <w:marLeft w:val="0"/>
      <w:marRight w:val="0"/>
      <w:marTop w:val="0"/>
      <w:marBottom w:val="0"/>
      <w:divBdr>
        <w:top w:val="none" w:sz="0" w:space="0" w:color="auto"/>
        <w:left w:val="none" w:sz="0" w:space="0" w:color="auto"/>
        <w:bottom w:val="none" w:sz="0" w:space="0" w:color="auto"/>
        <w:right w:val="none" w:sz="0" w:space="0" w:color="auto"/>
      </w:divBdr>
    </w:div>
    <w:div w:id="1869030707">
      <w:bodyDiv w:val="1"/>
      <w:marLeft w:val="0"/>
      <w:marRight w:val="0"/>
      <w:marTop w:val="0"/>
      <w:marBottom w:val="0"/>
      <w:divBdr>
        <w:top w:val="none" w:sz="0" w:space="0" w:color="auto"/>
        <w:left w:val="none" w:sz="0" w:space="0" w:color="auto"/>
        <w:bottom w:val="none" w:sz="0" w:space="0" w:color="auto"/>
        <w:right w:val="none" w:sz="0" w:space="0" w:color="auto"/>
      </w:divBdr>
    </w:div>
    <w:div w:id="208001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e.pt/web/guest/pesquisa/-/search/540820/details/normal?l=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re.pt/web/guest/pesquisa/-/search/540820/details/normal?l=1" TargetMode="External"/><Relationship Id="rId4" Type="http://schemas.openxmlformats.org/officeDocument/2006/relationships/settings" Target="settings.xml"/><Relationship Id="rId9" Type="http://schemas.openxmlformats.org/officeDocument/2006/relationships/hyperlink" Target="https://dre.pt/web/guest/pesquisa/-/search/540820/details/normal?l=1"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B59D7-D834-47D8-AA0D-FA3895E6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33</Pages>
  <Words>8968</Words>
  <Characters>51118</Characters>
  <Application>Microsoft Office Word</Application>
  <DocSecurity>0</DocSecurity>
  <Lines>425</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c:creator>
  <cp:keywords/>
  <dc:description/>
  <cp:lastModifiedBy>Dimitris Dimitriadis</cp:lastModifiedBy>
  <cp:revision>33</cp:revision>
  <dcterms:created xsi:type="dcterms:W3CDTF">2021-03-12T18:57:00Z</dcterms:created>
  <dcterms:modified xsi:type="dcterms:W3CDTF">2021-03-30T15:14:00Z</dcterms:modified>
</cp:coreProperties>
</file>