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9E93C" w14:textId="77777777" w:rsidR="00EC22B5" w:rsidRDefault="00EC22B5" w:rsidP="00EC22B5">
      <w:pPr>
        <w:ind w:right="1417"/>
        <w:rPr>
          <w:caps/>
          <w:sz w:val="24"/>
          <w:szCs w:val="24"/>
          <w:rFonts w:ascii="Times New Roman" w:hAnsi="Times New Roman" w:cs="Times New Roman"/>
        </w:rPr>
      </w:pPr>
      <w:r>
        <w:rPr>
          <w:caps/>
          <w:sz w:val="24"/>
          <w:rFonts w:ascii="Times New Roman" w:hAnsi="Times New Roman"/>
        </w:rPr>
        <w:t xml:space="preserve">Ministerstvo sociálních věcí</w:t>
      </w:r>
    </w:p>
    <w:p w14:paraId="0BE57393" w14:textId="77777777" w:rsidR="00EC22B5" w:rsidRPr="00EC22B5" w:rsidRDefault="00EC22B5" w:rsidP="00EC22B5">
      <w:pPr>
        <w:ind w:right="1417"/>
        <w:rPr>
          <w:b/>
          <w:caps/>
          <w:sz w:val="24"/>
          <w:szCs w:val="24"/>
          <w:rFonts w:ascii="Times New Roman" w:hAnsi="Times New Roman" w:cs="Times New Roman"/>
        </w:rPr>
      </w:pPr>
      <w:r>
        <w:rPr>
          <w:caps/>
          <w:sz w:val="24"/>
          <w:rFonts w:ascii="Times New Roman" w:hAnsi="Times New Roman"/>
        </w:rPr>
        <w:t xml:space="preserve">a zdravotnictví</w:t>
      </w:r>
    </w:p>
    <w:p w14:paraId="7C8F7A88" w14:textId="77777777" w:rsidR="00EC22B5" w:rsidRDefault="00EC22B5" w:rsidP="00AB7CED">
      <w:pPr>
        <w:ind w:left="1418" w:right="141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5CB316" w14:textId="77777777" w:rsidR="00891D87" w:rsidRPr="00AB7CED" w:rsidRDefault="00891D87" w:rsidP="00AB7CED">
      <w:pPr>
        <w:ind w:left="1418" w:right="1417"/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Vyhláška xxx, kterou se provádí článek R. 5132-86 zákoníku veřejného zdraví pro konopí</w:t>
      </w:r>
    </w:p>
    <w:p w14:paraId="2A4F1A40" w14:textId="77777777" w:rsidR="00891D87" w:rsidRPr="00AB7CED" w:rsidRDefault="00FC7100" w:rsidP="00FC7100">
      <w:pPr>
        <w:jc w:val="center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NOR:</w:t>
      </w:r>
    </w:p>
    <w:p w14:paraId="37AED920" w14:textId="77777777" w:rsidR="00891D87" w:rsidRPr="00AB7CED" w:rsidRDefault="00891D87" w:rsidP="00542229">
      <w:pPr>
        <w:ind w:firstLine="567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Ministr sociálních věcí a zdravotnictví, ministr zemědělství a výživy, zástupce ministra hospodářství, financí a obnovy, odpovědný za veřejné účty, a zástupce ministra hospodářství, financí a obnovy, odpovědný za průmysl,</w:t>
      </w:r>
    </w:p>
    <w:p w14:paraId="49CC6C3A" w14:textId="77777777" w:rsidR="00891D87" w:rsidRPr="00AB7CED" w:rsidRDefault="00891D87" w:rsidP="00542229">
      <w:pPr>
        <w:ind w:firstLine="567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 ohledem na nařízení Evropského parlamentu a Rady (ES) č. 178/2002 ze dne 28. ledna 2002, kterým se stanoví obecné zásady a požadavky potravinového práva, zřizuje se Evropský úřad pro bezpečnost potravin a stanoví postupy, týkající se bezpečnosti potravin, a zejména na články 14 a 15;</w:t>
      </w:r>
    </w:p>
    <w:p w14:paraId="4260D179" w14:textId="77777777" w:rsidR="00891D87" w:rsidRPr="00AB7CED" w:rsidRDefault="00891D87" w:rsidP="00542229">
      <w:pPr>
        <w:ind w:firstLine="567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 ohledem na nařízení Evropského parlamentu a Rady (ES) č. 767/2009 ze dne 13. července 2009 o uvádění na trh a používání krmiv, o změně nařízení Evropského parlamentu a Rady (ES) č. 1831/2003 a o zrušení směrnice Rady 79/373/EHS, směrnice Komise 80/511/EHS, směrnic Rady 82/471/EHS, 83/228/EHS, 93/74/EHS, 93/113/ES a 96/25/ES a rozhodnutí Komise 2004/217/ES;</w:t>
      </w:r>
    </w:p>
    <w:p w14:paraId="1750F816" w14:textId="77777777" w:rsidR="00891D87" w:rsidRPr="00AB7CED" w:rsidRDefault="00891D87" w:rsidP="00542229">
      <w:pPr>
        <w:ind w:firstLine="567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 ohledem na směrnici Rady 2002/53/ES ze dne 13. června 2002 o Společném katalogu odrůd druhů zemědělských rostlin;</w:t>
      </w:r>
    </w:p>
    <w:p w14:paraId="184A1167" w14:textId="77777777" w:rsidR="00891D87" w:rsidRPr="00AB7CED" w:rsidRDefault="00891D87" w:rsidP="00542229">
      <w:pPr>
        <w:ind w:firstLine="567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 ohledem na směrnici Evropského parlamentu a Rady (EU) 2015/1535 ze dne 9. září 2015 o postupu při poskytování informací v oblasti technických předpisů a předpisů pro služby informační společnosti, a zejména na oznámení č. 2020/.../F;</w:t>
      </w:r>
    </w:p>
    <w:p w14:paraId="6C8A52BD" w14:textId="77777777" w:rsidR="00FC7100" w:rsidRPr="00AB7CED" w:rsidRDefault="00FC7100" w:rsidP="00542229">
      <w:pPr>
        <w:ind w:firstLine="567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 ohledem na francouzský zákon o veřejném zdraví, zejména na články L. 5132-8 a R. 5132-86 tohoto zákona;</w:t>
      </w:r>
      <w:r>
        <w:rPr>
          <w:sz w:val="24"/>
          <w:rFonts w:ascii="Times New Roman" w:hAnsi="Times New Roman"/>
        </w:rPr>
        <w:t xml:space="preserve"> </w:t>
      </w:r>
    </w:p>
    <w:p w14:paraId="119510F4" w14:textId="77777777" w:rsidR="00891D87" w:rsidRPr="00AB7CED" w:rsidRDefault="00891D87" w:rsidP="00542229">
      <w:pPr>
        <w:ind w:firstLine="567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S ohledem na vyhlášku č. 81-605 ze dne 18. května 1981 ve znění pozdějších předpisů, která byla přijata k implementaci zákona ze dne 1. srpna 1905 o předcházení trestným činům souvisejícím s obchodem s osivem a rostlinami;</w:t>
      </w:r>
    </w:p>
    <w:p w14:paraId="1EB81086" w14:textId="77777777" w:rsidR="00FC7100" w:rsidRPr="00AB7CED" w:rsidRDefault="00FC7100" w:rsidP="00AB7C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5E9AC8" w14:textId="77777777" w:rsidR="00FC7100" w:rsidRPr="00AB7CED" w:rsidRDefault="00FC7100" w:rsidP="00AB7CED">
      <w:pPr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Tímto nařizují:</w:t>
      </w:r>
    </w:p>
    <w:p w14:paraId="4664A3AD" w14:textId="77777777" w:rsidR="00891D87" w:rsidRPr="00AB7CED" w:rsidRDefault="00891D87" w:rsidP="00AB7CED">
      <w:pPr>
        <w:jc w:val="both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Článek 1</w:t>
      </w:r>
      <w:r>
        <w:rPr>
          <w:b/>
          <w:sz w:val="24"/>
          <w:rFonts w:ascii="Times New Roman" w:hAnsi="Times New Roman"/>
        </w:rPr>
        <w:t xml:space="preserve"> </w:t>
      </w:r>
    </w:p>
    <w:p w14:paraId="1DE80675" w14:textId="77777777" w:rsidR="00891D87" w:rsidRPr="00AB7CED" w:rsidRDefault="00891D87" w:rsidP="00AB7CED">
      <w:pPr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I.- Podle článku R. 5132-86 zákoníku veřejného zdraví se povoluje pěstování, dovoz, vývoz a průmyslové a obchodní využití pouze odrůd Cannabis sativa L., jejichž obsah delta-9-tetrahydrokanabinolu nepřesahuje 0,20 % a které jsou uvedeny ve Společném katalogu odrůd druhů zemědělských rostlin nebo v úředním katalogu druhů a odrůd rostlin pěstovaných ve Francii.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Stanovení obsahu delta-9-tetrahydrokanabinolu ve výše uvedených odrůdách a odběr vzorků pro toto stanovení se provádí metodou stanovenou v příloze;</w:t>
      </w:r>
    </w:p>
    <w:p w14:paraId="694C6B7A" w14:textId="77777777" w:rsidR="00891D87" w:rsidRPr="00AB7CED" w:rsidRDefault="00891D87" w:rsidP="00AB7CED">
      <w:pPr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Květy a listy jsou vyráběny z certifikovaných osiv.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Prodej rostlin a uskutečňování řezání jsou zakázány.</w:t>
      </w:r>
      <w:r>
        <w:rPr>
          <w:sz w:val="24"/>
          <w:rFonts w:ascii="Times New Roman" w:hAnsi="Times New Roman"/>
        </w:rPr>
        <w:t xml:space="preserve"> </w:t>
      </w:r>
    </w:p>
    <w:p w14:paraId="33C41145" w14:textId="77777777" w:rsidR="00891D87" w:rsidRPr="00AB7CED" w:rsidRDefault="00891D87" w:rsidP="00AB7CED">
      <w:pPr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Pouze aktivní zemědělci ve smyslu stávajících evropských a národních předpisů mohou pěstovat květy a listy konopí.</w:t>
      </w:r>
    </w:p>
    <w:p w14:paraId="03D757C4" w14:textId="77777777" w:rsidR="00891D87" w:rsidRPr="00AB7CED" w:rsidRDefault="00891D87" w:rsidP="00AB7CED">
      <w:pPr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II.- Květy a listy odrůd uvedených v části I mohou být sklizeny, dováženy nebo použity pouze pro průmyslovou produkci konopných výtažků.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Zejména je zakázáno prodávat spotřebitelům květy nebo surové listy ve všech formách, samostatně nebo v kombinaci s jinými složkami, jejich držení spotřebiteli a jejich konzumace.</w:t>
      </w:r>
    </w:p>
    <w:p w14:paraId="774EA98E" w14:textId="77777777" w:rsidR="00891D87" w:rsidRPr="00AB7CED" w:rsidRDefault="00891D87" w:rsidP="00AB7CED">
      <w:pPr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Nákup konopných květů a listů, vyrobených na francouzském území, je předmětem písemné smlouvy mezi výrobcem a kupujícím.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Smlouva obsahuje informace o objemu a ceně produktů.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Smlouva může obsahovat informace o očekávané kvalitě výrobků.</w:t>
      </w:r>
      <w:r>
        <w:rPr>
          <w:sz w:val="24"/>
          <w:rFonts w:ascii="Times New Roman" w:hAnsi="Times New Roman"/>
        </w:rPr>
        <w:t xml:space="preserve"> </w:t>
      </w:r>
      <w:r>
        <w:rPr>
          <w:sz w:val="24"/>
          <w:rFonts w:ascii="Times New Roman" w:hAnsi="Times New Roman"/>
        </w:rPr>
        <w:t xml:space="preserve">Smlouva se uzavírá před začátkem výrobního roku.</w:t>
      </w:r>
      <w:r>
        <w:rPr>
          <w:sz w:val="24"/>
          <w:rFonts w:ascii="Times New Roman" w:hAnsi="Times New Roman"/>
        </w:rPr>
        <w:t xml:space="preserve"> </w:t>
      </w:r>
    </w:p>
    <w:p w14:paraId="1FCBA4FF" w14:textId="77777777" w:rsidR="00891D87" w:rsidRPr="00AB7CED" w:rsidRDefault="00891D87" w:rsidP="00AB7CED">
      <w:pPr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III. Aniž jsou dotčeny články 14 a 15 nařízení (ES) č. 178/2002 a článek 4 nařízení (ES) č. 767/2009, nesmí obsah delta-9-tetrahydrokanabinolu v extraktech konopí a v produktech, které je obsahují, překročit 0,2 %.</w:t>
      </w:r>
    </w:p>
    <w:p w14:paraId="6285A094" w14:textId="77777777" w:rsidR="00891D87" w:rsidRPr="00AB7CED" w:rsidRDefault="00891D87" w:rsidP="00AB7CED">
      <w:pPr>
        <w:jc w:val="both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Článek 2</w:t>
      </w:r>
    </w:p>
    <w:p w14:paraId="3B6E34B8" w14:textId="77777777" w:rsidR="00891D87" w:rsidRDefault="00891D87" w:rsidP="00AB7CED">
      <w:pPr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Produkty získané z konopí podle článku 1 mohou být dováženy ze zemí mimo Evropskou unii nebo vyvezeny mimo Evropskou unii pouze tehdy, jsou-li k nim přiloženy doklady potvrzující jejich soulad s touto vyhláškou.</w:t>
      </w:r>
    </w:p>
    <w:p w14:paraId="0DE9405A" w14:textId="77777777" w:rsidR="00542229" w:rsidRPr="00AB7CED" w:rsidRDefault="00542229" w:rsidP="00542229">
      <w:pPr>
        <w:jc w:val="both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Článek 3</w:t>
      </w:r>
    </w:p>
    <w:p w14:paraId="48567770" w14:textId="77777777" w:rsidR="00542229" w:rsidRPr="00AB7CED" w:rsidRDefault="00542229" w:rsidP="00AB7CED">
      <w:pPr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Ruší se vyhláška ze dne 22. srpna 1990, kterou se provádí článek R. 5132-86 zákoníku veřejného zdraví pro konopí.</w:t>
      </w:r>
    </w:p>
    <w:p w14:paraId="3830ED1D" w14:textId="77777777" w:rsidR="00891D87" w:rsidRPr="00AB7CED" w:rsidRDefault="00891D87" w:rsidP="00AB7CED">
      <w:pPr>
        <w:jc w:val="both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Článek 4</w:t>
      </w:r>
    </w:p>
    <w:p w14:paraId="48053AD1" w14:textId="77777777" w:rsidR="00891D87" w:rsidRPr="00AB7CED" w:rsidRDefault="00891D87" w:rsidP="00AB7CED">
      <w:pPr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Za provádění tohoto nařízení, které bude zveřejněno v Úředním věstníku Francouzské republiky, odpovídá generální ředitel pro zdraví, generální ředitel pro potraviny, generální ředitel pro podnikání a generální ředitel pro cla a nepřímé daně.</w:t>
      </w:r>
    </w:p>
    <w:p w14:paraId="0BAE3022" w14:textId="77777777" w:rsidR="00542229" w:rsidRDefault="00542229" w:rsidP="00542229">
      <w:pPr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Ministr zdravotnictví a sociálních věcí</w:t>
      </w:r>
    </w:p>
    <w:p w14:paraId="3479316A" w14:textId="77777777" w:rsidR="00542229" w:rsidRDefault="00542229" w:rsidP="00542229">
      <w:pPr>
        <w:jc w:val="right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Ministr zemědělství a výživy</w:t>
      </w:r>
    </w:p>
    <w:p w14:paraId="286977AA" w14:textId="77777777" w:rsidR="00542229" w:rsidRDefault="00542229" w:rsidP="00542229">
      <w:pPr>
        <w:ind w:right="5103"/>
        <w:jc w:val="both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Zástupce ministra hospodářství, financí a obnovy, odpovědný za veřejné účty</w:t>
      </w:r>
    </w:p>
    <w:p w14:paraId="71208B86" w14:textId="77777777" w:rsidR="00542229" w:rsidRPr="00AB7CED" w:rsidRDefault="00542229" w:rsidP="00542229">
      <w:pPr>
        <w:ind w:left="3540" w:firstLine="708"/>
        <w:jc w:val="center"/>
        <w:rPr>
          <w:sz w:val="24"/>
          <w:szCs w:val="24"/>
          <w:rFonts w:ascii="Times New Roman" w:hAnsi="Times New Roman" w:cs="Times New Roman"/>
        </w:rPr>
      </w:pPr>
      <w:r>
        <w:rPr>
          <w:sz w:val="24"/>
          <w:rFonts w:ascii="Times New Roman" w:hAnsi="Times New Roman"/>
        </w:rPr>
        <w:t xml:space="preserve">Zástupce ministra hospodářství, financí a obnovy, odpovědný za průmysl,</w:t>
      </w:r>
    </w:p>
    <w:p w14:paraId="08957A8F" w14:textId="77777777" w:rsidR="00AB7CED" w:rsidRDefault="00AB7CED">
      <w:pPr>
        <w:rPr>
          <w:b/>
          <w:sz w:val="24"/>
          <w:szCs w:val="24"/>
          <w:rFonts w:ascii="Times New Roman" w:hAnsi="Times New Roman" w:cs="Times New Roman"/>
        </w:rPr>
      </w:pPr>
      <w:r>
        <w:br w:type="page"/>
      </w:r>
    </w:p>
    <w:p w14:paraId="698B828F" w14:textId="77777777" w:rsidR="00891D87" w:rsidRPr="00AB7CED" w:rsidRDefault="00891D87" w:rsidP="00AB7CED">
      <w:pPr>
        <w:jc w:val="both"/>
        <w:rPr>
          <w:b/>
          <w:sz w:val="24"/>
          <w:szCs w:val="24"/>
          <w:rFonts w:ascii="Times New Roman" w:hAnsi="Times New Roman" w:cs="Times New Roman"/>
        </w:rPr>
      </w:pPr>
      <w:r>
        <w:rPr>
          <w:b/>
          <w:sz w:val="24"/>
          <w:rFonts w:ascii="Times New Roman" w:hAnsi="Times New Roman"/>
        </w:rPr>
        <w:t xml:space="preserve">PŘÍLOHA:</w:t>
      </w:r>
      <w:r>
        <w:rPr>
          <w:b/>
          <w:sz w:val="24"/>
          <w:rFonts w:ascii="Times New Roman" w:hAnsi="Times New Roman"/>
        </w:rPr>
        <w:t xml:space="preserve"> </w:t>
      </w:r>
      <w:r>
        <w:rPr>
          <w:b/>
          <w:sz w:val="24"/>
          <w:rFonts w:ascii="Times New Roman" w:hAnsi="Times New Roman"/>
        </w:rPr>
        <w:t xml:space="preserve">METODA KVANTITATIVNÍHO STANOVENÍ DELTA-9-TETRAHYDROKANABINOLU (9-THC) V ODRŮDÁCH KONOPÍ</w:t>
      </w:r>
    </w:p>
    <w:p w14:paraId="281C9426" w14:textId="77777777" w:rsidR="00891D87" w:rsidRPr="00891D87" w:rsidRDefault="00891D87" w:rsidP="00AB7CED">
      <w:pPr>
        <w:spacing w:after="0" w:line="240" w:lineRule="auto"/>
        <w:jc w:val="both"/>
        <w:rPr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shd w:val="clear" w:color="auto" w:fill="FFFFFF"/>
          <w:rFonts w:ascii="Times New Roman" w:hAnsi="Times New Roman"/>
        </w:rPr>
        <w:t xml:space="preserve">1.</w:t>
      </w:r>
      <w:r>
        <w:rPr>
          <w:color w:val="3C3C3C"/>
          <w:sz w:val="24"/>
          <w:shd w:val="clear" w:color="auto" w:fill="FFFFFF"/>
          <w:rFonts w:ascii="Times New Roman" w:hAnsi="Times New Roman"/>
        </w:rPr>
        <w:t xml:space="preserve"> </w:t>
      </w:r>
      <w:r>
        <w:rPr>
          <w:color w:val="3C3C3C"/>
          <w:sz w:val="24"/>
          <w:shd w:val="clear" w:color="auto" w:fill="FFFFFF"/>
          <w:rFonts w:ascii="Times New Roman" w:hAnsi="Times New Roman"/>
        </w:rPr>
        <w:t xml:space="preserve">Předmět a oblast působnosti</w:t>
      </w:r>
    </w:p>
    <w:p w14:paraId="6B6C345E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Metoda se používá ke stanovení obsahu delta-9-tetrahydrokanabinolu (9-THC) v Cannabis sativa L.</w:t>
      </w:r>
    </w:p>
    <w:p w14:paraId="3121EDB0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Podle potřeby je možné metodu aplikovat v souladu s níže popsaným postupem A nebo B.</w:t>
      </w:r>
      <w:r>
        <w:rPr>
          <w:color w:val="3C3C3C"/>
          <w:sz w:val="24"/>
          <w:rFonts w:ascii="Times New Roman" w:hAnsi="Times New Roman"/>
        </w:rPr>
        <w:t xml:space="preserve"> </w:t>
      </w:r>
      <w:r>
        <w:rPr>
          <w:color w:val="3C3C3C"/>
          <w:sz w:val="24"/>
          <w:rFonts w:ascii="Times New Roman" w:hAnsi="Times New Roman"/>
        </w:rPr>
        <w:t xml:space="preserve">Tato metoda je založena na kvantitativním stanovení 9-THC po extrakci rozpouštědlem pomocí plynové chromatografie (GCP).</w:t>
      </w:r>
    </w:p>
    <w:p w14:paraId="7DA8565F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1.1.</w:t>
      </w:r>
      <w:r>
        <w:rPr>
          <w:color w:val="3C3C3C"/>
          <w:sz w:val="24"/>
          <w:rFonts w:ascii="Times New Roman" w:hAnsi="Times New Roman"/>
        </w:rPr>
        <w:t xml:space="preserve"> </w:t>
      </w:r>
      <w:r>
        <w:rPr>
          <w:color w:val="3C3C3C"/>
          <w:sz w:val="24"/>
          <w:rFonts w:ascii="Times New Roman" w:hAnsi="Times New Roman"/>
        </w:rPr>
        <w:t xml:space="preserve">Postup A</w:t>
      </w:r>
    </w:p>
    <w:p w14:paraId="3E0667C2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Postup A se používá pro účely kontroly odrůd uvedených v článku 1 vyhlášky xxx, kterou se provádí článek R. 5181 zákoníku veřejného zdraví pro konopí.</w:t>
      </w:r>
    </w:p>
    <w:p w14:paraId="16C75106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Pokud ze zjištění vyplývá, že u významného počtu vzorků dané odrůdy je obsah 9-THC vyšší než obsah povolený v článku 1 výše uvedené vyhlášky, lze použít postup B.</w:t>
      </w:r>
    </w:p>
    <w:p w14:paraId="777C1AF5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1.2.</w:t>
      </w:r>
      <w:r>
        <w:rPr>
          <w:color w:val="3C3C3C"/>
          <w:sz w:val="24"/>
          <w:rFonts w:ascii="Times New Roman" w:hAnsi="Times New Roman"/>
        </w:rPr>
        <w:t xml:space="preserve"> </w:t>
      </w:r>
      <w:r>
        <w:rPr>
          <w:color w:val="3C3C3C"/>
          <w:sz w:val="24"/>
          <w:rFonts w:ascii="Times New Roman" w:hAnsi="Times New Roman"/>
        </w:rPr>
        <w:t xml:space="preserve">Postup B</w:t>
      </w:r>
    </w:p>
    <w:p w14:paraId="6F2329A7" w14:textId="77777777" w:rsidR="00FC7100" w:rsidRPr="00AB7CED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Pro případy uvedené v bodě 1.1 druhém pododstavci se použije postup B.</w:t>
      </w:r>
    </w:p>
    <w:p w14:paraId="3301E73A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2.</w:t>
      </w:r>
      <w:r>
        <w:rPr>
          <w:color w:val="3C3C3C"/>
          <w:sz w:val="24"/>
          <w:rFonts w:ascii="Times New Roman" w:hAnsi="Times New Roman"/>
        </w:rPr>
        <w:t xml:space="preserve"> </w:t>
      </w:r>
      <w:r>
        <w:rPr>
          <w:color w:val="3C3C3C"/>
          <w:sz w:val="24"/>
          <w:rFonts w:ascii="Times New Roman" w:hAnsi="Times New Roman"/>
        </w:rPr>
        <w:t xml:space="preserve">Odběr vzorků</w:t>
      </w:r>
    </w:p>
    <w:p w14:paraId="6B1063C6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2.1.</w:t>
      </w:r>
      <w:r>
        <w:rPr>
          <w:color w:val="3C3C3C"/>
          <w:sz w:val="24"/>
          <w:rFonts w:ascii="Times New Roman" w:hAnsi="Times New Roman"/>
        </w:rPr>
        <w:t xml:space="preserve"> </w:t>
      </w:r>
      <w:r>
        <w:rPr>
          <w:color w:val="3C3C3C"/>
          <w:sz w:val="24"/>
          <w:rFonts w:ascii="Times New Roman" w:hAnsi="Times New Roman"/>
        </w:rPr>
        <w:t xml:space="preserve">Vzorky</w:t>
      </w:r>
    </w:p>
    <w:p w14:paraId="6ED09C9C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Postup A:</w:t>
      </w:r>
      <w:r>
        <w:rPr>
          <w:color w:val="3C3C3C"/>
          <w:sz w:val="24"/>
          <w:rFonts w:ascii="Times New Roman" w:hAnsi="Times New Roman"/>
        </w:rPr>
        <w:t xml:space="preserve"> </w:t>
      </w:r>
      <w:r>
        <w:rPr>
          <w:color w:val="3C3C3C"/>
          <w:sz w:val="24"/>
          <w:rFonts w:ascii="Times New Roman" w:hAnsi="Times New Roman"/>
        </w:rPr>
        <w:t xml:space="preserve">U dané populace konopí se pro každou vybranou rostlinu odebere 30 cm část alespoň jednoho samičího květenství.</w:t>
      </w:r>
      <w:r>
        <w:rPr>
          <w:color w:val="3C3C3C"/>
          <w:sz w:val="24"/>
          <w:rFonts w:ascii="Times New Roman" w:hAnsi="Times New Roman"/>
        </w:rPr>
        <w:t xml:space="preserve"> </w:t>
      </w:r>
      <w:r>
        <w:rPr>
          <w:color w:val="3C3C3C"/>
          <w:sz w:val="24"/>
          <w:rFonts w:ascii="Times New Roman" w:hAnsi="Times New Roman"/>
        </w:rPr>
        <w:t xml:space="preserve">Odběr vzorků probíhá v období mezi dvaceti dny po začátku a deseti dny po skončení kvetení během dne systematickým způsobem, který umožňuje reprezentativní sběr na celém pozemku s výjimkou jeho okrajů.</w:t>
      </w:r>
    </w:p>
    <w:p w14:paraId="54150C46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Postup B:</w:t>
      </w:r>
      <w:r>
        <w:rPr>
          <w:color w:val="3C3C3C"/>
          <w:sz w:val="24"/>
          <w:rFonts w:ascii="Times New Roman" w:hAnsi="Times New Roman"/>
        </w:rPr>
        <w:t xml:space="preserve"> </w:t>
      </w:r>
      <w:r>
        <w:rPr>
          <w:color w:val="3C3C3C"/>
          <w:sz w:val="24"/>
          <w:rFonts w:ascii="Times New Roman" w:hAnsi="Times New Roman"/>
        </w:rPr>
        <w:t xml:space="preserve">V populaci dané odrůdy Cannabis sativa L. bude odebrána horní třetina každé vybrané rostliny.</w:t>
      </w:r>
      <w:r>
        <w:rPr>
          <w:color w:val="3C3C3C"/>
          <w:sz w:val="24"/>
          <w:rFonts w:ascii="Times New Roman" w:hAnsi="Times New Roman"/>
        </w:rPr>
        <w:t xml:space="preserve"> </w:t>
      </w:r>
      <w:r>
        <w:rPr>
          <w:color w:val="3C3C3C"/>
          <w:sz w:val="24"/>
          <w:rFonts w:ascii="Times New Roman" w:hAnsi="Times New Roman"/>
        </w:rPr>
        <w:t xml:space="preserve">Odběr vzorků se provádí do deseti dnů od konce kvetení během dne systematickým způsobem, který umožňuje reprezentativní sběr na celém pozemku s výjimkou jeho okrajů.</w:t>
      </w:r>
      <w:r>
        <w:rPr>
          <w:color w:val="3C3C3C"/>
          <w:sz w:val="24"/>
          <w:rFonts w:ascii="Times New Roman" w:hAnsi="Times New Roman"/>
        </w:rPr>
        <w:t xml:space="preserve"> </w:t>
      </w:r>
      <w:r>
        <w:rPr>
          <w:color w:val="3C3C3C"/>
          <w:sz w:val="24"/>
          <w:rFonts w:ascii="Times New Roman" w:hAnsi="Times New Roman"/>
        </w:rPr>
        <w:t xml:space="preserve">V případě dvoudomé odrůdy budou shromažďovány pouze samičí rostliny.</w:t>
      </w:r>
    </w:p>
    <w:p w14:paraId="4684C028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2.2.</w:t>
      </w:r>
      <w:r>
        <w:rPr>
          <w:color w:val="3C3C3C"/>
          <w:sz w:val="24"/>
          <w:rFonts w:ascii="Times New Roman" w:hAnsi="Times New Roman"/>
        </w:rPr>
        <w:t xml:space="preserve"> </w:t>
      </w:r>
      <w:r>
        <w:rPr>
          <w:color w:val="3C3C3C"/>
          <w:sz w:val="24"/>
          <w:rFonts w:ascii="Times New Roman" w:hAnsi="Times New Roman"/>
        </w:rPr>
        <w:t xml:space="preserve">Množství vzorků</w:t>
      </w:r>
    </w:p>
    <w:p w14:paraId="6DCC997E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Postup A:</w:t>
      </w:r>
      <w:r>
        <w:rPr>
          <w:color w:val="3C3C3C"/>
          <w:sz w:val="24"/>
          <w:rFonts w:ascii="Times New Roman" w:hAnsi="Times New Roman"/>
        </w:rPr>
        <w:t xml:space="preserve"> </w:t>
      </w:r>
      <w:r>
        <w:rPr>
          <w:color w:val="3C3C3C"/>
          <w:sz w:val="24"/>
          <w:rFonts w:ascii="Times New Roman" w:hAnsi="Times New Roman"/>
        </w:rPr>
        <w:t xml:space="preserve">Pro každý pozemek se vzorek odebere z 50 rostlin.</w:t>
      </w:r>
    </w:p>
    <w:p w14:paraId="5D29643E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Postup B:</w:t>
      </w:r>
      <w:r>
        <w:rPr>
          <w:color w:val="3C3C3C"/>
          <w:sz w:val="24"/>
          <w:rFonts w:ascii="Times New Roman" w:hAnsi="Times New Roman"/>
        </w:rPr>
        <w:t xml:space="preserve"> </w:t>
      </w:r>
      <w:r>
        <w:rPr>
          <w:color w:val="3C3C3C"/>
          <w:sz w:val="24"/>
          <w:rFonts w:ascii="Times New Roman" w:hAnsi="Times New Roman"/>
        </w:rPr>
        <w:t xml:space="preserve">Pro každý pozemek se vzorek odebere z 200 rostlin.</w:t>
      </w:r>
    </w:p>
    <w:p w14:paraId="17F786E7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Každý vzorek se umístí bez manipulace do látky nebo papírového sáčku a poté se zašle do laboratoře odpovědné za stanovení obsahu 9-THC.</w:t>
      </w:r>
    </w:p>
    <w:p w14:paraId="0DFF005F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Druhý vzorek může být odebrán pro případnou protianalýzu a skladován buď výrobcem, nebo laboratoří.</w:t>
      </w:r>
    </w:p>
    <w:p w14:paraId="0ABDF5B0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2.3.</w:t>
      </w:r>
      <w:r>
        <w:rPr>
          <w:color w:val="3C3C3C"/>
          <w:sz w:val="24"/>
          <w:rFonts w:ascii="Times New Roman" w:hAnsi="Times New Roman"/>
        </w:rPr>
        <w:t xml:space="preserve"> </w:t>
      </w:r>
      <w:r>
        <w:rPr>
          <w:color w:val="3C3C3C"/>
          <w:sz w:val="24"/>
          <w:rFonts w:ascii="Times New Roman" w:hAnsi="Times New Roman"/>
        </w:rPr>
        <w:t xml:space="preserve">Sušení a skladování vzorku</w:t>
      </w:r>
    </w:p>
    <w:p w14:paraId="348704C1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Vzorky se suší co nejrychleji a v každém případě do 48 hodin při teplotě nižší než 70 °C. Vzorky se vysuší na konstantní hmotnost s vlhkostí mezi 8 a 13 %.</w:t>
      </w:r>
    </w:p>
    <w:p w14:paraId="3ACE3336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Suché vzorky se neuchovávají ve tmě a při teplotách nižších než 25 °C.</w:t>
      </w:r>
    </w:p>
    <w:p w14:paraId="138F62F4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3.</w:t>
      </w:r>
      <w:r>
        <w:rPr>
          <w:color w:val="3C3C3C"/>
          <w:sz w:val="24"/>
          <w:rFonts w:ascii="Times New Roman" w:hAnsi="Times New Roman"/>
        </w:rPr>
        <w:t xml:space="preserve"> </w:t>
      </w:r>
      <w:r>
        <w:rPr>
          <w:color w:val="3C3C3C"/>
          <w:sz w:val="24"/>
          <w:rFonts w:ascii="Times New Roman" w:hAnsi="Times New Roman"/>
        </w:rPr>
        <w:t xml:space="preserve">Analýza obsahu 9-THC</w:t>
      </w:r>
    </w:p>
    <w:p w14:paraId="7ED3F74A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3.1.</w:t>
      </w:r>
      <w:r>
        <w:rPr>
          <w:color w:val="3C3C3C"/>
          <w:sz w:val="24"/>
          <w:rFonts w:ascii="Times New Roman" w:hAnsi="Times New Roman"/>
        </w:rPr>
        <w:t xml:space="preserve"> </w:t>
      </w:r>
      <w:r>
        <w:rPr>
          <w:color w:val="3C3C3C"/>
          <w:sz w:val="24"/>
          <w:rFonts w:ascii="Times New Roman" w:hAnsi="Times New Roman"/>
        </w:rPr>
        <w:t xml:space="preserve">Příprava vzorku pro analýzu</w:t>
      </w:r>
    </w:p>
    <w:p w14:paraId="24C2CB1E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Suché vzorky se odstraní ze stonků a semen větších než 2 mm.</w:t>
      </w:r>
    </w:p>
    <w:p w14:paraId="5FF713D7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Sušené vzorky se rozdrtí na polojemný prášek (1 mm oko síta).</w:t>
      </w:r>
    </w:p>
    <w:p w14:paraId="24C1060F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Maximální doba skladování prášku je 10 týdnů na suchém, tmavém místě při teplotách nižších než 25 °C.</w:t>
      </w:r>
    </w:p>
    <w:p w14:paraId="1C1236F5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3.2.</w:t>
      </w:r>
      <w:r>
        <w:rPr>
          <w:color w:val="3C3C3C"/>
          <w:sz w:val="24"/>
          <w:rFonts w:ascii="Times New Roman" w:hAnsi="Times New Roman"/>
        </w:rPr>
        <w:t xml:space="preserve"> </w:t>
      </w:r>
      <w:r>
        <w:rPr>
          <w:color w:val="3C3C3C"/>
          <w:sz w:val="24"/>
          <w:rFonts w:ascii="Times New Roman" w:hAnsi="Times New Roman"/>
        </w:rPr>
        <w:t xml:space="preserve">Činidla, extrakční roztok</w:t>
      </w:r>
    </w:p>
    <w:p w14:paraId="01D30FC0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Činidla:</w:t>
      </w:r>
    </w:p>
    <w:p w14:paraId="190FFBD0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9-tetrahydrokanabinol chromatologicky čistý;</w:t>
      </w:r>
    </w:p>
    <w:p w14:paraId="153C23D9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Chromatograficky čistý skvalan jako vnitřní standard.</w:t>
      </w:r>
    </w:p>
    <w:p w14:paraId="3F37F8AD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Extrakční roztok:</w:t>
      </w:r>
    </w:p>
    <w:p w14:paraId="614BCB34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35 mg skvalanu na 100 ml hexanu.</w:t>
      </w:r>
    </w:p>
    <w:p w14:paraId="33BF793C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3.3.</w:t>
      </w:r>
      <w:r>
        <w:rPr>
          <w:color w:val="3C3C3C"/>
          <w:sz w:val="24"/>
          <w:rFonts w:ascii="Times New Roman" w:hAnsi="Times New Roman"/>
        </w:rPr>
        <w:t xml:space="preserve"> </w:t>
      </w:r>
      <w:r>
        <w:rPr>
          <w:color w:val="3C3C3C"/>
          <w:sz w:val="24"/>
          <w:rFonts w:ascii="Times New Roman" w:hAnsi="Times New Roman"/>
        </w:rPr>
        <w:t xml:space="preserve">Extrakce 9-THC</w:t>
      </w:r>
    </w:p>
    <w:p w14:paraId="539AC97D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Navažte 100 mg prášku ze zkušebního vzorku a vložte do centrifugační zkumavky;</w:t>
      </w:r>
      <w:r>
        <w:rPr>
          <w:color w:val="3C3C3C"/>
          <w:sz w:val="24"/>
          <w:rFonts w:ascii="Times New Roman" w:hAnsi="Times New Roman"/>
        </w:rPr>
        <w:t xml:space="preserve"> </w:t>
      </w:r>
      <w:r>
        <w:rPr>
          <w:color w:val="3C3C3C"/>
          <w:sz w:val="24"/>
          <w:rFonts w:ascii="Times New Roman" w:hAnsi="Times New Roman"/>
        </w:rPr>
        <w:t xml:space="preserve">přidejte 5 ml extrakčního roztoku obsahujícího vnitřní regulátor.</w:t>
      </w:r>
    </w:p>
    <w:p w14:paraId="7430A051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Ponořte na 20 minut do ultrazvukové lázně.</w:t>
      </w:r>
      <w:r>
        <w:rPr>
          <w:color w:val="3C3C3C"/>
          <w:sz w:val="24"/>
          <w:rFonts w:ascii="Times New Roman" w:hAnsi="Times New Roman"/>
        </w:rPr>
        <w:t xml:space="preserve"> </w:t>
      </w:r>
      <w:r>
        <w:rPr>
          <w:color w:val="3C3C3C"/>
          <w:sz w:val="24"/>
          <w:rFonts w:ascii="Times New Roman" w:hAnsi="Times New Roman"/>
        </w:rPr>
        <w:t xml:space="preserve">Odstřeďujte 5 minut při 3000 otáčkách za minutu a odeberte tekutinu s obsahem 9-THC v roztoku.</w:t>
      </w:r>
      <w:r>
        <w:rPr>
          <w:color w:val="3C3C3C"/>
          <w:sz w:val="24"/>
          <w:rFonts w:ascii="Times New Roman" w:hAnsi="Times New Roman"/>
        </w:rPr>
        <w:t xml:space="preserve"> </w:t>
      </w:r>
      <w:r>
        <w:rPr>
          <w:color w:val="3C3C3C"/>
          <w:sz w:val="24"/>
          <w:rFonts w:ascii="Times New Roman" w:hAnsi="Times New Roman"/>
        </w:rPr>
        <w:t xml:space="preserve">Vstříkněte jí do chromatografického přístroje a vykonejte kvantitativní analýzu.</w:t>
      </w:r>
    </w:p>
    <w:p w14:paraId="08833073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3.4.</w:t>
      </w:r>
      <w:r>
        <w:rPr>
          <w:color w:val="3C3C3C"/>
          <w:sz w:val="24"/>
          <w:rFonts w:ascii="Times New Roman" w:hAnsi="Times New Roman"/>
        </w:rPr>
        <w:t xml:space="preserve"> </w:t>
      </w:r>
      <w:r>
        <w:rPr>
          <w:color w:val="3C3C3C"/>
          <w:sz w:val="24"/>
          <w:rFonts w:ascii="Times New Roman" w:hAnsi="Times New Roman"/>
        </w:rPr>
        <w:t xml:space="preserve">Plynová chromatografie</w:t>
      </w:r>
    </w:p>
    <w:p w14:paraId="2BE66A58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a) Zařízení:</w:t>
      </w:r>
    </w:p>
    <w:p w14:paraId="418A7F25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— plynový chromatograf vybavený plamenovým ionizačním detektorem a děleným/neděleným vstřikovačem;</w:t>
      </w:r>
    </w:p>
    <w:p w14:paraId="793C8BB9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— kapilára umožňující dobré oddělení kanabinoidů, např. 25 m dlouhá a 0,22 mm skleněná kapilára impregnovaná 5% apolární fází fenylmethylsiloxanu.</w:t>
      </w:r>
    </w:p>
    <w:p w14:paraId="22C93DE2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b) Kalibrační rozsahy:</w:t>
      </w:r>
    </w:p>
    <w:p w14:paraId="1D57BC61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Nejméně 3 body pro postup A a 5 bodů pro postup B s body 0,04 a 0,50 mg/ml 9-THC v extrakčním roztoku.</w:t>
      </w:r>
    </w:p>
    <w:p w14:paraId="49E28E55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c) Podmínky vybavení:</w:t>
      </w:r>
    </w:p>
    <w:p w14:paraId="137B3C75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Jako příklad pro kapiláru uvedenou v písmenu a) jsou uvedeny následující podmínky:</w:t>
      </w:r>
    </w:p>
    <w:p w14:paraId="79CB055B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— teplota v peci:</w:t>
      </w:r>
      <w:r>
        <w:rPr>
          <w:color w:val="3C3C3C"/>
          <w:sz w:val="24"/>
          <w:rFonts w:ascii="Times New Roman" w:hAnsi="Times New Roman"/>
        </w:rPr>
        <w:t xml:space="preserve"> </w:t>
      </w:r>
      <w:r>
        <w:rPr>
          <w:color w:val="3C3C3C"/>
          <w:sz w:val="24"/>
          <w:rFonts w:ascii="Times New Roman" w:hAnsi="Times New Roman"/>
        </w:rPr>
        <w:t xml:space="preserve">260 °C;</w:t>
      </w:r>
    </w:p>
    <w:p w14:paraId="7C995E61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— teplota vstřikovače:</w:t>
      </w:r>
      <w:r>
        <w:rPr>
          <w:color w:val="3C3C3C"/>
          <w:sz w:val="24"/>
          <w:rFonts w:ascii="Times New Roman" w:hAnsi="Times New Roman"/>
        </w:rPr>
        <w:t xml:space="preserve"> </w:t>
      </w:r>
      <w:r>
        <w:rPr>
          <w:color w:val="3C3C3C"/>
          <w:sz w:val="24"/>
          <w:rFonts w:ascii="Times New Roman" w:hAnsi="Times New Roman"/>
        </w:rPr>
        <w:t xml:space="preserve">300 °C;</w:t>
      </w:r>
    </w:p>
    <w:p w14:paraId="22C6A5DA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— teplota detektoru:</w:t>
      </w:r>
      <w:r>
        <w:rPr>
          <w:color w:val="3C3C3C"/>
          <w:sz w:val="24"/>
          <w:rFonts w:ascii="Times New Roman" w:hAnsi="Times New Roman"/>
        </w:rPr>
        <w:t xml:space="preserve"> </w:t>
      </w:r>
      <w:r>
        <w:rPr>
          <w:color w:val="3C3C3C"/>
          <w:sz w:val="24"/>
          <w:rFonts w:ascii="Times New Roman" w:hAnsi="Times New Roman"/>
        </w:rPr>
        <w:t xml:space="preserve">300 °C.</w:t>
      </w:r>
    </w:p>
    <w:p w14:paraId="39D5645A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d) vstřikovaný objem:</w:t>
      </w:r>
      <w:r>
        <w:rPr>
          <w:color w:val="3C3C3C"/>
          <w:sz w:val="24"/>
          <w:rFonts w:ascii="Times New Roman" w:hAnsi="Times New Roman"/>
        </w:rPr>
        <w:t xml:space="preserve"> </w:t>
      </w:r>
      <w:r>
        <w:rPr>
          <w:color w:val="3C3C3C"/>
          <w:sz w:val="24"/>
          <w:rFonts w:ascii="Times New Roman" w:hAnsi="Times New Roman"/>
        </w:rPr>
        <w:t xml:space="preserve">1 ml.</w:t>
      </w:r>
    </w:p>
    <w:p w14:paraId="4A77A776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4.</w:t>
      </w:r>
      <w:r>
        <w:rPr>
          <w:color w:val="3C3C3C"/>
          <w:sz w:val="24"/>
          <w:rFonts w:ascii="Times New Roman" w:hAnsi="Times New Roman"/>
        </w:rPr>
        <w:t xml:space="preserve"> </w:t>
      </w:r>
      <w:r>
        <w:rPr>
          <w:color w:val="3C3C3C"/>
          <w:sz w:val="24"/>
          <w:rFonts w:ascii="Times New Roman" w:hAnsi="Times New Roman"/>
        </w:rPr>
        <w:t xml:space="preserve">Výsledky</w:t>
      </w:r>
    </w:p>
    <w:p w14:paraId="6B6040BE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Výsledek se vyjadřuje dvěma desetinnými místy v gramech 9-THC na 100 gramů zkušebního vzorku, vysušených na konstantní hmotnost.</w:t>
      </w:r>
      <w:r>
        <w:rPr>
          <w:color w:val="3C3C3C"/>
          <w:sz w:val="24"/>
          <w:rFonts w:ascii="Times New Roman" w:hAnsi="Times New Roman"/>
        </w:rPr>
        <w:t xml:space="preserve"> </w:t>
      </w:r>
      <w:r>
        <w:rPr>
          <w:color w:val="3C3C3C"/>
          <w:sz w:val="24"/>
          <w:rFonts w:ascii="Times New Roman" w:hAnsi="Times New Roman"/>
        </w:rPr>
        <w:t xml:space="preserve">Na výsledek se vztahuje tolerance 0,03 % v absolutní hodnotě.</w:t>
      </w:r>
    </w:p>
    <w:p w14:paraId="66A0A1EC" w14:textId="4F95F772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Postup A:</w:t>
      </w:r>
      <w:r>
        <w:rPr>
          <w:color w:val="3C3C3C"/>
          <w:sz w:val="24"/>
          <w:rFonts w:ascii="Times New Roman" w:hAnsi="Times New Roman"/>
        </w:rPr>
        <w:t xml:space="preserve"> </w:t>
      </w:r>
      <w:r>
        <w:rPr>
          <w:color w:val="3C3C3C"/>
          <w:sz w:val="24"/>
          <w:rFonts w:ascii="Times New Roman" w:hAnsi="Times New Roman"/>
        </w:rPr>
        <w:t xml:space="preserve">Výsledek odpovídá stanovení pro každý analytický vzorek.</w:t>
      </w:r>
      <w:r>
        <w:rPr>
          <w:color w:val="3C3C3C"/>
          <w:sz w:val="24"/>
          <w:rFonts w:ascii="Times New Roman" w:hAnsi="Times New Roman"/>
        </w:rPr>
        <w:t xml:space="preserve"> </w:t>
      </w:r>
      <w:r>
        <w:rPr>
          <w:color w:val="3C3C3C"/>
          <w:sz w:val="24"/>
          <w:rFonts w:ascii="Times New Roman" w:hAnsi="Times New Roman"/>
        </w:rPr>
        <w:t xml:space="preserve">Pokud však takto získaný výsledek překročí limit stanovený v části 1 vyhlášky xxx o použití článku R. 5181 zákoníku veřejného zdraví pro konopí, provede se druhé stanovení na zkušební vzorek a výsledkem je průměr těchto dvou stanovení.</w:t>
      </w:r>
    </w:p>
    <w:p w14:paraId="3B70BFF7" w14:textId="77777777" w:rsidR="00891D87" w:rsidRPr="00891D87" w:rsidRDefault="00891D87" w:rsidP="00AB7CED">
      <w:pPr>
        <w:shd w:val="clear" w:color="auto" w:fill="FFFFFF"/>
        <w:spacing w:after="240" w:line="240" w:lineRule="auto"/>
        <w:jc w:val="both"/>
        <w:rPr>
          <w:color w:val="3C3C3C"/>
          <w:sz w:val="24"/>
          <w:szCs w:val="24"/>
          <w:rFonts w:ascii="Times New Roman" w:eastAsia="Times New Roman" w:hAnsi="Times New Roman" w:cs="Times New Roman"/>
        </w:rPr>
      </w:pPr>
      <w:r>
        <w:rPr>
          <w:color w:val="3C3C3C"/>
          <w:sz w:val="24"/>
          <w:rFonts w:ascii="Times New Roman" w:hAnsi="Times New Roman"/>
        </w:rPr>
        <w:t xml:space="preserve">Postup B:</w:t>
      </w:r>
      <w:r>
        <w:rPr>
          <w:color w:val="3C3C3C"/>
          <w:sz w:val="24"/>
          <w:rFonts w:ascii="Times New Roman" w:hAnsi="Times New Roman"/>
        </w:rPr>
        <w:t xml:space="preserve"> </w:t>
      </w:r>
      <w:r>
        <w:rPr>
          <w:color w:val="3C3C3C"/>
          <w:sz w:val="24"/>
          <w:rFonts w:ascii="Times New Roman" w:hAnsi="Times New Roman"/>
        </w:rPr>
        <w:t xml:space="preserve">Výsledek odpovídá průměru dvou stanovení na zkušební vzorek.</w:t>
      </w:r>
    </w:p>
    <w:sectPr w:rsidR="00891D87" w:rsidRPr="00891D8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738C4" w14:textId="77777777" w:rsidR="00A006DB" w:rsidRDefault="00A006DB" w:rsidP="00AB7CED">
      <w:pPr>
        <w:spacing w:after="0" w:line="240" w:lineRule="auto"/>
      </w:pPr>
      <w:r>
        <w:separator/>
      </w:r>
    </w:p>
  </w:endnote>
  <w:endnote w:type="continuationSeparator" w:id="0">
    <w:p w14:paraId="6E57DE25" w14:textId="77777777" w:rsidR="00A006DB" w:rsidRDefault="00A006DB" w:rsidP="00AB7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9814530"/>
      <w:docPartObj>
        <w:docPartGallery w:val="Page Numbers (Bottom of Page)"/>
        <w:docPartUnique/>
      </w:docPartObj>
    </w:sdtPr>
    <w:sdtEndPr/>
    <w:sdtContent>
      <w:p w14:paraId="5084F0DF" w14:textId="77777777" w:rsidR="00AB7CED" w:rsidRDefault="00AB7CE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D7F">
          <w:t>5</w:t>
        </w:r>
        <w:r>
          <w:fldChar w:fldCharType="end"/>
        </w:r>
      </w:p>
    </w:sdtContent>
  </w:sdt>
  <w:p w14:paraId="171969FD" w14:textId="77777777" w:rsidR="00AB7CED" w:rsidRDefault="00AB7C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1296A" w14:textId="77777777" w:rsidR="00A006DB" w:rsidRDefault="00A006DB" w:rsidP="00AB7CED">
      <w:pPr>
        <w:spacing w:after="0" w:line="240" w:lineRule="auto"/>
      </w:pPr>
      <w:r>
        <w:separator/>
      </w:r>
    </w:p>
  </w:footnote>
  <w:footnote w:type="continuationSeparator" w:id="0">
    <w:p w14:paraId="3AEC395E" w14:textId="77777777" w:rsidR="00A006DB" w:rsidRDefault="00A006DB" w:rsidP="00AB7C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dirty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D87"/>
    <w:rsid w:val="001E4B4F"/>
    <w:rsid w:val="00542229"/>
    <w:rsid w:val="005E4D7F"/>
    <w:rsid w:val="006B2BEF"/>
    <w:rsid w:val="006E2CDE"/>
    <w:rsid w:val="00842EA4"/>
    <w:rsid w:val="00891D87"/>
    <w:rsid w:val="008C383B"/>
    <w:rsid w:val="0099467C"/>
    <w:rsid w:val="00A006DB"/>
    <w:rsid w:val="00AB7CED"/>
    <w:rsid w:val="00D34B61"/>
    <w:rsid w:val="00EC22B5"/>
    <w:rsid w:val="00FC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66E2B"/>
  <w15:chartTrackingRefBased/>
  <w15:docId w15:val="{37B2EA83-03DE-4FC9-A218-022ED853D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1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AB7C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7CED"/>
  </w:style>
  <w:style w:type="paragraph" w:styleId="Footer">
    <w:name w:val="footer"/>
    <w:basedOn w:val="Normal"/>
    <w:link w:val="FooterChar"/>
    <w:uiPriority w:val="99"/>
    <w:unhideWhenUsed/>
    <w:rsid w:val="00AB7C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7C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1401</Words>
  <Characters>7988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PPT/DSI</Company>
  <LinksUpToDate>false</LinksUpToDate>
  <CharactersWithSpaces>9371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</dc:creator>
  <cp:keywords/>
  <dc:description/>
  <cp:lastModifiedBy>Liana Brili</cp:lastModifiedBy>
  <cp:revision>9</cp:revision>
  <cp:lastPrinted>2021-07-20T14:42:00Z</cp:lastPrinted>
  <dcterms:created xsi:type="dcterms:W3CDTF">2021-07-20T09:04:00Z</dcterms:created>
  <dcterms:modified xsi:type="dcterms:W3CDTF">2021-07-27T06:47:00Z</dcterms:modified>
</cp:coreProperties>
</file>