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93C" w14:textId="77777777" w:rsidR="00EC22B5" w:rsidRDefault="00EC22B5" w:rsidP="00EC22B5">
      <w:pPr>
        <w:ind w:right="1417"/>
        <w:rPr>
          <w:caps/>
          <w:sz w:val="24"/>
          <w:szCs w:val="24"/>
          <w:rFonts w:ascii="Times New Roman" w:hAnsi="Times New Roman" w:cs="Times New Roman"/>
        </w:rPr>
      </w:pPr>
      <w:r>
        <w:rPr>
          <w:caps/>
          <w:sz w:val="24"/>
          <w:rFonts w:ascii="Times New Roman" w:hAnsi="Times New Roman"/>
        </w:rPr>
        <w:t xml:space="preserve">Solidarumo</w:t>
      </w:r>
    </w:p>
    <w:p w14:paraId="0BE57393" w14:textId="77777777" w:rsidR="00EC22B5" w:rsidRPr="00EC22B5" w:rsidRDefault="00EC22B5" w:rsidP="00EC22B5">
      <w:pPr>
        <w:ind w:right="1417"/>
        <w:rPr>
          <w:b/>
          <w:caps/>
          <w:sz w:val="24"/>
          <w:szCs w:val="24"/>
          <w:rFonts w:ascii="Times New Roman" w:hAnsi="Times New Roman" w:cs="Times New Roman"/>
        </w:rPr>
      </w:pPr>
      <w:r>
        <w:rPr>
          <w:caps/>
          <w:sz w:val="24"/>
          <w:rFonts w:ascii="Times New Roman" w:hAnsi="Times New Roman"/>
        </w:rPr>
        <w:t xml:space="preserve">ir sveikatos apsaugos ministerija</w:t>
      </w:r>
    </w:p>
    <w:p w14:paraId="7C8F7A88" w14:textId="77777777" w:rsidR="00EC22B5" w:rsidRDefault="00EC22B5" w:rsidP="00AB7CED">
      <w:pPr>
        <w:ind w:left="1418" w:right="1417"/>
        <w:jc w:val="center"/>
        <w:rPr>
          <w:rFonts w:ascii="Times New Roman" w:hAnsi="Times New Roman" w:cs="Times New Roman"/>
          <w:b/>
          <w:sz w:val="24"/>
          <w:szCs w:val="24"/>
        </w:rPr>
      </w:pPr>
    </w:p>
    <w:p w14:paraId="275CB316" w14:textId="77777777" w:rsidR="00891D87" w:rsidRPr="00AB7CED" w:rsidRDefault="00891D87" w:rsidP="00AB7CED">
      <w:pPr>
        <w:ind w:left="1418" w:right="1417"/>
        <w:jc w:val="center"/>
        <w:rPr>
          <w:b/>
          <w:sz w:val="24"/>
          <w:szCs w:val="24"/>
          <w:rFonts w:ascii="Times New Roman" w:hAnsi="Times New Roman" w:cs="Times New Roman"/>
        </w:rPr>
      </w:pPr>
      <w:r>
        <w:rPr>
          <w:b/>
          <w:sz w:val="24"/>
          <w:rFonts w:ascii="Times New Roman" w:hAnsi="Times New Roman"/>
        </w:rPr>
        <w:t xml:space="preserve">Dekretas xxx, kuriuo įgyvendinamas Visuomenės sveikatos kodekso dėl kanapių R. 5132-86 straipsnis</w:t>
      </w:r>
    </w:p>
    <w:p w14:paraId="2A4F1A40" w14:textId="77777777" w:rsidR="00891D87" w:rsidRPr="00AB7CED" w:rsidRDefault="00FC7100" w:rsidP="00FC7100">
      <w:pPr>
        <w:jc w:val="center"/>
        <w:rPr>
          <w:b/>
          <w:sz w:val="24"/>
          <w:szCs w:val="24"/>
          <w:rFonts w:ascii="Times New Roman" w:hAnsi="Times New Roman" w:cs="Times New Roman"/>
        </w:rPr>
      </w:pPr>
      <w:r>
        <w:rPr>
          <w:b/>
          <w:sz w:val="24"/>
          <w:rFonts w:ascii="Times New Roman" w:hAnsi="Times New Roman"/>
        </w:rPr>
        <w:t xml:space="preserve">NUOR:</w:t>
      </w:r>
    </w:p>
    <w:p w14:paraId="37AED920" w14:textId="77777777" w:rsidR="00891D87" w:rsidRPr="00AB7CED" w:rsidRDefault="00891D87" w:rsidP="00542229">
      <w:pPr>
        <w:ind w:firstLine="567"/>
        <w:jc w:val="both"/>
        <w:rPr>
          <w:sz w:val="24"/>
          <w:szCs w:val="24"/>
          <w:rFonts w:ascii="Times New Roman" w:hAnsi="Times New Roman" w:cs="Times New Roman"/>
        </w:rPr>
      </w:pPr>
      <w:r>
        <w:rPr>
          <w:sz w:val="24"/>
          <w:rFonts w:ascii="Times New Roman" w:hAnsi="Times New Roman"/>
        </w:rPr>
        <w:t xml:space="preserve">Solidarumo ir sveikatos apsaugos ministras, žemės ūkio ir maisto ministras, ekonomikos, finansų ir ekonomikos gaivinimo ministro atstovas, atsakingas už viešąją apskaitą, ir ekonomikos, finansų ir ekonomikos gaivinimo ministro atstovas, atsakingas už pramonę,</w:t>
      </w:r>
    </w:p>
    <w:p w14:paraId="49CC6C3A" w14:textId="77777777" w:rsidR="00891D87" w:rsidRPr="00AB7CED" w:rsidRDefault="00891D87" w:rsidP="00542229">
      <w:pPr>
        <w:ind w:firstLine="567"/>
        <w:jc w:val="both"/>
        <w:rPr>
          <w:sz w:val="24"/>
          <w:szCs w:val="24"/>
          <w:rFonts w:ascii="Times New Roman" w:hAnsi="Times New Roman" w:cs="Times New Roman"/>
        </w:rPr>
      </w:pPr>
      <w:r>
        <w:rPr>
          <w:sz w:val="24"/>
          <w:rFonts w:ascii="Times New Roman" w:hAnsi="Times New Roman"/>
        </w:rPr>
        <w:t xml:space="preserve">atsižvelgdami į 2002 m. sausio 28 d. Europos Parlamento ir Tarybos reglamentą (EB) Nr. 178/2002, nustatantį maistui skirtų teisės aktų bendruosius principus ir reikalavimus, įsteigiantį Europos maisto saugos tarnybą ir nustatantį su maisto saugos klausimais susijusias procedūras, ypač į jo 14 ir 15 straipsnius,</w:t>
      </w:r>
    </w:p>
    <w:p w14:paraId="4260D179" w14:textId="77777777" w:rsidR="00891D87" w:rsidRPr="00AB7CED" w:rsidRDefault="00891D87" w:rsidP="00542229">
      <w:pPr>
        <w:ind w:firstLine="567"/>
        <w:jc w:val="both"/>
        <w:rPr>
          <w:sz w:val="24"/>
          <w:szCs w:val="24"/>
          <w:rFonts w:ascii="Times New Roman" w:hAnsi="Times New Roman" w:cs="Times New Roman"/>
        </w:rPr>
      </w:pPr>
      <w:r>
        <w:rPr>
          <w:sz w:val="24"/>
          <w:rFonts w:ascii="Times New Roman" w:hAnsi="Times New Roman"/>
        </w:rPr>
        <w:t xml:space="preserve">atsižvelgdami į 2009 m. liepos 13 d. Europos Parlamento ir Tarybos reglamentą (EB) Nr. 767/2009 dėl pašarų tiekimo rinkai ir naudojimo, iš dalies keičiantį Reglamentą (EB) Nr. 1831/2003 ir panaikinantį Direktyvas 79/373/EEB, 80/511/EEB, 82/471/EEB, 83/228/EEB, 93/74/EEB, 93/113/EB ir 96/25/EB bei Sprendimą 2004/217/EB,</w:t>
      </w:r>
    </w:p>
    <w:p w14:paraId="1750F816" w14:textId="77777777" w:rsidR="00891D87" w:rsidRPr="00AB7CED" w:rsidRDefault="00891D87" w:rsidP="00542229">
      <w:pPr>
        <w:ind w:firstLine="567"/>
        <w:jc w:val="both"/>
        <w:rPr>
          <w:sz w:val="24"/>
          <w:szCs w:val="24"/>
          <w:rFonts w:ascii="Times New Roman" w:hAnsi="Times New Roman" w:cs="Times New Roman"/>
        </w:rPr>
      </w:pPr>
      <w:r>
        <w:rPr>
          <w:sz w:val="24"/>
          <w:rFonts w:ascii="Times New Roman" w:hAnsi="Times New Roman"/>
        </w:rPr>
        <w:t xml:space="preserve">atsižvelgdami į 2002 m. birželio 13 d. Tarybos direktyvą 2002/53/EB dėl bendrojo žemės ūkio augalų veislių katalogo,</w:t>
      </w:r>
    </w:p>
    <w:p w14:paraId="184A1167" w14:textId="77777777" w:rsidR="00891D87" w:rsidRPr="00AB7CED" w:rsidRDefault="00891D87" w:rsidP="00542229">
      <w:pPr>
        <w:ind w:firstLine="567"/>
        <w:jc w:val="both"/>
        <w:rPr>
          <w:sz w:val="24"/>
          <w:szCs w:val="24"/>
          <w:rFonts w:ascii="Times New Roman" w:hAnsi="Times New Roman" w:cs="Times New Roman"/>
        </w:rPr>
      </w:pPr>
      <w:r>
        <w:rPr>
          <w:sz w:val="24"/>
          <w:rFonts w:ascii="Times New Roman" w:hAnsi="Times New Roman"/>
        </w:rPr>
        <w:t xml:space="preserve">atsižvelgdami į 2015 m. rugsėjo 9 d. Europos Parlamento ir Tarybos direktyvą (ES) 2015/1535, kuria nustatoma informacijos apie techninius reglamentus ir informacinės visuomenės paslaugų taisykles teikimo tvarka, ypač į pranešimą Nr. 2020/.../F,</w:t>
      </w:r>
    </w:p>
    <w:p w14:paraId="6C8A52BD" w14:textId="77777777" w:rsidR="00FC7100" w:rsidRPr="00AB7CED" w:rsidRDefault="00FC7100" w:rsidP="00542229">
      <w:pPr>
        <w:ind w:firstLine="567"/>
        <w:jc w:val="both"/>
        <w:rPr>
          <w:sz w:val="24"/>
          <w:szCs w:val="24"/>
          <w:rFonts w:ascii="Times New Roman" w:hAnsi="Times New Roman" w:cs="Times New Roman"/>
        </w:rPr>
      </w:pPr>
      <w:r>
        <w:rPr>
          <w:sz w:val="24"/>
          <w:rFonts w:ascii="Times New Roman" w:hAnsi="Times New Roman"/>
        </w:rPr>
        <w:t xml:space="preserve">atsižvelgdami į Prancūzijos visuomenės sveikatos kodeksą, ypač į jo L. 5132-8 ir R. 5132-86 straipsnius,</w:t>
      </w:r>
      <w:r>
        <w:rPr>
          <w:sz w:val="24"/>
          <w:rFonts w:ascii="Times New Roman" w:hAnsi="Times New Roman"/>
        </w:rPr>
        <w:t xml:space="preserve"> </w:t>
      </w:r>
    </w:p>
    <w:p w14:paraId="119510F4" w14:textId="77777777" w:rsidR="00891D87" w:rsidRPr="00AB7CED" w:rsidRDefault="00891D87" w:rsidP="00542229">
      <w:pPr>
        <w:ind w:firstLine="567"/>
        <w:jc w:val="both"/>
        <w:rPr>
          <w:sz w:val="24"/>
          <w:szCs w:val="24"/>
          <w:rFonts w:ascii="Times New Roman" w:hAnsi="Times New Roman" w:cs="Times New Roman"/>
        </w:rPr>
      </w:pPr>
      <w:r>
        <w:rPr>
          <w:sz w:val="24"/>
          <w:rFonts w:ascii="Times New Roman" w:hAnsi="Times New Roman"/>
        </w:rPr>
        <w:t xml:space="preserve">atsižvelgdami į 1981 m. gegužės 18 d. Dekretą Nr. 81-605 su pakeitimais, priimtą įgyvendinant 1905 m. rugpjūčio 1 d. įstatymą dėl pažeidimų, susijusių su prekyba sėklomis ir augalais, prevencijos,</w:t>
      </w:r>
    </w:p>
    <w:p w14:paraId="1EB81086" w14:textId="77777777" w:rsidR="00FC7100" w:rsidRPr="00AB7CED" w:rsidRDefault="00FC7100" w:rsidP="00AB7CED">
      <w:pPr>
        <w:jc w:val="both"/>
        <w:rPr>
          <w:rFonts w:ascii="Times New Roman" w:hAnsi="Times New Roman" w:cs="Times New Roman"/>
          <w:sz w:val="24"/>
          <w:szCs w:val="24"/>
        </w:rPr>
      </w:pPr>
    </w:p>
    <w:p w14:paraId="165E9AC8" w14:textId="77777777" w:rsidR="00FC7100" w:rsidRPr="00AB7CED" w:rsidRDefault="00FC7100" w:rsidP="00AB7CED">
      <w:pPr>
        <w:jc w:val="both"/>
        <w:rPr>
          <w:sz w:val="24"/>
          <w:szCs w:val="24"/>
          <w:rFonts w:ascii="Times New Roman" w:hAnsi="Times New Roman" w:cs="Times New Roman"/>
        </w:rPr>
      </w:pPr>
      <w:r>
        <w:rPr>
          <w:sz w:val="24"/>
          <w:rFonts w:ascii="Times New Roman" w:hAnsi="Times New Roman"/>
        </w:rPr>
        <w:t xml:space="preserve">nustato:</w:t>
      </w:r>
    </w:p>
    <w:p w14:paraId="4664A3AD" w14:textId="77777777" w:rsidR="00891D87" w:rsidRPr="00AB7CED" w:rsidRDefault="00891D87" w:rsidP="00AB7CED">
      <w:pPr>
        <w:jc w:val="both"/>
        <w:rPr>
          <w:b/>
          <w:sz w:val="24"/>
          <w:szCs w:val="24"/>
          <w:rFonts w:ascii="Times New Roman" w:hAnsi="Times New Roman" w:cs="Times New Roman"/>
        </w:rPr>
      </w:pPr>
      <w:r>
        <w:rPr>
          <w:b/>
          <w:sz w:val="24"/>
          <w:rFonts w:ascii="Times New Roman" w:hAnsi="Times New Roman"/>
        </w:rPr>
        <w:t xml:space="preserve">1 straipsnis</w:t>
      </w:r>
      <w:r>
        <w:rPr>
          <w:b/>
          <w:sz w:val="24"/>
          <w:rFonts w:ascii="Times New Roman" w:hAnsi="Times New Roman"/>
        </w:rPr>
        <w:t xml:space="preserve"> </w:t>
      </w:r>
    </w:p>
    <w:p w14:paraId="1DE80675" w14:textId="77777777" w:rsidR="00891D87" w:rsidRPr="00AB7CED" w:rsidRDefault="00891D87" w:rsidP="00AB7CED">
      <w:pPr>
        <w:jc w:val="both"/>
        <w:rPr>
          <w:sz w:val="24"/>
          <w:szCs w:val="24"/>
          <w:rFonts w:ascii="Times New Roman" w:hAnsi="Times New Roman" w:cs="Times New Roman"/>
        </w:rPr>
      </w:pPr>
      <w:r>
        <w:rPr>
          <w:sz w:val="24"/>
          <w:rFonts w:ascii="Times New Roman" w:hAnsi="Times New Roman"/>
        </w:rPr>
        <w:t xml:space="preserve">I. Pagal Visuomenės sveikatos kodekso R. 5132-86 straipsnį leidžiama auginti, importuoti, eksportuoti ir naudoti komerciniais tikslais tik pluoštinių kanapių veisles, kurių delta-9-tetrahidrokanabinolio kiekis neviršija 0,20 % ir kurios yra įtrauktos į Bendrąjį žemės ūkio augalų rūšių veislių katalogą arba į oficialų Prancūzijoje auginamų augalų rūšių veislių katalogą.</w:t>
      </w:r>
      <w:r>
        <w:rPr>
          <w:sz w:val="24"/>
          <w:rFonts w:ascii="Times New Roman" w:hAnsi="Times New Roman"/>
        </w:rPr>
        <w:t xml:space="preserve"> </w:t>
      </w:r>
      <w:r>
        <w:rPr>
          <w:sz w:val="24"/>
          <w:rFonts w:ascii="Times New Roman" w:hAnsi="Times New Roman"/>
        </w:rPr>
        <w:t xml:space="preserve">Pirmiau minėtų veislių delta-9-tetrahidrokanabinolio kiekio nustatymas ir mėginių ėmimas šiam nustatymui atliekami pagal priede nustatytą metodą;</w:t>
      </w:r>
    </w:p>
    <w:p w14:paraId="694C6B7A" w14:textId="77777777" w:rsidR="00891D87" w:rsidRPr="00AB7CED" w:rsidRDefault="00891D87" w:rsidP="00AB7CED">
      <w:pPr>
        <w:jc w:val="both"/>
        <w:rPr>
          <w:sz w:val="24"/>
          <w:szCs w:val="24"/>
          <w:rFonts w:ascii="Times New Roman" w:hAnsi="Times New Roman" w:cs="Times New Roman"/>
        </w:rPr>
      </w:pPr>
      <w:r>
        <w:rPr>
          <w:sz w:val="24"/>
          <w:rFonts w:ascii="Times New Roman" w:hAnsi="Times New Roman"/>
        </w:rPr>
        <w:t xml:space="preserve">Žiedai ir lapai gaminami iš sertifikuotų sėklinių augalų.</w:t>
      </w:r>
      <w:r>
        <w:rPr>
          <w:sz w:val="24"/>
          <w:rFonts w:ascii="Times New Roman" w:hAnsi="Times New Roman"/>
        </w:rPr>
        <w:t xml:space="preserve"> </w:t>
      </w:r>
      <w:r>
        <w:rPr>
          <w:sz w:val="24"/>
          <w:rFonts w:ascii="Times New Roman" w:hAnsi="Times New Roman"/>
        </w:rPr>
        <w:t xml:space="preserve">Draudžiama parduoti augalus ir pjaustyti.</w:t>
      </w:r>
      <w:r>
        <w:rPr>
          <w:sz w:val="24"/>
          <w:rFonts w:ascii="Times New Roman" w:hAnsi="Times New Roman"/>
        </w:rPr>
        <w:t xml:space="preserve"> </w:t>
      </w:r>
    </w:p>
    <w:p w14:paraId="33C41145" w14:textId="77777777" w:rsidR="00891D87" w:rsidRPr="00AB7CED" w:rsidRDefault="00891D87" w:rsidP="00AB7CED">
      <w:pPr>
        <w:jc w:val="both"/>
        <w:rPr>
          <w:sz w:val="24"/>
          <w:szCs w:val="24"/>
          <w:rFonts w:ascii="Times New Roman" w:hAnsi="Times New Roman" w:cs="Times New Roman"/>
        </w:rPr>
      </w:pPr>
      <w:r>
        <w:rPr>
          <w:sz w:val="24"/>
          <w:rFonts w:ascii="Times New Roman" w:hAnsi="Times New Roman"/>
        </w:rPr>
        <w:t xml:space="preserve">Tik aktyvūs ūkininkai, kaip apibrėžta galiojančiuose Europos ir nacionaliniuose teisės aktuose, gali auginti kanapių žiedus ir lapus.</w:t>
      </w:r>
    </w:p>
    <w:p w14:paraId="03D757C4" w14:textId="77777777" w:rsidR="00891D87" w:rsidRPr="00AB7CED" w:rsidRDefault="00891D87" w:rsidP="00AB7CED">
      <w:pPr>
        <w:jc w:val="both"/>
        <w:rPr>
          <w:sz w:val="24"/>
          <w:szCs w:val="24"/>
          <w:rFonts w:ascii="Times New Roman" w:hAnsi="Times New Roman" w:cs="Times New Roman"/>
        </w:rPr>
      </w:pPr>
      <w:r>
        <w:rPr>
          <w:sz w:val="24"/>
          <w:rFonts w:ascii="Times New Roman" w:hAnsi="Times New Roman"/>
        </w:rPr>
        <w:t xml:space="preserve">II. I skirsnyje minėtų veislių žiedai ir lapai gali būti nuimami, importuojami arba naudojami tik kanapių ekstraktų pramoninei gamybai.</w:t>
      </w:r>
      <w:r>
        <w:rPr>
          <w:sz w:val="24"/>
          <w:rFonts w:ascii="Times New Roman" w:hAnsi="Times New Roman"/>
        </w:rPr>
        <w:t xml:space="preserve"> </w:t>
      </w:r>
      <w:r>
        <w:rPr>
          <w:sz w:val="24"/>
          <w:rFonts w:ascii="Times New Roman" w:hAnsi="Times New Roman"/>
        </w:rPr>
        <w:t xml:space="preserve">Visų pirma draudžiama vartotojams parduoti žiedus arba žaliavinius lapus bet kokia forma, atskirai arba kartu su kitomis sudedamosiomis dalimis, vartotojams juos turėti ir vartoti.</w:t>
      </w:r>
    </w:p>
    <w:p w14:paraId="774EA98E" w14:textId="77777777" w:rsidR="00891D87" w:rsidRPr="00AB7CED" w:rsidRDefault="00891D87" w:rsidP="00AB7CED">
      <w:pPr>
        <w:jc w:val="both"/>
        <w:rPr>
          <w:sz w:val="24"/>
          <w:szCs w:val="24"/>
          <w:rFonts w:ascii="Times New Roman" w:hAnsi="Times New Roman" w:cs="Times New Roman"/>
        </w:rPr>
      </w:pPr>
      <w:r>
        <w:rPr>
          <w:sz w:val="24"/>
          <w:rFonts w:ascii="Times New Roman" w:hAnsi="Times New Roman"/>
        </w:rPr>
        <w:t xml:space="preserve">Prancūzijos teritorijoje išaugintų kanapių žiedų ir lapų pirkimas yra rašytinės gamintojo ir pirkėjo sutarties dalykas.</w:t>
      </w:r>
      <w:r>
        <w:rPr>
          <w:sz w:val="24"/>
          <w:rFonts w:ascii="Times New Roman" w:hAnsi="Times New Roman"/>
        </w:rPr>
        <w:t xml:space="preserve"> </w:t>
      </w:r>
      <w:r>
        <w:rPr>
          <w:sz w:val="24"/>
          <w:rFonts w:ascii="Times New Roman" w:hAnsi="Times New Roman"/>
        </w:rPr>
        <w:t xml:space="preserve">Sutartyje pateikiama informacija apie produktų kiekį ir kainą.</w:t>
      </w:r>
      <w:r>
        <w:rPr>
          <w:sz w:val="24"/>
          <w:rFonts w:ascii="Times New Roman" w:hAnsi="Times New Roman"/>
        </w:rPr>
        <w:t xml:space="preserve"> </w:t>
      </w:r>
      <w:r>
        <w:rPr>
          <w:sz w:val="24"/>
          <w:rFonts w:ascii="Times New Roman" w:hAnsi="Times New Roman"/>
        </w:rPr>
        <w:t xml:space="preserve">Sutartyje gali būti pateikta informacija apie numatomą produktų kokybę.</w:t>
      </w:r>
      <w:r>
        <w:rPr>
          <w:sz w:val="24"/>
          <w:rFonts w:ascii="Times New Roman" w:hAnsi="Times New Roman"/>
        </w:rPr>
        <w:t xml:space="preserve"> </w:t>
      </w:r>
      <w:r>
        <w:rPr>
          <w:sz w:val="24"/>
          <w:rFonts w:ascii="Times New Roman" w:hAnsi="Times New Roman"/>
        </w:rPr>
        <w:t xml:space="preserve">Sutartis sudaroma prieš prasidedant gamybos metams.</w:t>
      </w:r>
      <w:r>
        <w:rPr>
          <w:sz w:val="24"/>
          <w:rFonts w:ascii="Times New Roman" w:hAnsi="Times New Roman"/>
        </w:rPr>
        <w:t xml:space="preserve"> </w:t>
      </w:r>
    </w:p>
    <w:p w14:paraId="1FCBA4FF" w14:textId="77777777" w:rsidR="00891D87" w:rsidRPr="00AB7CED" w:rsidRDefault="00891D87" w:rsidP="00AB7CED">
      <w:pPr>
        <w:jc w:val="both"/>
        <w:rPr>
          <w:sz w:val="24"/>
          <w:szCs w:val="24"/>
          <w:rFonts w:ascii="Times New Roman" w:hAnsi="Times New Roman" w:cs="Times New Roman"/>
        </w:rPr>
      </w:pPr>
      <w:r>
        <w:rPr>
          <w:sz w:val="24"/>
          <w:rFonts w:ascii="Times New Roman" w:hAnsi="Times New Roman"/>
        </w:rPr>
        <w:t xml:space="preserve">III. Nepažeidžiant Reglamento (EB) Nr. 178/2002 14 ir 15 straipsnių ir Reglamento (EB) Nr. 767/2009 4 straipsnio, delta-9-tetrahidrokanabinolio kiekis kanapių ekstraktuose ir produktuose, kurių sudėtyje jų yra, neturi viršyti 0,2 %.</w:t>
      </w:r>
    </w:p>
    <w:p w14:paraId="6285A094" w14:textId="77777777" w:rsidR="00891D87" w:rsidRPr="00AB7CED" w:rsidRDefault="00891D87" w:rsidP="00AB7CED">
      <w:pPr>
        <w:jc w:val="both"/>
        <w:rPr>
          <w:b/>
          <w:sz w:val="24"/>
          <w:szCs w:val="24"/>
          <w:rFonts w:ascii="Times New Roman" w:hAnsi="Times New Roman" w:cs="Times New Roman"/>
        </w:rPr>
      </w:pPr>
      <w:r>
        <w:rPr>
          <w:b/>
          <w:sz w:val="24"/>
          <w:rFonts w:ascii="Times New Roman" w:hAnsi="Times New Roman"/>
        </w:rPr>
        <w:t xml:space="preserve">2 straipsnis</w:t>
      </w:r>
    </w:p>
    <w:p w14:paraId="3B6E34B8" w14:textId="77777777" w:rsidR="00891D87" w:rsidRDefault="00891D87" w:rsidP="00AB7CED">
      <w:pPr>
        <w:jc w:val="both"/>
        <w:rPr>
          <w:sz w:val="24"/>
          <w:szCs w:val="24"/>
          <w:rFonts w:ascii="Times New Roman" w:hAnsi="Times New Roman" w:cs="Times New Roman"/>
        </w:rPr>
      </w:pPr>
      <w:r>
        <w:rPr>
          <w:sz w:val="24"/>
          <w:rFonts w:ascii="Times New Roman" w:hAnsi="Times New Roman"/>
        </w:rPr>
        <w:t xml:space="preserve">Produktai, pagaminti iš 1 straipsnyje nurodytų kanapių, gali būti importuojami iš Europos Sąjungai nepriklausančių šalių arba eksportuojami už Europos Sąjungos ribų tik tuo atveju, jei prie jų pridedami dokumentai, patvirtinantys, kad jie atitinka šio dekreto nuostatas.</w:t>
      </w:r>
    </w:p>
    <w:p w14:paraId="0DE9405A" w14:textId="77777777" w:rsidR="00542229" w:rsidRPr="00AB7CED" w:rsidRDefault="00542229" w:rsidP="00542229">
      <w:pPr>
        <w:jc w:val="both"/>
        <w:rPr>
          <w:b/>
          <w:sz w:val="24"/>
          <w:szCs w:val="24"/>
          <w:rFonts w:ascii="Times New Roman" w:hAnsi="Times New Roman" w:cs="Times New Roman"/>
        </w:rPr>
      </w:pPr>
      <w:r>
        <w:rPr>
          <w:b/>
          <w:sz w:val="24"/>
          <w:rFonts w:ascii="Times New Roman" w:hAnsi="Times New Roman"/>
        </w:rPr>
        <w:t xml:space="preserve">3 straipsnis</w:t>
      </w:r>
    </w:p>
    <w:p w14:paraId="48567770" w14:textId="77777777" w:rsidR="00542229" w:rsidRPr="00AB7CED" w:rsidRDefault="00542229" w:rsidP="00AB7CED">
      <w:pPr>
        <w:jc w:val="both"/>
        <w:rPr>
          <w:sz w:val="24"/>
          <w:szCs w:val="24"/>
          <w:rFonts w:ascii="Times New Roman" w:hAnsi="Times New Roman" w:cs="Times New Roman"/>
        </w:rPr>
      </w:pPr>
      <w:r>
        <w:rPr>
          <w:sz w:val="24"/>
          <w:rFonts w:ascii="Times New Roman" w:hAnsi="Times New Roman"/>
        </w:rPr>
        <w:t xml:space="preserve">1990 m. rugpjūčio 22 d. Dekretas, kuriuo įgyvendinamas Visuomenės sveikatos kodekso dėl kanapių R. 5132-86 straipsnis, panaikinamas.</w:t>
      </w:r>
    </w:p>
    <w:p w14:paraId="3830ED1D" w14:textId="77777777" w:rsidR="00891D87" w:rsidRPr="00AB7CED" w:rsidRDefault="00891D87" w:rsidP="00AB7CED">
      <w:pPr>
        <w:jc w:val="both"/>
        <w:rPr>
          <w:b/>
          <w:sz w:val="24"/>
          <w:szCs w:val="24"/>
          <w:rFonts w:ascii="Times New Roman" w:hAnsi="Times New Roman" w:cs="Times New Roman"/>
        </w:rPr>
      </w:pPr>
      <w:r>
        <w:rPr>
          <w:b/>
          <w:sz w:val="24"/>
          <w:rFonts w:ascii="Times New Roman" w:hAnsi="Times New Roman"/>
        </w:rPr>
        <w:t xml:space="preserve">4 straipsnis</w:t>
      </w:r>
    </w:p>
    <w:p w14:paraId="48053AD1" w14:textId="77777777" w:rsidR="00891D87" w:rsidRPr="00AB7CED" w:rsidRDefault="00891D87" w:rsidP="00AB7CED">
      <w:pPr>
        <w:jc w:val="both"/>
        <w:rPr>
          <w:sz w:val="24"/>
          <w:szCs w:val="24"/>
          <w:rFonts w:ascii="Times New Roman" w:hAnsi="Times New Roman" w:cs="Times New Roman"/>
        </w:rPr>
      </w:pPr>
      <w:r>
        <w:rPr>
          <w:sz w:val="24"/>
          <w:rFonts w:ascii="Times New Roman" w:hAnsi="Times New Roman"/>
        </w:rPr>
        <w:t xml:space="preserve">Už šio dekreto, kuris skelbiamas Prancūzijos Respublikos oficialiajame leidinyje (Journal officiel de la République française), įgyvendinimą atsako sveikatos apsaugos generalinis direktorius, maisto produktų generalinis direktorius ir įmonių generalinis direktorius bei muitinės ir netiesioginių mokesčių generalinis direktorius.</w:t>
      </w:r>
    </w:p>
    <w:p w14:paraId="0BAE3022" w14:textId="77777777" w:rsidR="00542229" w:rsidRDefault="00542229" w:rsidP="00542229">
      <w:pPr>
        <w:jc w:val="both"/>
        <w:rPr>
          <w:sz w:val="24"/>
          <w:szCs w:val="24"/>
          <w:rFonts w:ascii="Times New Roman" w:hAnsi="Times New Roman" w:cs="Times New Roman"/>
        </w:rPr>
      </w:pPr>
      <w:r>
        <w:rPr>
          <w:sz w:val="24"/>
          <w:rFonts w:ascii="Times New Roman" w:hAnsi="Times New Roman"/>
        </w:rPr>
        <w:t xml:space="preserve">Solidarumo ir sveikatos apsaugos ministras</w:t>
      </w:r>
    </w:p>
    <w:p w14:paraId="3479316A" w14:textId="77777777" w:rsidR="00542229" w:rsidRDefault="00542229" w:rsidP="00542229">
      <w:pPr>
        <w:jc w:val="right"/>
        <w:rPr>
          <w:sz w:val="24"/>
          <w:szCs w:val="24"/>
          <w:rFonts w:ascii="Times New Roman" w:hAnsi="Times New Roman" w:cs="Times New Roman"/>
        </w:rPr>
      </w:pPr>
      <w:r>
        <w:rPr>
          <w:sz w:val="24"/>
          <w:rFonts w:ascii="Times New Roman" w:hAnsi="Times New Roman"/>
        </w:rPr>
        <w:t xml:space="preserve">Žemės ūkio ir maisto ministras</w:t>
      </w:r>
    </w:p>
    <w:p w14:paraId="286977AA" w14:textId="77777777" w:rsidR="00542229" w:rsidRDefault="00542229" w:rsidP="00542229">
      <w:pPr>
        <w:ind w:right="5103"/>
        <w:jc w:val="both"/>
        <w:rPr>
          <w:sz w:val="24"/>
          <w:szCs w:val="24"/>
          <w:rFonts w:ascii="Times New Roman" w:hAnsi="Times New Roman" w:cs="Times New Roman"/>
        </w:rPr>
      </w:pPr>
      <w:r>
        <w:rPr>
          <w:sz w:val="24"/>
          <w:rFonts w:ascii="Times New Roman" w:hAnsi="Times New Roman"/>
        </w:rPr>
        <w:t xml:space="preserve">Ministras, atsakingas už viešąją apskaitą, pavaldus ekonomikos, finansų ir ekonomikos gaivinimo ministrui</w:t>
      </w:r>
    </w:p>
    <w:p w14:paraId="71208B86" w14:textId="77777777" w:rsidR="00542229" w:rsidRPr="00AB7CED" w:rsidRDefault="00542229" w:rsidP="00542229">
      <w:pPr>
        <w:ind w:left="3540" w:firstLine="708"/>
        <w:jc w:val="center"/>
        <w:rPr>
          <w:sz w:val="24"/>
          <w:szCs w:val="24"/>
          <w:rFonts w:ascii="Times New Roman" w:hAnsi="Times New Roman" w:cs="Times New Roman"/>
        </w:rPr>
      </w:pPr>
      <w:r>
        <w:rPr>
          <w:sz w:val="24"/>
          <w:rFonts w:ascii="Times New Roman" w:hAnsi="Times New Roman"/>
        </w:rPr>
        <w:t xml:space="preserve">Ekonomikos, finansų ir ekonomikos gaivinimo ministro atstovas, atsakingas už pramonę,</w:t>
      </w:r>
    </w:p>
    <w:p w14:paraId="08957A8F" w14:textId="77777777" w:rsidR="00AB7CED" w:rsidRDefault="00AB7CED">
      <w:pPr>
        <w:rPr>
          <w:b/>
          <w:sz w:val="24"/>
          <w:szCs w:val="24"/>
          <w:rFonts w:ascii="Times New Roman" w:hAnsi="Times New Roman" w:cs="Times New Roman"/>
        </w:rPr>
      </w:pPr>
      <w:r>
        <w:br w:type="page"/>
      </w:r>
    </w:p>
    <w:p w14:paraId="698B828F" w14:textId="77777777" w:rsidR="00891D87" w:rsidRPr="00AB7CED" w:rsidRDefault="00891D87" w:rsidP="00AB7CED">
      <w:pPr>
        <w:jc w:val="both"/>
        <w:rPr>
          <w:b/>
          <w:sz w:val="24"/>
          <w:szCs w:val="24"/>
          <w:rFonts w:ascii="Times New Roman" w:hAnsi="Times New Roman" w:cs="Times New Roman"/>
        </w:rPr>
      </w:pPr>
      <w:r>
        <w:rPr>
          <w:b/>
          <w:sz w:val="24"/>
          <w:rFonts w:ascii="Times New Roman" w:hAnsi="Times New Roman"/>
        </w:rPr>
        <w:t xml:space="preserve">PRIEDAS:</w:t>
      </w:r>
      <w:r>
        <w:rPr>
          <w:b/>
          <w:sz w:val="24"/>
          <w:rFonts w:ascii="Times New Roman" w:hAnsi="Times New Roman"/>
        </w:rPr>
        <w:t xml:space="preserve"> </w:t>
      </w:r>
      <w:r>
        <w:rPr>
          <w:b/>
          <w:sz w:val="24"/>
          <w:rFonts w:ascii="Times New Roman" w:hAnsi="Times New Roman"/>
        </w:rPr>
        <w:t xml:space="preserve">DELTA-9-TETRAHIDROKANABINOLIO (9-THC) KIEKYBINIO NUSTATYMO KANAPĖSE METODAS</w:t>
      </w:r>
    </w:p>
    <w:p w14:paraId="281C9426" w14:textId="77777777" w:rsidR="00891D87" w:rsidRPr="00891D87" w:rsidRDefault="00891D87" w:rsidP="00AB7CED">
      <w:pPr>
        <w:spacing w:after="0" w:line="240" w:lineRule="auto"/>
        <w:jc w:val="both"/>
        <w:rPr>
          <w:sz w:val="24"/>
          <w:szCs w:val="24"/>
          <w:rFonts w:ascii="Times New Roman" w:eastAsia="Times New Roman" w:hAnsi="Times New Roman" w:cs="Times New Roman"/>
        </w:rPr>
      </w:pPr>
      <w:r>
        <w:rPr>
          <w:color w:val="3C3C3C"/>
          <w:sz w:val="24"/>
          <w:shd w:val="clear" w:color="auto" w:fill="FFFFFF"/>
          <w:rFonts w:ascii="Times New Roman" w:hAnsi="Times New Roman"/>
        </w:rPr>
        <w:t xml:space="preserve">1.</w:t>
      </w:r>
      <w:r>
        <w:rPr>
          <w:color w:val="3C3C3C"/>
          <w:sz w:val="24"/>
          <w:shd w:val="clear" w:color="auto" w:fill="FFFFFF"/>
          <w:rFonts w:ascii="Times New Roman" w:hAnsi="Times New Roman"/>
        </w:rPr>
        <w:t xml:space="preserve"> </w:t>
      </w:r>
      <w:r>
        <w:rPr>
          <w:color w:val="3C3C3C"/>
          <w:sz w:val="24"/>
          <w:shd w:val="clear" w:color="auto" w:fill="FFFFFF"/>
          <w:rFonts w:ascii="Times New Roman" w:hAnsi="Times New Roman"/>
        </w:rPr>
        <w:t xml:space="preserve">Dalykas ir taikymo sritis</w:t>
      </w:r>
    </w:p>
    <w:p w14:paraId="6B6C345E"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Šis metodas taikomas nustatant delta-9-tetrahidrokanabinolio (9-THC) kiekį pluoštinėse kanapėse.</w:t>
      </w:r>
    </w:p>
    <w:p w14:paraId="3121EDB0"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Tam tikrais atvejais jis taikomas pagal toliau aprašytą A arba B procedūrą.</w:t>
      </w:r>
      <w:r>
        <w:rPr>
          <w:color w:val="3C3C3C"/>
          <w:sz w:val="24"/>
          <w:rFonts w:ascii="Times New Roman" w:hAnsi="Times New Roman"/>
        </w:rPr>
        <w:t xml:space="preserve"> </w:t>
      </w:r>
      <w:r>
        <w:rPr>
          <w:color w:val="3C3C3C"/>
          <w:sz w:val="24"/>
          <w:rFonts w:ascii="Times New Roman" w:hAnsi="Times New Roman"/>
        </w:rPr>
        <w:t xml:space="preserve">Šis metodas grindžiamas 9-THC dujų chromatografijos (GCP) kiekybiniu nustatymu po ekstrahavimo tirpikliu.</w:t>
      </w:r>
    </w:p>
    <w:p w14:paraId="7DA8565F"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1.1.</w:t>
      </w:r>
      <w:r>
        <w:rPr>
          <w:color w:val="3C3C3C"/>
          <w:sz w:val="24"/>
          <w:rFonts w:ascii="Times New Roman" w:hAnsi="Times New Roman"/>
        </w:rPr>
        <w:t xml:space="preserve"> </w:t>
      </w:r>
      <w:r>
        <w:rPr>
          <w:color w:val="3C3C3C"/>
          <w:sz w:val="24"/>
          <w:rFonts w:ascii="Times New Roman" w:hAnsi="Times New Roman"/>
        </w:rPr>
        <w:t xml:space="preserve">A procedūra</w:t>
      </w:r>
    </w:p>
    <w:p w14:paraId="3E0667C2"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A procedūra taikoma kontrolės tikslais veislėms, nurodytoms Dekreto Nr. xxx, kuriuo įgyvendinamas Visuomenės sveikatos kodekso dėl kanapių R. 5181 straipsnis, 1 straipsnyje.</w:t>
      </w:r>
    </w:p>
    <w:p w14:paraId="16C75106"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Jei rezultatai rodo, kad daugelyje konkrečios veislės mėginių yra didesnis 9-THC kiekis, nei leidžiama pagal minėto dekreto 1 straipsnį, gali būti taikoma B procedūra.</w:t>
      </w:r>
    </w:p>
    <w:p w14:paraId="777C1AF5"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1.2.</w:t>
      </w:r>
      <w:r>
        <w:rPr>
          <w:color w:val="3C3C3C"/>
          <w:sz w:val="24"/>
          <w:rFonts w:ascii="Times New Roman" w:hAnsi="Times New Roman"/>
        </w:rPr>
        <w:t xml:space="preserve"> </w:t>
      </w:r>
      <w:r>
        <w:rPr>
          <w:color w:val="3C3C3C"/>
          <w:sz w:val="24"/>
          <w:rFonts w:ascii="Times New Roman" w:hAnsi="Times New Roman"/>
        </w:rPr>
        <w:t xml:space="preserve">B procedūra</w:t>
      </w:r>
    </w:p>
    <w:p w14:paraId="6F2329A7" w14:textId="77777777" w:rsidR="00FC7100" w:rsidRPr="00AB7CED"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B procedūra taikoma 1.1 punkto antroje pastraipoje nurodytais atvejais.</w:t>
      </w:r>
    </w:p>
    <w:p w14:paraId="3301E73A"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2.</w:t>
      </w:r>
      <w:r>
        <w:rPr>
          <w:color w:val="3C3C3C"/>
          <w:sz w:val="24"/>
          <w:rFonts w:ascii="Times New Roman" w:hAnsi="Times New Roman"/>
        </w:rPr>
        <w:t xml:space="preserve"> </w:t>
      </w:r>
      <w:r>
        <w:rPr>
          <w:color w:val="3C3C3C"/>
          <w:sz w:val="24"/>
          <w:rFonts w:ascii="Times New Roman" w:hAnsi="Times New Roman"/>
        </w:rPr>
        <w:t xml:space="preserve">Mėginių ėmimas</w:t>
      </w:r>
    </w:p>
    <w:p w14:paraId="6B1063C6"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2.1.</w:t>
      </w:r>
      <w:r>
        <w:rPr>
          <w:color w:val="3C3C3C"/>
          <w:sz w:val="24"/>
          <w:rFonts w:ascii="Times New Roman" w:hAnsi="Times New Roman"/>
        </w:rPr>
        <w:t xml:space="preserve"> </w:t>
      </w:r>
      <w:r>
        <w:rPr>
          <w:color w:val="3C3C3C"/>
          <w:sz w:val="24"/>
          <w:rFonts w:ascii="Times New Roman" w:hAnsi="Times New Roman"/>
        </w:rPr>
        <w:t xml:space="preserve">Mėginiai</w:t>
      </w:r>
    </w:p>
    <w:p w14:paraId="6ED09C9C"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A procedūra.</w:t>
      </w:r>
      <w:r>
        <w:rPr>
          <w:color w:val="3C3C3C"/>
          <w:sz w:val="24"/>
          <w:rFonts w:ascii="Times New Roman" w:hAnsi="Times New Roman"/>
        </w:rPr>
        <w:t xml:space="preserve"> </w:t>
      </w:r>
      <w:r>
        <w:rPr>
          <w:color w:val="3C3C3C"/>
          <w:sz w:val="24"/>
          <w:rFonts w:ascii="Times New Roman" w:hAnsi="Times New Roman"/>
        </w:rPr>
        <w:t xml:space="preserve">Tam tikroje kanapių tiriamojoje visumoje iš kiekvieno pasirinkto augalo bus surinkta 30 cm dalis bent vienos moteriškosios žiedyno dalies.</w:t>
      </w:r>
      <w:r>
        <w:rPr>
          <w:color w:val="3C3C3C"/>
          <w:sz w:val="24"/>
          <w:rFonts w:ascii="Times New Roman" w:hAnsi="Times New Roman"/>
        </w:rPr>
        <w:t xml:space="preserve"> </w:t>
      </w:r>
      <w:r>
        <w:rPr>
          <w:color w:val="3C3C3C"/>
          <w:sz w:val="24"/>
          <w:rFonts w:ascii="Times New Roman" w:hAnsi="Times New Roman"/>
        </w:rPr>
        <w:t xml:space="preserve">Mėginiai imami laikotarpiu nuo dvidešimties dienų po žydėjimo pradžios iki dešimties dienų po žydėjimo pabaigos dienos metu, laikantis sistemingo maršruto, leidžiančio reprezentatyviai surinkti mėginius sklype, išskyrus pakraščius.</w:t>
      </w:r>
    </w:p>
    <w:p w14:paraId="54150C46"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B procedūra.</w:t>
      </w:r>
      <w:r>
        <w:rPr>
          <w:color w:val="3C3C3C"/>
          <w:sz w:val="24"/>
          <w:rFonts w:ascii="Times New Roman" w:hAnsi="Times New Roman"/>
        </w:rPr>
        <w:t xml:space="preserve"> </w:t>
      </w:r>
      <w:r>
        <w:rPr>
          <w:color w:val="3C3C3C"/>
          <w:sz w:val="24"/>
          <w:rFonts w:ascii="Times New Roman" w:hAnsi="Times New Roman"/>
        </w:rPr>
        <w:t xml:space="preserve">Tam tikros pluoštinių kanapių veislės tiriamojoje visumoje bus imamas kiekvieno pasirinkto augalo viršutinis trečdalis.</w:t>
      </w:r>
      <w:r>
        <w:rPr>
          <w:color w:val="3C3C3C"/>
          <w:sz w:val="24"/>
          <w:rFonts w:ascii="Times New Roman" w:hAnsi="Times New Roman"/>
        </w:rPr>
        <w:t xml:space="preserve"> </w:t>
      </w:r>
      <w:r>
        <w:rPr>
          <w:color w:val="3C3C3C"/>
          <w:sz w:val="24"/>
          <w:rFonts w:ascii="Times New Roman" w:hAnsi="Times New Roman"/>
        </w:rPr>
        <w:t xml:space="preserve">Mėginiai imami per dešimt dienų po žydėjimo pabaigos dienos metu, pagal sistemingą maršrutą, leidžiantį reprezentatyviai surinkti mėginius sklype, išskyrus pakraščius.</w:t>
      </w:r>
      <w:r>
        <w:rPr>
          <w:color w:val="3C3C3C"/>
          <w:sz w:val="24"/>
          <w:rFonts w:ascii="Times New Roman" w:hAnsi="Times New Roman"/>
        </w:rPr>
        <w:t xml:space="preserve"> </w:t>
      </w:r>
      <w:r>
        <w:rPr>
          <w:color w:val="3C3C3C"/>
          <w:sz w:val="24"/>
          <w:rFonts w:ascii="Times New Roman" w:hAnsi="Times New Roman"/>
        </w:rPr>
        <w:t xml:space="preserve">Dvinamių veislių bus renkami tik moteriški augalai.</w:t>
      </w:r>
    </w:p>
    <w:p w14:paraId="4684C028"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2.2.</w:t>
      </w:r>
      <w:r>
        <w:rPr>
          <w:color w:val="3C3C3C"/>
          <w:sz w:val="24"/>
          <w:rFonts w:ascii="Times New Roman" w:hAnsi="Times New Roman"/>
        </w:rPr>
        <w:t xml:space="preserve"> </w:t>
      </w:r>
      <w:r>
        <w:rPr>
          <w:color w:val="3C3C3C"/>
          <w:sz w:val="24"/>
          <w:rFonts w:ascii="Times New Roman" w:hAnsi="Times New Roman"/>
        </w:rPr>
        <w:t xml:space="preserve">Mėginio dydis</w:t>
      </w:r>
    </w:p>
    <w:p w14:paraId="6DCC997E"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A procedūra.</w:t>
      </w:r>
      <w:r>
        <w:rPr>
          <w:color w:val="3C3C3C"/>
          <w:sz w:val="24"/>
          <w:rFonts w:ascii="Times New Roman" w:hAnsi="Times New Roman"/>
        </w:rPr>
        <w:t xml:space="preserve"> </w:t>
      </w:r>
      <w:r>
        <w:rPr>
          <w:color w:val="3C3C3C"/>
          <w:sz w:val="24"/>
          <w:rFonts w:ascii="Times New Roman" w:hAnsi="Times New Roman"/>
        </w:rPr>
        <w:t xml:space="preserve">Kiekviename sklype mėginys imamas iš 50 augalų.</w:t>
      </w:r>
    </w:p>
    <w:p w14:paraId="5D29643E"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B procedūra.</w:t>
      </w:r>
      <w:r>
        <w:rPr>
          <w:color w:val="3C3C3C"/>
          <w:sz w:val="24"/>
          <w:rFonts w:ascii="Times New Roman" w:hAnsi="Times New Roman"/>
        </w:rPr>
        <w:t xml:space="preserve"> </w:t>
      </w:r>
      <w:r>
        <w:rPr>
          <w:color w:val="3C3C3C"/>
          <w:sz w:val="24"/>
          <w:rFonts w:ascii="Times New Roman" w:hAnsi="Times New Roman"/>
        </w:rPr>
        <w:t xml:space="preserve">Kiekviename sklype mėginys imamas iš 200 augalų.</w:t>
      </w:r>
    </w:p>
    <w:p w14:paraId="17F786E7"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Kiekvienas mėginys dedamas į audinį arba popierinį maišelį stengiantis jo nesutraiškyti ir siunčiamas į laboratoriją, atsakingą už 9-THC kiekio nustatymą.</w:t>
      </w:r>
    </w:p>
    <w:p w14:paraId="0DFF005F"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Antras mėginys gali būti paimtas galimai pakartotinei analizei; jį saugo augintojas arba laboratorija.</w:t>
      </w:r>
    </w:p>
    <w:p w14:paraId="0ABDF5B0"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2.3.</w:t>
      </w:r>
      <w:r>
        <w:rPr>
          <w:color w:val="3C3C3C"/>
          <w:sz w:val="24"/>
          <w:rFonts w:ascii="Times New Roman" w:hAnsi="Times New Roman"/>
        </w:rPr>
        <w:t xml:space="preserve"> </w:t>
      </w:r>
      <w:r>
        <w:rPr>
          <w:color w:val="3C3C3C"/>
          <w:sz w:val="24"/>
          <w:rFonts w:ascii="Times New Roman" w:hAnsi="Times New Roman"/>
        </w:rPr>
        <w:t xml:space="preserve">Mėginio džiovinimas ir laikymas</w:t>
      </w:r>
    </w:p>
    <w:p w14:paraId="348704C1"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Mėginiai pradedami džiovinti kuo greičiau ir bet kuriuo atveju ne vėliau kaip per 48 valandas, taikant bet kokį metodą žemesnėje nei 70 °C temperatūroje. Mėginiai džiovinami iki pastovaus svorio, esant 8–13 % drėgnumui.</w:t>
      </w:r>
    </w:p>
    <w:p w14:paraId="3ACE3336"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Sausi mėginiai laikomi nesukrauti tamsoje ir žemesnėje nei 25 °C temperatūroje.</w:t>
      </w:r>
    </w:p>
    <w:p w14:paraId="138F62F4"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3.</w:t>
      </w:r>
      <w:r>
        <w:rPr>
          <w:color w:val="3C3C3C"/>
          <w:sz w:val="24"/>
          <w:rFonts w:ascii="Times New Roman" w:hAnsi="Times New Roman"/>
        </w:rPr>
        <w:t xml:space="preserve"> </w:t>
      </w:r>
      <w:r>
        <w:rPr>
          <w:color w:val="3C3C3C"/>
          <w:sz w:val="24"/>
          <w:rFonts w:ascii="Times New Roman" w:hAnsi="Times New Roman"/>
        </w:rPr>
        <w:t xml:space="preserve">9-THC kiekio analizė</w:t>
      </w:r>
    </w:p>
    <w:p w14:paraId="7ED3F74A"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3.1.</w:t>
      </w:r>
      <w:r>
        <w:rPr>
          <w:color w:val="3C3C3C"/>
          <w:sz w:val="24"/>
          <w:rFonts w:ascii="Times New Roman" w:hAnsi="Times New Roman"/>
        </w:rPr>
        <w:t xml:space="preserve"> </w:t>
      </w:r>
      <w:r>
        <w:rPr>
          <w:color w:val="3C3C3C"/>
          <w:sz w:val="24"/>
          <w:rFonts w:ascii="Times New Roman" w:hAnsi="Times New Roman"/>
        </w:rPr>
        <w:t xml:space="preserve">Analizės mėginio paruošimas</w:t>
      </w:r>
    </w:p>
    <w:p w14:paraId="24C2CB1E"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Pašalinami didesni nei 2 mm išdžiovintų mėginių stiebeliai ir sėklos.</w:t>
      </w:r>
    </w:p>
    <w:p w14:paraId="5FF713D7"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Išdžiovinti mėginiai sumalami iki vidutiniškai smulkių miltelių (1 mm sietelis).</w:t>
      </w:r>
    </w:p>
    <w:p w14:paraId="24C1060F"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Milteliai ne ilgiau kaip 10 savaičių laikomi sausoje, tamsioje vietoje žemesnėje nei 25 °C temperatūroje.</w:t>
      </w:r>
    </w:p>
    <w:p w14:paraId="1C1236F5"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3.2.</w:t>
      </w:r>
      <w:r>
        <w:rPr>
          <w:color w:val="3C3C3C"/>
          <w:sz w:val="24"/>
          <w:rFonts w:ascii="Times New Roman" w:hAnsi="Times New Roman"/>
        </w:rPr>
        <w:t xml:space="preserve"> </w:t>
      </w:r>
      <w:r>
        <w:rPr>
          <w:color w:val="3C3C3C"/>
          <w:sz w:val="24"/>
          <w:rFonts w:ascii="Times New Roman" w:hAnsi="Times New Roman"/>
        </w:rPr>
        <w:t xml:space="preserve">Reagentai, ekstrahentas</w:t>
      </w:r>
    </w:p>
    <w:p w14:paraId="01D30FC0"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Reagentai:</w:t>
      </w:r>
    </w:p>
    <w:p w14:paraId="190FFBD0"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9-tetrahidrokanabinolio chromatografiškai grynas;</w:t>
      </w:r>
    </w:p>
    <w:p w14:paraId="153C23D9"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Chromatografiškai grynas skvalanas kaip vidinis etalonas.</w:t>
      </w:r>
    </w:p>
    <w:p w14:paraId="3F37F8AD"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Ekstrahentas:</w:t>
      </w:r>
    </w:p>
    <w:p w14:paraId="614BCB34"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35 mg skvalano 100 ml heksano.</w:t>
      </w:r>
    </w:p>
    <w:p w14:paraId="33BF793C"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3.3.</w:t>
      </w:r>
      <w:r>
        <w:rPr>
          <w:color w:val="3C3C3C"/>
          <w:sz w:val="24"/>
          <w:rFonts w:ascii="Times New Roman" w:hAnsi="Times New Roman"/>
        </w:rPr>
        <w:t xml:space="preserve"> </w:t>
      </w:r>
      <w:r>
        <w:rPr>
          <w:color w:val="3C3C3C"/>
          <w:sz w:val="24"/>
          <w:rFonts w:ascii="Times New Roman" w:hAnsi="Times New Roman"/>
        </w:rPr>
        <w:t xml:space="preserve">9-THC ekstrahavimas</w:t>
      </w:r>
    </w:p>
    <w:p w14:paraId="539AC97D"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Pasveriama 100 mg mėginio miltelių ir supilama į centrifugavimo mėgintuvėlį;</w:t>
      </w:r>
      <w:r>
        <w:rPr>
          <w:color w:val="3C3C3C"/>
          <w:sz w:val="24"/>
          <w:rFonts w:ascii="Times New Roman" w:hAnsi="Times New Roman"/>
        </w:rPr>
        <w:t xml:space="preserve"> </w:t>
      </w:r>
      <w:r>
        <w:rPr>
          <w:color w:val="3C3C3C"/>
          <w:sz w:val="24"/>
          <w:rFonts w:ascii="Times New Roman" w:hAnsi="Times New Roman"/>
        </w:rPr>
        <w:t xml:space="preserve">įpilama 5 ml ekstrahento su vidiniu kontroliniu bandiniu.</w:t>
      </w:r>
    </w:p>
    <w:p w14:paraId="7430A051"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Viskas panardinama 20 minučių ultragarsinėje vonioje.</w:t>
      </w:r>
      <w:r>
        <w:rPr>
          <w:color w:val="3C3C3C"/>
          <w:sz w:val="24"/>
          <w:rFonts w:ascii="Times New Roman" w:hAnsi="Times New Roman"/>
        </w:rPr>
        <w:t xml:space="preserve"> </w:t>
      </w:r>
      <w:r>
        <w:rPr>
          <w:color w:val="3C3C3C"/>
          <w:sz w:val="24"/>
          <w:rFonts w:ascii="Times New Roman" w:hAnsi="Times New Roman"/>
        </w:rPr>
        <w:t xml:space="preserve">5 minutes įjungiama centrifuga, besisukanti 3000 aps./min. greičiu, tada paimamas paviršinis 9-THC tirpalas.</w:t>
      </w:r>
      <w:r>
        <w:rPr>
          <w:color w:val="3C3C3C"/>
          <w:sz w:val="24"/>
          <w:rFonts w:ascii="Times New Roman" w:hAnsi="Times New Roman"/>
        </w:rPr>
        <w:t xml:space="preserve"> </w:t>
      </w:r>
      <w:r>
        <w:rPr>
          <w:color w:val="3C3C3C"/>
          <w:sz w:val="24"/>
          <w:rFonts w:ascii="Times New Roman" w:hAnsi="Times New Roman"/>
        </w:rPr>
        <w:t xml:space="preserve">Pastarasis įpurškiamas į chromatografijos aparatą ir atliekama kiekybinė analizė.</w:t>
      </w:r>
    </w:p>
    <w:p w14:paraId="08833073"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3.4.</w:t>
      </w:r>
      <w:r>
        <w:rPr>
          <w:color w:val="3C3C3C"/>
          <w:sz w:val="24"/>
          <w:rFonts w:ascii="Times New Roman" w:hAnsi="Times New Roman"/>
        </w:rPr>
        <w:t xml:space="preserve"> </w:t>
      </w:r>
      <w:r>
        <w:rPr>
          <w:color w:val="3C3C3C"/>
          <w:sz w:val="24"/>
          <w:rFonts w:ascii="Times New Roman" w:hAnsi="Times New Roman"/>
        </w:rPr>
        <w:t xml:space="preserve">Dujų chromatografija</w:t>
      </w:r>
    </w:p>
    <w:p w14:paraId="2BE66A58"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a) Įranga:</w:t>
      </w:r>
    </w:p>
    <w:p w14:paraId="418A7F25"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 dujų chromatografas su liepsninės jonizacijos detektoriumi ir vientisas / išsišakojęs purkštuvas;</w:t>
      </w:r>
    </w:p>
    <w:p w14:paraId="793C8BB9"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 kanabinolį gerai atskiriantis stulpelis, pvz., stiklinis kapiliarinis 25 m ilgio ir 0,22 mm diametro stulpelis, impregnuotas 5 % bepole fenilmetilsiloksano faze.</w:t>
      </w:r>
    </w:p>
    <w:p w14:paraId="22C93DE2"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b) Kalibravimo ribos:</w:t>
      </w:r>
    </w:p>
    <w:p w14:paraId="1D57BC61"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Ne mažiau kaip 3 punktai A procedūrai ir 5 punktai B procedūrai su 0,04 punkto ir 0,50 mg/ml 9-THC ekstrahente.</w:t>
      </w:r>
    </w:p>
    <w:p w14:paraId="49E28E55"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c) Įrangos sąlygos:</w:t>
      </w:r>
    </w:p>
    <w:p w14:paraId="137B3C75"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Kaip pavyzdys a punkte minimam stulpeliui nurodomos šios sąlygos:</w:t>
      </w:r>
    </w:p>
    <w:p w14:paraId="79CB055B"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 džiovinimo spintos temperatūra:</w:t>
      </w:r>
      <w:r>
        <w:rPr>
          <w:color w:val="3C3C3C"/>
          <w:sz w:val="24"/>
          <w:rFonts w:ascii="Times New Roman" w:hAnsi="Times New Roman"/>
        </w:rPr>
        <w:t xml:space="preserve"> </w:t>
      </w:r>
      <w:r>
        <w:rPr>
          <w:color w:val="3C3C3C"/>
          <w:sz w:val="24"/>
          <w:rFonts w:ascii="Times New Roman" w:hAnsi="Times New Roman"/>
        </w:rPr>
        <w:t xml:space="preserve">260 °C;</w:t>
      </w:r>
    </w:p>
    <w:p w14:paraId="7C995E61"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 purkštuvo temperatūra:</w:t>
      </w:r>
      <w:r>
        <w:rPr>
          <w:color w:val="3C3C3C"/>
          <w:sz w:val="24"/>
          <w:rFonts w:ascii="Times New Roman" w:hAnsi="Times New Roman"/>
        </w:rPr>
        <w:t xml:space="preserve"> </w:t>
      </w:r>
      <w:r>
        <w:rPr>
          <w:color w:val="3C3C3C"/>
          <w:sz w:val="24"/>
          <w:rFonts w:ascii="Times New Roman" w:hAnsi="Times New Roman"/>
        </w:rPr>
        <w:t xml:space="preserve">300 °C;</w:t>
      </w:r>
    </w:p>
    <w:p w14:paraId="22C6A5DA"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 detektoriaus temperatūra:</w:t>
      </w:r>
      <w:r>
        <w:rPr>
          <w:color w:val="3C3C3C"/>
          <w:sz w:val="24"/>
          <w:rFonts w:ascii="Times New Roman" w:hAnsi="Times New Roman"/>
        </w:rPr>
        <w:t xml:space="preserve"> </w:t>
      </w:r>
      <w:r>
        <w:rPr>
          <w:color w:val="3C3C3C"/>
          <w:sz w:val="24"/>
          <w:rFonts w:ascii="Times New Roman" w:hAnsi="Times New Roman"/>
        </w:rPr>
        <w:t xml:space="preserve">300 °C.</w:t>
      </w:r>
    </w:p>
    <w:p w14:paraId="39D5645A"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d) įšvirkščiamo tūrio:</w:t>
      </w:r>
      <w:r>
        <w:rPr>
          <w:color w:val="3C3C3C"/>
          <w:sz w:val="24"/>
          <w:rFonts w:ascii="Times New Roman" w:hAnsi="Times New Roman"/>
        </w:rPr>
        <w:t xml:space="preserve"> </w:t>
      </w:r>
      <w:r>
        <w:rPr>
          <w:color w:val="3C3C3C"/>
          <w:sz w:val="24"/>
          <w:rFonts w:ascii="Times New Roman" w:hAnsi="Times New Roman"/>
        </w:rPr>
        <w:t xml:space="preserve">1 ml.</w:t>
      </w:r>
    </w:p>
    <w:p w14:paraId="4A77A776"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4.</w:t>
      </w:r>
      <w:r>
        <w:rPr>
          <w:color w:val="3C3C3C"/>
          <w:sz w:val="24"/>
          <w:rFonts w:ascii="Times New Roman" w:hAnsi="Times New Roman"/>
        </w:rPr>
        <w:t xml:space="preserve"> </w:t>
      </w:r>
      <w:r>
        <w:rPr>
          <w:color w:val="3C3C3C"/>
          <w:sz w:val="24"/>
          <w:rFonts w:ascii="Times New Roman" w:hAnsi="Times New Roman"/>
        </w:rPr>
        <w:t xml:space="preserve">Rezultatai</w:t>
      </w:r>
    </w:p>
    <w:p w14:paraId="6B6040BE"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Rezultatas išreiškiamas dviejų dešimtųjų tikslumu, gramais 9-THC 100 gramų mėginio, išdžiovinto iki pastovaus svorio.</w:t>
      </w:r>
      <w:r>
        <w:rPr>
          <w:color w:val="3C3C3C"/>
          <w:sz w:val="24"/>
          <w:rFonts w:ascii="Times New Roman" w:hAnsi="Times New Roman"/>
        </w:rPr>
        <w:t xml:space="preserve"> </w:t>
      </w:r>
      <w:r>
        <w:rPr>
          <w:color w:val="3C3C3C"/>
          <w:sz w:val="24"/>
          <w:rFonts w:ascii="Times New Roman" w:hAnsi="Times New Roman"/>
        </w:rPr>
        <w:t xml:space="preserve">Rezultatas gali būti 0,03 % leidžiamas absoliučiosios vertės nuokrypis.</w:t>
      </w:r>
    </w:p>
    <w:p w14:paraId="66A0A1EC" w14:textId="4F95F772"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A procedūra.</w:t>
      </w:r>
      <w:r>
        <w:rPr>
          <w:color w:val="3C3C3C"/>
          <w:sz w:val="24"/>
          <w:rFonts w:ascii="Times New Roman" w:hAnsi="Times New Roman"/>
        </w:rPr>
        <w:t xml:space="preserve"> </w:t>
      </w:r>
      <w:r>
        <w:rPr>
          <w:color w:val="3C3C3C"/>
          <w:sz w:val="24"/>
          <w:rFonts w:ascii="Times New Roman" w:hAnsi="Times New Roman"/>
        </w:rPr>
        <w:t xml:space="preserve">Rezultatas atitinka kiekvieno analizės mėginio nustatymą.</w:t>
      </w:r>
      <w:r>
        <w:rPr>
          <w:color w:val="3C3C3C"/>
          <w:sz w:val="24"/>
          <w:rFonts w:ascii="Times New Roman" w:hAnsi="Times New Roman"/>
        </w:rPr>
        <w:t xml:space="preserve"> </w:t>
      </w:r>
      <w:r>
        <w:rPr>
          <w:color w:val="3C3C3C"/>
          <w:sz w:val="24"/>
          <w:rFonts w:ascii="Times New Roman" w:hAnsi="Times New Roman"/>
        </w:rPr>
        <w:t xml:space="preserve">Tačiau jei taip gautas rezultatas viršija Dekreto Nr. xxx dėl Visuomenės sveikatos kodekso dėl kanapių R. 5181 straipsnio taikymo 1 skirsnyje nustatytą ribą, kiekvienas mėginys turi būti tiriamas antrą kartą, o abiejų nustatymų vidutinė vertė laikoma galutiniu rezultatu.</w:t>
      </w:r>
    </w:p>
    <w:p w14:paraId="3B70BFF7" w14:textId="77777777" w:rsidR="00891D87" w:rsidRPr="00891D87" w:rsidRDefault="00891D87" w:rsidP="00AB7CED">
      <w:pPr>
        <w:shd w:val="clear" w:color="auto" w:fill="FFFFFF"/>
        <w:spacing w:after="240" w:line="240" w:lineRule="auto"/>
        <w:jc w:val="both"/>
        <w:rPr>
          <w:color w:val="3C3C3C"/>
          <w:sz w:val="24"/>
          <w:szCs w:val="24"/>
          <w:rFonts w:ascii="Times New Roman" w:eastAsia="Times New Roman" w:hAnsi="Times New Roman" w:cs="Times New Roman"/>
        </w:rPr>
      </w:pPr>
      <w:r>
        <w:rPr>
          <w:color w:val="3C3C3C"/>
          <w:sz w:val="24"/>
          <w:rFonts w:ascii="Times New Roman" w:hAnsi="Times New Roman"/>
        </w:rPr>
        <w:t xml:space="preserve">B procedūra.</w:t>
      </w:r>
      <w:r>
        <w:rPr>
          <w:color w:val="3C3C3C"/>
          <w:sz w:val="24"/>
          <w:rFonts w:ascii="Times New Roman" w:hAnsi="Times New Roman"/>
        </w:rPr>
        <w:t xml:space="preserve"> </w:t>
      </w:r>
      <w:r>
        <w:rPr>
          <w:color w:val="3C3C3C"/>
          <w:sz w:val="24"/>
          <w:rFonts w:ascii="Times New Roman" w:hAnsi="Times New Roman"/>
        </w:rPr>
        <w:t xml:space="preserve">Rezultatas atitinka kiekvieno tiriamojo mėginio dviejų nustatymų vidutinę vertę.</w:t>
      </w:r>
    </w:p>
    <w:sectPr w:rsidR="00891D87" w:rsidRPr="00891D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738C4" w14:textId="77777777" w:rsidR="00A006DB" w:rsidRDefault="00A006DB" w:rsidP="00AB7CED">
      <w:pPr>
        <w:spacing w:after="0" w:line="240" w:lineRule="auto"/>
      </w:pPr>
      <w:r>
        <w:separator/>
      </w:r>
    </w:p>
  </w:endnote>
  <w:endnote w:type="continuationSeparator" w:id="0">
    <w:p w14:paraId="6E57DE25" w14:textId="77777777" w:rsidR="00A006DB" w:rsidRDefault="00A006DB" w:rsidP="00A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14530"/>
      <w:docPartObj>
        <w:docPartGallery w:val="Page Numbers (Bottom of Page)"/>
        <w:docPartUnique/>
      </w:docPartObj>
    </w:sdtPr>
    <w:sdtEndPr/>
    <w:sdtContent>
      <w:p w14:paraId="5084F0DF" w14:textId="77777777" w:rsidR="00AB7CED" w:rsidRDefault="00AB7CED">
        <w:pPr>
          <w:pStyle w:val="Footer"/>
          <w:jc w:val="right"/>
        </w:pPr>
        <w:r>
          <w:fldChar w:fldCharType="begin"/>
        </w:r>
        <w:r>
          <w:instrText>PAGE   \* MERGEFORMAT</w:instrText>
        </w:r>
        <w:r>
          <w:fldChar w:fldCharType="separate"/>
        </w:r>
        <w:r w:rsidR="005E4D7F">
          <w:t>5</w:t>
        </w:r>
        <w:r>
          <w:fldChar w:fldCharType="end"/>
        </w:r>
      </w:p>
    </w:sdtContent>
  </w:sdt>
  <w:p w14:paraId="171969FD" w14:textId="77777777" w:rsidR="00AB7CED" w:rsidRDefault="00AB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296A" w14:textId="77777777" w:rsidR="00A006DB" w:rsidRDefault="00A006DB" w:rsidP="00AB7CED">
      <w:pPr>
        <w:spacing w:after="0" w:line="240" w:lineRule="auto"/>
      </w:pPr>
      <w:r>
        <w:separator/>
      </w:r>
    </w:p>
  </w:footnote>
  <w:footnote w:type="continuationSeparator" w:id="0">
    <w:p w14:paraId="3AEC395E" w14:textId="77777777" w:rsidR="00A006DB" w:rsidRDefault="00A006DB" w:rsidP="00AB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87"/>
    <w:rsid w:val="001E4B4F"/>
    <w:rsid w:val="00542229"/>
    <w:rsid w:val="005E4D7F"/>
    <w:rsid w:val="006B2BEF"/>
    <w:rsid w:val="006E2CDE"/>
    <w:rsid w:val="00842EA4"/>
    <w:rsid w:val="00891D87"/>
    <w:rsid w:val="008C383B"/>
    <w:rsid w:val="0099467C"/>
    <w:rsid w:val="00A006DB"/>
    <w:rsid w:val="00AB7CED"/>
    <w:rsid w:val="00D34B61"/>
    <w:rsid w:val="00EC22B5"/>
    <w:rsid w:val="00FC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6E2B"/>
  <w15:chartTrackingRefBased/>
  <w15:docId w15:val="{37B2EA83-03DE-4FC9-A218-022ED853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AB7C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CED"/>
  </w:style>
  <w:style w:type="paragraph" w:styleId="Footer">
    <w:name w:val="footer"/>
    <w:basedOn w:val="Normal"/>
    <w:link w:val="FooterChar"/>
    <w:uiPriority w:val="99"/>
    <w:unhideWhenUsed/>
    <w:rsid w:val="00AB7C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1401</Words>
  <Characters>7988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Liana Brili</cp:lastModifiedBy>
  <cp:revision>9</cp:revision>
  <cp:lastPrinted>2021-07-20T14:42:00Z</cp:lastPrinted>
  <dcterms:created xsi:type="dcterms:W3CDTF">2021-07-20T09:04:00Z</dcterms:created>
  <dcterms:modified xsi:type="dcterms:W3CDTF">2021-07-27T06:47:00Z</dcterms:modified>
</cp:coreProperties>
</file>