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E98F" w14:textId="730BB34C" w:rsidR="004D73A6" w:rsidRPr="00DE2474" w:rsidRDefault="004D73A6" w:rsidP="004D73A6">
      <w:pPr>
        <w:ind w:right="-755"/>
        <w:jc w:val="left"/>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------IND- 2021 0045 D-- BG- ------ 20210210 --- --- PROJET</w:t>
      </w:r>
    </w:p>
    <w:p w14:paraId="2A1D7EB4" w14:textId="77777777" w:rsidR="00A1618A" w:rsidRPr="0018171E" w:rsidRDefault="00A1618A" w:rsidP="00E5776A">
      <w:pPr>
        <w:spacing w:after="240" w:line="360" w:lineRule="auto"/>
        <w:rPr>
          <w:sz w:val="26"/>
          <w:szCs w:val="26"/>
          <w:rFonts w:ascii="Arial" w:hAnsi="Arial" w:cs="Arial"/>
        </w:rPr>
      </w:pPr>
      <w:r>
        <w:rPr>
          <w:sz w:val="26"/>
          <w:szCs w:val="26"/>
          <w:rFonts w:ascii="Arial" w:hAnsi="Arial"/>
        </w:rPr>
        <w:t xml:space="preserve">Федерално министерство на правосъдието и защитата на потребителите</w:t>
      </w:r>
    </w:p>
    <w:p w14:paraId="4892787C" w14:textId="77777777" w:rsidR="00A1618A" w:rsidRPr="0018171E" w:rsidRDefault="00A1618A" w:rsidP="00E5776A">
      <w:pPr>
        <w:spacing w:after="360" w:line="360" w:lineRule="auto"/>
        <w:jc w:val="center"/>
        <w:rPr>
          <w:b/>
          <w:sz w:val="30"/>
          <w:szCs w:val="30"/>
          <w:rFonts w:ascii="Arial Fett" w:hAnsi="Arial Fett" w:cs="Arial"/>
        </w:rPr>
      </w:pPr>
      <w:r>
        <w:rPr>
          <w:b/>
          <w:sz w:val="30"/>
          <w:szCs w:val="30"/>
          <w:rFonts w:ascii="Arial Fett" w:hAnsi="Arial Fett"/>
        </w:rPr>
        <w:t xml:space="preserve">Предложение за изменение</w:t>
      </w:r>
    </w:p>
    <w:p w14:paraId="3625169F" w14:textId="77777777" w:rsidR="00A1618A" w:rsidRPr="0018171E" w:rsidRDefault="00A1618A" w:rsidP="00E5776A">
      <w:pPr>
        <w:spacing w:line="360" w:lineRule="auto"/>
        <w:rPr>
          <w:b/>
          <w:sz w:val="26"/>
          <w:szCs w:val="26"/>
          <w:rFonts w:ascii="Arial" w:hAnsi="Arial" w:cs="Arial"/>
        </w:rPr>
      </w:pPr>
      <w:r>
        <w:rPr>
          <w:b/>
          <w:sz w:val="26"/>
          <w:szCs w:val="26"/>
          <w:rFonts w:ascii="Arial" w:hAnsi="Arial"/>
        </w:rPr>
        <w:t xml:space="preserve">към законопроекта, представен от федералното правителство</w:t>
      </w:r>
    </w:p>
    <w:p w14:paraId="47E1A8FA" w14:textId="77777777" w:rsidR="00A1618A" w:rsidRPr="0018171E" w:rsidRDefault="00A1618A" w:rsidP="00E5776A">
      <w:pPr>
        <w:spacing w:after="240" w:line="360" w:lineRule="auto"/>
        <w:rPr>
          <w:b/>
          <w:sz w:val="26"/>
          <w:szCs w:val="26"/>
          <w:rFonts w:ascii="Arial" w:hAnsi="Arial" w:cs="Arial"/>
        </w:rPr>
      </w:pPr>
      <w:r>
        <w:rPr>
          <w:b/>
          <w:sz w:val="26"/>
          <w:szCs w:val="26"/>
          <w:rFonts w:ascii="Arial" w:hAnsi="Arial"/>
        </w:rPr>
        <w:t xml:space="preserve">— Печатен документ </w:t>
      </w:r>
      <w:r>
        <w:rPr>
          <w:b/>
          <w:rStyle w:val="Marker"/>
        </w:rPr>
        <w:t xml:space="preserve">[…]</w:t>
      </w:r>
      <w:r>
        <w:rPr>
          <w:b/>
          <w:sz w:val="26"/>
          <w:szCs w:val="26"/>
          <w:rFonts w:ascii="Arial" w:hAnsi="Arial"/>
        </w:rPr>
        <w:t xml:space="preserve"> —</w:t>
      </w:r>
    </w:p>
    <w:p w14:paraId="371C6925" w14:textId="77777777" w:rsidR="00A1618A" w:rsidRPr="0018171E" w:rsidRDefault="00A1618A" w:rsidP="00E5776A">
      <w:pPr>
        <w:spacing w:after="480" w:line="360" w:lineRule="auto"/>
        <w:rPr>
          <w:rStyle w:val="Marker"/>
        </w:rPr>
      </w:pPr>
      <w:r>
        <w:rPr>
          <w:rStyle w:val="Marker"/>
        </w:rPr>
        <w:t xml:space="preserve">[…]</w:t>
      </w:r>
    </w:p>
    <w:p w14:paraId="57FA809D" w14:textId="77777777" w:rsidR="00A1618A" w:rsidRPr="0018171E" w:rsidRDefault="00A1618A" w:rsidP="00E5776A">
      <w:pPr>
        <w:spacing w:line="360" w:lineRule="auto"/>
        <w:rPr>
          <w:sz w:val="22"/>
          <w:rFonts w:ascii="Arial" w:hAnsi="Arial" w:cs="Arial"/>
        </w:rPr>
      </w:pPr>
      <w:r>
        <w:rPr>
          <w:sz w:val="22"/>
          <w:rFonts w:ascii="Arial" w:hAnsi="Arial"/>
        </w:rPr>
        <w:t xml:space="preserve">Федералният парламент възнамерява да приеме решението</w:t>
      </w:r>
    </w:p>
    <w:p w14:paraId="7B2A7215" w14:textId="5911DA34" w:rsidR="0063228E" w:rsidRPr="0018171E" w:rsidRDefault="00A1618A" w:rsidP="00E5776A">
      <w:pPr>
        <w:spacing w:line="360" w:lineRule="auto"/>
        <w:rPr>
          <w:sz w:val="22"/>
          <w:rFonts w:ascii="Arial" w:hAnsi="Arial" w:cs="Arial"/>
        </w:rPr>
      </w:pPr>
      <w:r>
        <w:rPr>
          <w:sz w:val="22"/>
          <w:rFonts w:ascii="Arial" w:hAnsi="Arial"/>
        </w:rPr>
        <w:t xml:space="preserve">за приемане на законопроекта от печатен документ </w:t>
      </w:r>
      <w:r>
        <w:rPr>
          <w:rStyle w:val="Marker"/>
        </w:rPr>
        <w:t xml:space="preserve">[…]</w:t>
      </w:r>
      <w:r>
        <w:rPr>
          <w:sz w:val="22"/>
          <w:rFonts w:ascii="Arial" w:hAnsi="Arial"/>
        </w:rPr>
        <w:t xml:space="preserve"> при следните условия, в останалата част без промяна:</w:t>
      </w:r>
    </w:p>
    <w:p w14:paraId="63DEEB82" w14:textId="1DF3B60D" w:rsidR="00A1618A" w:rsidRPr="0018171E" w:rsidRDefault="00A1618A" w:rsidP="00A1618A">
      <w:pPr>
        <w:pStyle w:val="EmpfehlungNummerierungStufe1"/>
      </w:pPr>
      <w:r>
        <w:t xml:space="preserve">След член … се добавя следният член …:</w:t>
      </w:r>
    </w:p>
    <w:p w14:paraId="299BD583" w14:textId="5B63D453" w:rsidR="00E5776A" w:rsidRPr="0018171E" w:rsidRDefault="00E5776A" w:rsidP="009C727B">
      <w:pPr>
        <w:pStyle w:val="RevisionArtikelBezeichnermanuell"/>
        <w:ind w:left="425" w:hanging="70"/>
      </w:pPr>
      <w:r>
        <w:t xml:space="preserve">‚Член </w:t>
      </w:r>
      <w:r>
        <w:rPr>
          <w:rStyle w:val="Marker"/>
        </w:rPr>
        <w:t xml:space="preserve">[…]</w:t>
      </w:r>
      <w:r>
        <w:rPr>
          <w:rStyle w:val="FootnoteReference"/>
          <w:color w:val="0000FF"/>
        </w:rPr>
        <w:footnoteReference w:customMarkFollows="1" w:id="1"/>
        <w:t xml:space="preserve">*</w:t>
      </w:r>
      <w:r>
        <w:rPr>
          <w:rStyle w:val="FootnoteReference"/>
          <w:color w:val="0000FF"/>
          <w:vertAlign w:val="baseline"/>
        </w:rPr>
        <w:t xml:space="preserve">)</w:t>
      </w:r>
      <w:r>
        <w:rPr>
          <w:rStyle w:val="Marker"/>
        </w:rPr>
        <w:t xml:space="preserve"> </w:t>
      </w:r>
    </w:p>
    <w:p w14:paraId="0353C7F8" w14:textId="06DB94DE" w:rsidR="00D879BF" w:rsidRPr="0018171E" w:rsidRDefault="00D879BF" w:rsidP="009C727B">
      <w:pPr>
        <w:pStyle w:val="RevisionArtikelberschrift"/>
        <w:ind w:left="425"/>
      </w:pPr>
      <w:r>
        <w:rPr>
          <w:b/>
        </w:rPr>
        <w:t xml:space="preserve">Изменение на Закона за правоприлагането в мрежата</w:t>
      </w:r>
    </w:p>
    <w:p w14:paraId="17D06E04" w14:textId="25FA39A2" w:rsidR="00A1618A" w:rsidRPr="0018171E" w:rsidRDefault="00A1618A" w:rsidP="0018171E">
      <w:pPr>
        <w:pStyle w:val="RevisionJuristischerAbsatzmanuell"/>
        <w:keepNext/>
        <w:tabs>
          <w:tab w:val="clear" w:pos="850"/>
          <w:tab w:val="left" w:pos="1275"/>
        </w:tabs>
        <w:ind w:left="425"/>
      </w:pPr>
      <w:r>
        <w:t xml:space="preserve">Законът за правоприлагането в мрежата от 1 септември 2017 г. (ДВ</w:t>
      </w:r>
      <w:r>
        <w:t xml:space="preserve"> </w:t>
      </w:r>
      <w:r>
        <w:t xml:space="preserve">I, стр. 3352), последно изменен с … [член 1 от Законопроекта за изменение на Закона за правоприлагането в мрежата, печатен документ на Федералния парламент 19/18792], се изменя, както следва:</w:t>
      </w:r>
    </w:p>
    <w:p w14:paraId="32195031" w14:textId="0D6EA219" w:rsidR="00A1618A" w:rsidRPr="0018171E" w:rsidRDefault="00A1618A" w:rsidP="009C727B">
      <w:pPr>
        <w:pStyle w:val="RevisionNummerierungStufe1"/>
        <w:numPr>
          <w:ilvl w:val="3"/>
          <w:numId w:val="2"/>
        </w:numPr>
        <w:tabs>
          <w:tab w:val="clear" w:pos="425"/>
          <w:tab w:val="num" w:pos="850"/>
        </w:tabs>
        <w:ind w:left="850"/>
      </w:pPr>
      <w:r>
        <w:t xml:space="preserve">В параграф 1, втора алинея текстът </w:t>
      </w:r>
      <w:r>
        <w:rPr>
          <w:rStyle w:val="RevisionText"/>
        </w:rPr>
        <w:t xml:space="preserve">„параграфи 2—3б“</w:t>
      </w:r>
      <w:r>
        <w:t xml:space="preserve"> се заменя с думите </w:t>
      </w:r>
      <w:r>
        <w:rPr>
          <w:rStyle w:val="RevisionText"/>
        </w:rPr>
        <w:t xml:space="preserve">„параграфи 2—3б и 5а“</w:t>
      </w:r>
      <w:r>
        <w:t xml:space="preserve">.</w:t>
      </w:r>
    </w:p>
    <w:p w14:paraId="10263F3F" w14:textId="0779D0EE" w:rsidR="00A1618A" w:rsidRPr="0018171E" w:rsidRDefault="00A1618A" w:rsidP="009C727B">
      <w:pPr>
        <w:pStyle w:val="RevisionNummerierungStufe1"/>
        <w:tabs>
          <w:tab w:val="clear" w:pos="425"/>
          <w:tab w:val="num" w:pos="850"/>
        </w:tabs>
        <w:ind w:left="850"/>
      </w:pPr>
      <w:r>
        <w:t xml:space="preserve">В параграф 2, втора алинея, точка 2 след думите </w:t>
      </w:r>
      <w:r>
        <w:rPr>
          <w:rStyle w:val="RevisionText"/>
        </w:rPr>
        <w:t xml:space="preserve">„им се оказва съдействие“</w:t>
      </w:r>
      <w:r>
        <w:t xml:space="preserve"> се добавят думите </w:t>
      </w:r>
      <w:r>
        <w:rPr>
          <w:rStyle w:val="RevisionText"/>
        </w:rPr>
        <w:t xml:space="preserve">„и за тази цел им е бил предоставен достъп до информацията на доставчика“</w:t>
      </w:r>
      <w:r>
        <w:t xml:space="preserve">.</w:t>
      </w:r>
    </w:p>
    <w:p w14:paraId="26550664" w14:textId="0FE945BB" w:rsidR="00A1618A" w:rsidRPr="0018171E" w:rsidRDefault="00A1618A" w:rsidP="0018171E">
      <w:pPr>
        <w:pStyle w:val="RevisionNummerierungStufe1"/>
        <w:keepNext/>
        <w:tabs>
          <w:tab w:val="clear" w:pos="425"/>
          <w:tab w:val="num" w:pos="850"/>
        </w:tabs>
        <w:ind w:left="850"/>
      </w:pPr>
      <w:r>
        <w:t xml:space="preserve">След параграф 5 се добавя следният параграф 5а:</w:t>
      </w:r>
    </w:p>
    <w:p w14:paraId="0324CC36" w14:textId="2F7FB129" w:rsidR="00D879BF" w:rsidRPr="0018171E" w:rsidRDefault="00D879BF" w:rsidP="009C727B">
      <w:pPr>
        <w:pStyle w:val="RevisionParagraphBezeichnermanuell"/>
        <w:ind w:left="850" w:hanging="90"/>
      </w:pPr>
      <w:r>
        <w:t xml:space="preserve">„Параграф 5а</w:t>
      </w:r>
    </w:p>
    <w:p w14:paraId="726DC658" w14:textId="39CB7E5F" w:rsidR="00D879BF" w:rsidRPr="0018171E" w:rsidRDefault="00D879BF" w:rsidP="009C727B">
      <w:pPr>
        <w:pStyle w:val="RevisionParagraphberschrift"/>
        <w:ind w:left="850"/>
      </w:pPr>
      <w:r>
        <w:t xml:space="preserve">Информация за научноизследователска дейност</w:t>
      </w:r>
    </w:p>
    <w:p w14:paraId="6AD69D50" w14:textId="4BFCD7E0" w:rsidR="003E7797" w:rsidRPr="0018171E" w:rsidRDefault="00792014" w:rsidP="009C727B">
      <w:pPr>
        <w:pStyle w:val="RevisionJuristischerAbsatz"/>
        <w:numPr>
          <w:ilvl w:val="2"/>
          <w:numId w:val="1"/>
        </w:numPr>
        <w:tabs>
          <w:tab w:val="clear" w:pos="850"/>
          <w:tab w:val="num" w:pos="1700"/>
        </w:tabs>
        <w:ind w:left="850"/>
      </w:pPr>
      <w:r>
        <w:t xml:space="preserve">Научен изследовател по смисъла на настоящата разпоредба е всяко физическо или юридическо лице, което извършва научноизследователска дейност.</w:t>
      </w:r>
    </w:p>
    <w:p w14:paraId="465DF5C8" w14:textId="2D2C57F4" w:rsidR="003E7797" w:rsidRPr="0018171E" w:rsidRDefault="003E7797" w:rsidP="0018171E">
      <w:pPr>
        <w:pStyle w:val="RevisionJuristischerAbsatz"/>
        <w:keepNext/>
        <w:tabs>
          <w:tab w:val="clear" w:pos="850"/>
          <w:tab w:val="num" w:pos="1700"/>
        </w:tabs>
        <w:ind w:left="850"/>
      </w:pPr>
      <w:r>
        <w:t xml:space="preserve">Научният изследовател може да изисква от доставчика на социална мрежа квалифицирана информация относно:</w:t>
      </w:r>
    </w:p>
    <w:p w14:paraId="1DAACCE7" w14:textId="576C75C0" w:rsidR="003E7797" w:rsidRPr="0018171E" w:rsidRDefault="003E7797" w:rsidP="009C727B">
      <w:pPr>
        <w:pStyle w:val="RevisionNummerierungStufe1"/>
        <w:tabs>
          <w:tab w:val="clear" w:pos="425"/>
          <w:tab w:val="num" w:pos="1275"/>
        </w:tabs>
        <w:ind w:left="1275"/>
      </w:pPr>
      <w:r>
        <w:t xml:space="preserve">използването и конкретния начин на действие на методи за автоматично разпознаване на съдържания, които трябва да бъдат премахнати или блокирани, по-конкретно за вида и областта на приложение на използваните технологии и целите, критериите и параметрите за тяхното програмиране, както и за използваните данни,</w:t>
      </w:r>
    </w:p>
    <w:p w14:paraId="3C838C31" w14:textId="1ACF9BED" w:rsidR="003E7797" w:rsidRPr="0018171E" w:rsidRDefault="003E7797" w:rsidP="009C727B">
      <w:pPr>
        <w:pStyle w:val="RevisionNummerierungStufe1"/>
        <w:tabs>
          <w:tab w:val="clear" w:pos="425"/>
          <w:tab w:val="num" w:pos="1275"/>
        </w:tabs>
        <w:ind w:left="1275"/>
      </w:pPr>
      <w:r>
        <w:t xml:space="preserve">разпространението на съдържания, които са били предмет на жалби за незаконни съдържания или които доставчикът е премахнал или блокирал, по-конкретно съответните съдържания и информация за това, какви потребители и по какъв начин са взаимодействали със съдържанията.</w:t>
      </w:r>
    </w:p>
    <w:p w14:paraId="1DA5F836" w14:textId="37C638B4" w:rsidR="003E7797" w:rsidRPr="0018171E" w:rsidRDefault="003E7797" w:rsidP="009C727B">
      <w:pPr>
        <w:pStyle w:val="RevisionJuristischerAbsatz"/>
        <w:tabs>
          <w:tab w:val="clear" w:pos="850"/>
          <w:tab w:val="num" w:pos="1700"/>
        </w:tabs>
        <w:ind w:left="850"/>
      </w:pPr>
      <w:r>
        <w:t xml:space="preserve">Информацията по смисъла на втора алинея може да се изисква само ако тя е необходима за проект на научно изследване в обществен интерес относно вида, обхвата, причините и начините на действие на обществената комуникация в социалните мрежи и работата на доставчиците с тях.</w:t>
      </w:r>
    </w:p>
    <w:p w14:paraId="0D5D8322" w14:textId="0EC96F12" w:rsidR="003B0970" w:rsidRPr="0018171E" w:rsidRDefault="003B0970" w:rsidP="0018171E">
      <w:pPr>
        <w:pStyle w:val="RevisionJuristischerAbsatz"/>
        <w:keepNext/>
        <w:tabs>
          <w:tab w:val="clear" w:pos="850"/>
          <w:tab w:val="num" w:pos="1700"/>
        </w:tabs>
        <w:ind w:left="850"/>
      </w:pPr>
      <w:r>
        <w:t xml:space="preserve">Информацията трябва да се предоставя само ако научният изследовател представи на доставчика на социалната мрежа концепция за защита.</w:t>
      </w:r>
      <w:r>
        <w:t xml:space="preserve"> </w:t>
      </w:r>
      <w:r>
        <w:t xml:space="preserve">Концепцията за защита включва:</w:t>
      </w:r>
    </w:p>
    <w:p w14:paraId="577C67EC" w14:textId="60CDC11C" w:rsidR="003B0970" w:rsidRPr="0018171E" w:rsidRDefault="003B0970" w:rsidP="009C727B">
      <w:pPr>
        <w:pStyle w:val="RevisionNummerierungStufe1"/>
        <w:tabs>
          <w:tab w:val="clear" w:pos="425"/>
          <w:tab w:val="num" w:pos="1275"/>
        </w:tabs>
        <w:ind w:left="1275"/>
      </w:pPr>
      <w:r>
        <w:t xml:space="preserve">описание на информацията, необходима за целите на научното изследване съгласно трета алинея,</w:t>
      </w:r>
    </w:p>
    <w:p w14:paraId="5AABA7E4" w14:textId="3A66C314" w:rsidR="003B0970" w:rsidRPr="0018171E" w:rsidRDefault="003B0970" w:rsidP="009C727B">
      <w:pPr>
        <w:pStyle w:val="RevisionNummerierungStufe1"/>
        <w:tabs>
          <w:tab w:val="clear" w:pos="425"/>
          <w:tab w:val="num" w:pos="1275"/>
        </w:tabs>
        <w:ind w:left="1275"/>
      </w:pPr>
      <w:r>
        <w:t xml:space="preserve">описание на целта на използването на информацията,</w:t>
      </w:r>
    </w:p>
    <w:p w14:paraId="0654C9E5" w14:textId="4D2A02B0" w:rsidR="003B0970" w:rsidRPr="0018171E" w:rsidRDefault="009A5C22" w:rsidP="009C727B">
      <w:pPr>
        <w:pStyle w:val="RevisionNummerierungStufe1"/>
        <w:tabs>
          <w:tab w:val="clear" w:pos="425"/>
          <w:tab w:val="num" w:pos="1275"/>
        </w:tabs>
        <w:ind w:left="1275"/>
      </w:pPr>
      <w:r>
        <w:t xml:space="preserve">описание на предпазните мерки за предотвратяване на употребата на информацията по друг начин,</w:t>
      </w:r>
    </w:p>
    <w:p w14:paraId="7DD21787" w14:textId="65E2C567" w:rsidR="003B0970" w:rsidRPr="0018171E" w:rsidRDefault="009A5C22" w:rsidP="009C727B">
      <w:pPr>
        <w:pStyle w:val="RevisionNummerierungStufe1"/>
        <w:tabs>
          <w:tab w:val="clear" w:pos="425"/>
          <w:tab w:val="num" w:pos="1275"/>
        </w:tabs>
        <w:ind w:left="1275"/>
      </w:pPr>
      <w:r>
        <w:t xml:space="preserve">описание на предпазните мерки за защита на законните интереси на доставчика, и</w:t>
      </w:r>
    </w:p>
    <w:p w14:paraId="7FDD7EDD" w14:textId="6C7443DB" w:rsidR="003B0970" w:rsidRPr="0018171E" w:rsidRDefault="003B0970" w:rsidP="009C727B">
      <w:pPr>
        <w:pStyle w:val="RevisionNummerierungStufe1"/>
        <w:tabs>
          <w:tab w:val="clear" w:pos="425"/>
          <w:tab w:val="num" w:pos="1275"/>
        </w:tabs>
        <w:ind w:left="1275"/>
      </w:pPr>
      <w:r>
        <w:t xml:space="preserve">описание на техническите и организационни мерки, които гарантират защитата на личните данни.</w:t>
      </w:r>
    </w:p>
    <w:p w14:paraId="6F58E8FB" w14:textId="7863B11B" w:rsidR="003B0970" w:rsidRPr="0018171E" w:rsidRDefault="003B0970" w:rsidP="009C727B">
      <w:pPr>
        <w:pStyle w:val="RevisionJuristischerAbsatzFolgeabsatz"/>
        <w:ind w:left="850"/>
      </w:pPr>
      <w:r>
        <w:t xml:space="preserve">Концепцията за защита трябва да се изпраща заедно с искането за предоставяне на информация на компетентния надзорен орган по защита на данните.</w:t>
      </w:r>
    </w:p>
    <w:p w14:paraId="4D175D2B" w14:textId="0B4186A8" w:rsidR="009C0AFB" w:rsidRPr="0018171E" w:rsidRDefault="003E7797" w:rsidP="0018171E">
      <w:pPr>
        <w:pStyle w:val="RevisionJuristischerAbsatz"/>
        <w:keepNext/>
        <w:tabs>
          <w:tab w:val="clear" w:pos="850"/>
          <w:tab w:val="num" w:pos="1700"/>
        </w:tabs>
        <w:ind w:left="850"/>
      </w:pPr>
      <w:r>
        <w:t xml:space="preserve">Доставчикът на социална мрежа може да откаже да предостави информацията, когато:</w:t>
      </w:r>
    </w:p>
    <w:p w14:paraId="20E7290B" w14:textId="1403DA61" w:rsidR="009C0AFB" w:rsidRPr="0018171E" w:rsidRDefault="003E7797" w:rsidP="009C727B">
      <w:pPr>
        <w:pStyle w:val="RevisionNummerierungStufe1"/>
        <w:tabs>
          <w:tab w:val="clear" w:pos="425"/>
          <w:tab w:val="num" w:pos="1275"/>
        </w:tabs>
        <w:ind w:left="1275"/>
      </w:pPr>
      <w:r>
        <w:t xml:space="preserve">неговите законни интереси значително надделяват над обществения интерес от научното изследване, или</w:t>
      </w:r>
    </w:p>
    <w:p w14:paraId="0330033E" w14:textId="544CB962" w:rsidR="003E7797" w:rsidRPr="0018171E" w:rsidRDefault="003E7797" w:rsidP="009C727B">
      <w:pPr>
        <w:pStyle w:val="RevisionNummerierungStufe1"/>
        <w:tabs>
          <w:tab w:val="clear" w:pos="425"/>
          <w:tab w:val="num" w:pos="1275"/>
        </w:tabs>
        <w:ind w:left="1275"/>
      </w:pPr>
      <w:r>
        <w:t xml:space="preserve">ще бъдат накърнени законните интереси на субектите на данните и общественият интерес от научното изследване не надделява над интереса на субектите на данните за запазване на поверителността.</w:t>
      </w:r>
    </w:p>
    <w:p w14:paraId="63F909E8" w14:textId="4478DA44" w:rsidR="00D969A6" w:rsidRPr="0018171E" w:rsidRDefault="00D969A6" w:rsidP="0018171E">
      <w:pPr>
        <w:pStyle w:val="RevisionJuristischerAbsatz"/>
        <w:keepNext/>
        <w:tabs>
          <w:tab w:val="clear" w:pos="850"/>
          <w:tab w:val="num" w:pos="1700"/>
        </w:tabs>
        <w:ind w:left="850"/>
      </w:pPr>
      <w:r>
        <w:t xml:space="preserve">За целите на предоставянето на информация съгласно втора алинея доставчикът на социална мрежа има право да предоставя следните лични данни:</w:t>
      </w:r>
    </w:p>
    <w:p w14:paraId="63FE05D0" w14:textId="1ABFB4BC" w:rsidR="00D969A6" w:rsidRPr="0018171E" w:rsidRDefault="00D969A6" w:rsidP="009C727B">
      <w:pPr>
        <w:pStyle w:val="RevisionNummerierungStufe1"/>
        <w:tabs>
          <w:tab w:val="clear" w:pos="425"/>
          <w:tab w:val="num" w:pos="1275"/>
        </w:tabs>
        <w:ind w:left="1275"/>
      </w:pPr>
      <w:r>
        <w:t xml:space="preserve">разпространените съдържания,</w:t>
      </w:r>
    </w:p>
    <w:p w14:paraId="2331E910" w14:textId="7E2B248A" w:rsidR="00D969A6" w:rsidRPr="0018171E" w:rsidRDefault="00D969A6" w:rsidP="009C727B">
      <w:pPr>
        <w:pStyle w:val="RevisionNummerierungStufe1"/>
        <w:tabs>
          <w:tab w:val="clear" w:pos="425"/>
          <w:tab w:val="num" w:pos="1275"/>
        </w:tabs>
        <w:ind w:left="1275"/>
      </w:pPr>
      <w:r>
        <w:t xml:space="preserve">жалби за незаконни съдържания,</w:t>
      </w:r>
    </w:p>
    <w:p w14:paraId="4CC6BEE3" w14:textId="48B4D2C4" w:rsidR="00D969A6" w:rsidRPr="0018171E" w:rsidRDefault="00D969A6" w:rsidP="009C727B">
      <w:pPr>
        <w:pStyle w:val="RevisionNummerierungStufe1"/>
        <w:tabs>
          <w:tab w:val="clear" w:pos="425"/>
          <w:tab w:val="num" w:pos="1275"/>
        </w:tabs>
        <w:ind w:left="1275"/>
      </w:pPr>
      <w:r>
        <w:t xml:space="preserve">потребителските имена на взелите участие в разпространението лица,</w:t>
      </w:r>
    </w:p>
    <w:p w14:paraId="7F95ED84" w14:textId="6E103565" w:rsidR="00D969A6" w:rsidRPr="0018171E" w:rsidRDefault="00D969A6" w:rsidP="009C727B">
      <w:pPr>
        <w:pStyle w:val="RevisionNummerierungStufe1"/>
        <w:tabs>
          <w:tab w:val="clear" w:pos="425"/>
          <w:tab w:val="num" w:pos="1275"/>
        </w:tabs>
        <w:ind w:left="1275"/>
      </w:pPr>
      <w:r>
        <w:t xml:space="preserve">подробности за взаимодействията между взелите участие в разпространението лица във връзка със съответните съдържания, и</w:t>
      </w:r>
    </w:p>
    <w:p w14:paraId="35C5E61A" w14:textId="08449E2C" w:rsidR="00D969A6" w:rsidRPr="0018171E" w:rsidRDefault="00D969A6" w:rsidP="009C727B">
      <w:pPr>
        <w:pStyle w:val="RevisionNummerierungStufe1"/>
        <w:tabs>
          <w:tab w:val="clear" w:pos="425"/>
          <w:tab w:val="num" w:pos="1275"/>
        </w:tabs>
        <w:ind w:left="1275"/>
      </w:pPr>
      <w:r>
        <w:t xml:space="preserve">данни за обучение за методи за автоматично разпознаване на съдържания, които трябва да бъдат премахнати или блокирани, както и информация за начина на действие, целите, критериите и параметрите за програмирането на тези методи.</w:t>
      </w:r>
    </w:p>
    <w:p w14:paraId="041944BF" w14:textId="44C7953A" w:rsidR="00D969A6" w:rsidRPr="0018171E" w:rsidRDefault="00D969A6" w:rsidP="009C727B">
      <w:pPr>
        <w:pStyle w:val="RevisionJuristischerAbsatzFolgeabsatz"/>
        <w:ind w:left="850"/>
      </w:pPr>
      <w:r>
        <w:t xml:space="preserve">Данните трябва да се предоставят в анонимизирана или най-малкото псевдонимизирана форма, когато това е възможно без риск за целите на научното изследване.</w:t>
      </w:r>
    </w:p>
    <w:p w14:paraId="586F09EF" w14:textId="3B2EB56C" w:rsidR="00D969A6" w:rsidRPr="0018171E" w:rsidRDefault="00D969A6" w:rsidP="009C727B">
      <w:pPr>
        <w:pStyle w:val="RevisionJuristischerAbsatz"/>
        <w:tabs>
          <w:tab w:val="clear" w:pos="850"/>
          <w:tab w:val="num" w:pos="1700"/>
        </w:tabs>
        <w:ind w:left="850"/>
      </w:pPr>
      <w:r>
        <w:t xml:space="preserve">Научният изследовател има право да обработва данните изключително за целите на проекта на научно изследване по смисъла на трета алинея.</w:t>
      </w:r>
      <w:r>
        <w:t xml:space="preserve"> </w:t>
      </w:r>
      <w:r>
        <w:t xml:space="preserve">Когато се обработват специални категории данни по смисъла на член 9, параграф 1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 4.5.2016 г., стр. 1; L 314, 22.11.2016 г., стр. 72; L 127, 23.5.2018 г., стр. 2), в съответната актуална редакция, научният изследовател трябва да предвижда разумни и специфични мерки за защита на интересите на субекта на данните съгласно параграф 22, втора алинея, изречение 2 от федералния Закон за защита на личните данни.</w:t>
      </w:r>
      <w:r>
        <w:t xml:space="preserve"> </w:t>
      </w:r>
      <w:r>
        <w:t xml:space="preserve">В допълнение към посочените в тази разпоредба мерки данните по смисъла на член 9, параграф 1 от Регламент (ЕС) 2016/679 трябва да се анонимизират, когато това е възможно според целта на научното изследване.</w:t>
      </w:r>
      <w:r>
        <w:t xml:space="preserve"> </w:t>
      </w:r>
      <w:r>
        <w:t xml:space="preserve">Не се засягат други разпоредби от законодателството относно защитата на данните.</w:t>
      </w:r>
    </w:p>
    <w:p w14:paraId="1627C846" w14:textId="381758EE" w:rsidR="0063228E" w:rsidRPr="0018171E" w:rsidRDefault="00D969A6" w:rsidP="00301E30">
      <w:pPr>
        <w:pStyle w:val="RevisionJuristischerAbsatz"/>
        <w:tabs>
          <w:tab w:val="clear" w:pos="850"/>
          <w:tab w:val="num" w:pos="1700"/>
        </w:tabs>
        <w:ind w:left="850"/>
      </w:pPr>
      <w:r>
        <w:t xml:space="preserve">Доставчикът на социална мрежа може да поиска от научния изследовател възстановяване в разумен размер на възникващите поради предоставянето на информация съгласно втора алинея разходи.</w:t>
      </w:r>
      <w:r>
        <w:t xml:space="preserve"> </w:t>
      </w:r>
      <w:r>
        <w:t xml:space="preserve">При определянето на разумния размер трябва да се има предвид, че разходите не могат да представляват съществена пречка за ползването на правото за предоставяне на информация.</w:t>
      </w:r>
      <w:r>
        <w:t xml:space="preserve"> </w:t>
      </w:r>
      <w:r>
        <w:t xml:space="preserve">Разпоредбата на параграф 287, първа алинея от Гражданския процесуален кодекс се прилага съответно.</w:t>
      </w:r>
      <w:r>
        <w:t xml:space="preserve"> </w:t>
      </w:r>
      <w:r>
        <w:t xml:space="preserve">Максималната сума на подлежащите на възстановяване разходи може да бъде до 5 000 евро.</w:t>
      </w:r>
      <w:r>
        <w:t xml:space="preserve"> </w:t>
      </w:r>
      <w:r>
        <w:t xml:space="preserve">Надвишаване на тази сума се допуска само ако вследствие на предоставянето на информацията възникнат необичайно високи разходи.</w:t>
      </w:r>
      <w:r>
        <w:t xml:space="preserve"> </w:t>
      </w:r>
      <w:r>
        <w:t xml:space="preserve">След представянето на концепцията за защита по смисъла на четвърта алинея научният изследовател може да поиска от доставчика в рамките на разумен срок да му бъде представено безплатно приблизително изчисление на разходите.“‘</w:t>
      </w:r>
    </w:p>
    <w:p w14:paraId="36342A1E" w14:textId="099F92EE" w:rsidR="0063228E" w:rsidRPr="0018171E" w:rsidRDefault="00482E04" w:rsidP="0018171E">
      <w:pPr>
        <w:pStyle w:val="EmpfehlungNummerierungStufe1"/>
        <w:keepNext/>
      </w:pPr>
      <w:r>
        <w:t xml:space="preserve">Член </w:t>
      </w:r>
      <w:r>
        <w:rPr>
          <w:rStyle w:val="Marker"/>
        </w:rPr>
        <w:t xml:space="preserve">[…]</w:t>
      </w:r>
      <w:r>
        <w:t xml:space="preserve"> придобива следната редакция:</w:t>
      </w:r>
    </w:p>
    <w:p w14:paraId="49D47905" w14:textId="31CE6EC1" w:rsidR="00173C16" w:rsidRPr="0018171E" w:rsidRDefault="00173C16" w:rsidP="009C727B">
      <w:pPr>
        <w:pStyle w:val="RevisionArtikelBezeichnermanuell"/>
        <w:ind w:left="425" w:hanging="90"/>
      </w:pPr>
      <w:r>
        <w:t xml:space="preserve">„Член </w:t>
      </w:r>
      <w:r>
        <w:rPr>
          <w:rStyle w:val="Marker"/>
        </w:rPr>
        <w:t xml:space="preserve">[…]</w:t>
      </w:r>
    </w:p>
    <w:p w14:paraId="577BA21A" w14:textId="3EB5AE99" w:rsidR="00173C16" w:rsidRPr="0018171E" w:rsidRDefault="00173C16" w:rsidP="009C727B">
      <w:pPr>
        <w:pStyle w:val="RevisionArtikelberschrift"/>
        <w:ind w:left="425"/>
      </w:pPr>
      <w:r>
        <w:rPr>
          <w:rStyle w:val="Marker"/>
        </w:rPr>
        <w:t xml:space="preserve">[…]</w:t>
      </w:r>
    </w:p>
    <w:p w14:paraId="5AF7FB2C" w14:textId="090B4924" w:rsidR="00173C16" w:rsidRPr="0018171E" w:rsidRDefault="00173C16" w:rsidP="009C727B">
      <w:pPr>
        <w:pStyle w:val="RevisionJuristischerAbsatzmanuell"/>
        <w:tabs>
          <w:tab w:val="clear" w:pos="850"/>
          <w:tab w:val="left" w:pos="1275"/>
        </w:tabs>
        <w:ind w:left="425"/>
      </w:pPr>
      <w:r>
        <w:t xml:space="preserve">… </w:t>
      </w:r>
      <w:r>
        <w:rPr>
          <w:rStyle w:val="Marker"/>
        </w:rPr>
        <w:t xml:space="preserve">[евент. отделна разпоредба за влизане в сила]</w:t>
      </w:r>
      <w:r>
        <w:t xml:space="preserve"> …“</w:t>
      </w:r>
      <w:r>
        <w:rPr>
          <w:color w:val="auto"/>
        </w:rPr>
        <w:t xml:space="preserve">.</w:t>
      </w:r>
    </w:p>
    <w:p w14:paraId="2CDAA614" w14:textId="1C885BBD" w:rsidR="00A1618A" w:rsidRPr="0018171E" w:rsidRDefault="00A1618A" w:rsidP="009F08C0">
      <w:pPr>
        <w:pStyle w:val="EinzelbegrndungTitel"/>
      </w:pPr>
      <w:r>
        <w:t xml:space="preserve">Мотиви</w:t>
      </w:r>
    </w:p>
    <w:p w14:paraId="5B2223BB" w14:textId="271DB07E" w:rsidR="009F08C0" w:rsidRPr="0018171E" w:rsidRDefault="009F08C0" w:rsidP="0018171E">
      <w:pPr>
        <w:pStyle w:val="Text"/>
        <w:keepNext/>
        <w:rPr>
          <w:rStyle w:val="Marker"/>
          <w:b/>
          <w:color w:val="auto"/>
        </w:rPr>
      </w:pPr>
      <w:r>
        <w:rPr>
          <w:rStyle w:val="Marker"/>
          <w:b/>
          <w:color w:val="auto"/>
        </w:rPr>
        <w:t xml:space="preserve">Към точка 1</w:t>
      </w:r>
      <w:r>
        <w:rPr>
          <w:rStyle w:val="Marker"/>
          <w:b/>
          <w:color w:val="auto"/>
        </w:rPr>
        <w:t xml:space="preserve"> </w:t>
      </w:r>
    </w:p>
    <w:p w14:paraId="47C1AE4D" w14:textId="77777777" w:rsidR="00D969A6" w:rsidRPr="0018171E" w:rsidRDefault="00D969A6" w:rsidP="00D969A6">
      <w:pPr>
        <w:pStyle w:val="Text"/>
        <w:rPr>
          <w:rStyle w:val="Marker"/>
          <w:color w:val="auto"/>
        </w:rPr>
      </w:pPr>
      <w:r>
        <w:rPr>
          <w:rStyle w:val="Marker"/>
          <w:color w:val="auto"/>
        </w:rPr>
        <w:t xml:space="preserve">Все повече политически дебати и процеси на формиране на мнението се осъществяват в цифровото пространство и в социалните медии.</w:t>
      </w:r>
      <w:r>
        <w:rPr>
          <w:rStyle w:val="Marker"/>
          <w:color w:val="auto"/>
        </w:rPr>
        <w:t xml:space="preserve"> </w:t>
      </w:r>
      <w:r>
        <w:rPr>
          <w:rStyle w:val="Marker"/>
          <w:color w:val="auto"/>
        </w:rPr>
        <w:t xml:space="preserve">Междувременно осъществяваният в тях комуникационен процес придобива голямо значение за формирането на общественото мнение.</w:t>
      </w:r>
      <w:r>
        <w:rPr>
          <w:rStyle w:val="Marker"/>
          <w:color w:val="auto"/>
        </w:rPr>
        <w:t xml:space="preserve"> </w:t>
      </w:r>
      <w:r>
        <w:rPr>
          <w:rStyle w:val="Marker"/>
          <w:color w:val="auto"/>
        </w:rPr>
        <w:t xml:space="preserve">Например за разпространението на политически програми и идеи достъпът до определени социални медии, които поради своето значение не могат да бъдат взаимнозаменяеми, може да бъде от първостепенно значение (срв. BVerfG, Временно решение на съда от 22 май 2019 г. — 1 BvQ 42/19 —, Rn.</w:t>
      </w:r>
      <w:r>
        <w:rPr>
          <w:rStyle w:val="Marker"/>
          <w:color w:val="auto"/>
        </w:rPr>
        <w:t xml:space="preserve"> </w:t>
      </w:r>
      <w:r>
        <w:rPr>
          <w:rStyle w:val="Marker"/>
          <w:color w:val="auto"/>
        </w:rPr>
        <w:t xml:space="preserve">19).</w:t>
      </w:r>
    </w:p>
    <w:p w14:paraId="6C4892FE" w14:textId="77777777" w:rsidR="00D969A6" w:rsidRPr="0018171E" w:rsidRDefault="00D969A6" w:rsidP="00D969A6">
      <w:pPr>
        <w:pStyle w:val="Text"/>
        <w:rPr>
          <w:rStyle w:val="Marker"/>
          <w:color w:val="auto"/>
        </w:rPr>
      </w:pPr>
      <w:r>
        <w:rPr>
          <w:rStyle w:val="Marker"/>
          <w:color w:val="auto"/>
        </w:rPr>
        <w:t xml:space="preserve">Поради тази причина е налице значителен обществен интерес от по-голяма прозрачност относно начините на функциониране на съответните платформи и осъществявания в тях процес на разпространение на съдържания, както и от предоставянето на възможност за придобиването на независими научноизследователски знания за това.</w:t>
      </w:r>
    </w:p>
    <w:p w14:paraId="373BFE01" w14:textId="385D0837" w:rsidR="00D969A6" w:rsidRPr="0018171E" w:rsidRDefault="00D969A6" w:rsidP="00D969A6">
      <w:pPr>
        <w:pStyle w:val="Text"/>
        <w:rPr>
          <w:rStyle w:val="Marker"/>
          <w:color w:val="auto"/>
        </w:rPr>
      </w:pPr>
      <w:r>
        <w:rPr>
          <w:rStyle w:val="Marker"/>
          <w:color w:val="auto"/>
        </w:rPr>
        <w:t xml:space="preserve">Това засяга от една страна въпроса въз основа на какви критерии доставчикът взема решения относно възможността за ползването на неговата платформа и възможността за разрешаване или ограничаване на разпространението на съдържания на платформата.</w:t>
      </w:r>
      <w:r>
        <w:rPr>
          <w:rStyle w:val="Marker"/>
          <w:color w:val="auto"/>
        </w:rPr>
        <w:t xml:space="preserve"> </w:t>
      </w:r>
      <w:r>
        <w:rPr>
          <w:rStyle w:val="Marker"/>
          <w:color w:val="auto"/>
        </w:rPr>
        <w:t xml:space="preserve">Въпросът как големите доставчици, важни за обществения дискурс, процедират например с жалби за незаконни съдържания и по какъв начин в други случаи се вземат решения за ограничаване на разпространението на съдържания, е от голям обществен интерес поради важността на големите доставчици (срв. печатен документ на Федералния парламент 19/18792, стр. 42).</w:t>
      </w:r>
      <w:r>
        <w:rPr>
          <w:rStyle w:val="Marker"/>
          <w:color w:val="auto"/>
        </w:rPr>
        <w:t xml:space="preserve"> </w:t>
      </w:r>
      <w:r>
        <w:rPr>
          <w:rStyle w:val="Marker"/>
          <w:color w:val="auto"/>
        </w:rPr>
        <w:t xml:space="preserve">Следователно само при съответната прозрачност в това отношение широката общественост може да разбере защо и по какъв начин се ограничава разпространението на определени съдържания.</w:t>
      </w:r>
      <w:r>
        <w:rPr>
          <w:rStyle w:val="Marker"/>
          <w:color w:val="auto"/>
        </w:rPr>
        <w:t xml:space="preserve"> </w:t>
      </w:r>
      <w:r>
        <w:rPr>
          <w:rStyle w:val="Marker"/>
          <w:color w:val="auto"/>
        </w:rPr>
        <w:t xml:space="preserve">При това трябва да се има предвид, че понастоящем съответните решения за модерация често се вземат с помощта на сложни автоматизирани методи.</w:t>
      </w:r>
      <w:r>
        <w:rPr>
          <w:rStyle w:val="Marker"/>
          <w:color w:val="auto"/>
        </w:rPr>
        <w:t xml:space="preserve"> </w:t>
      </w:r>
      <w:r>
        <w:rPr>
          <w:rStyle w:val="Marker"/>
          <w:color w:val="auto"/>
        </w:rPr>
        <w:t xml:space="preserve">Така например Facebook съобщава, че съдържания, регистрирани като „Hate Speech“ по смисъла на т. нар. Community Standards, в повечето случаи се откриват от самия доставчик с помощта на технологични решения (срв. https://transparency.facebook.com/community-standards-enforcement#hate-speech; извадка от 12 октомври 2020 г.).</w:t>
      </w:r>
      <w:r>
        <w:rPr>
          <w:rStyle w:val="Marker"/>
          <w:color w:val="auto"/>
        </w:rPr>
        <w:t xml:space="preserve"> </w:t>
      </w:r>
      <w:r>
        <w:rPr>
          <w:rStyle w:val="Marker"/>
          <w:color w:val="auto"/>
        </w:rPr>
        <w:t xml:space="preserve">Следователно, за да може да се създаде прозрачност за широката общественост на основните — отчасти технически сложни — процеси, е важна задача научният и научноизследователският сектор да могат да проследяват използването на методи за автоматично разпознаване на съдържания, когато тези съдържания евентуално трябва да бъдат премахнати или блокирани (срв. печатен документ на Федералния парламент 19/18792, стр. 43).</w:t>
      </w:r>
      <w:r>
        <w:rPr>
          <w:rStyle w:val="Marker"/>
          <w:color w:val="auto"/>
        </w:rPr>
        <w:t xml:space="preserve"> </w:t>
      </w:r>
      <w:r>
        <w:rPr>
          <w:rStyle w:val="Marker"/>
          <w:color w:val="auto"/>
        </w:rPr>
        <w:t xml:space="preserve">В това отношение не е достатъчно научният и научноизследователският сектор да ползват общата информация, представена в докладите за прозрачност по смисъла на параграф 2 от NetzDG, които служат за информиране на по-широк кръг от обществеността.</w:t>
      </w:r>
      <w:r>
        <w:rPr>
          <w:rStyle w:val="Marker"/>
          <w:color w:val="auto"/>
        </w:rPr>
        <w:t xml:space="preserve"> </w:t>
      </w:r>
      <w:r>
        <w:rPr>
          <w:rStyle w:val="Marker"/>
          <w:color w:val="auto"/>
        </w:rPr>
        <w:t xml:space="preserve">Следователно за целите на науката и научноизследователската дейност е необходима не само такава обща, респ. обобщена информация, но и подробна информация и необработени данни (напр. изрично посочените в шеста алинея съдържания, техният съответен контекст и данните за обучение на автоматичните методи), за да получат самостоятелно научно обосновани знания за въпросните методи за автоматично разпознаване на съдържания.</w:t>
      </w:r>
    </w:p>
    <w:p w14:paraId="138C3D37" w14:textId="032BC65F" w:rsidR="00D969A6" w:rsidRPr="0018171E" w:rsidRDefault="00D969A6" w:rsidP="00D969A6">
      <w:pPr>
        <w:pStyle w:val="Text"/>
        <w:rPr>
          <w:rStyle w:val="Marker"/>
          <w:color w:val="auto"/>
        </w:rPr>
      </w:pPr>
      <w:r>
        <w:rPr>
          <w:rStyle w:val="Marker"/>
          <w:color w:val="auto"/>
        </w:rPr>
        <w:t xml:space="preserve">Друг важен въпрос касае възможността за проследяване на незаконни съдържания.</w:t>
      </w:r>
      <w:r>
        <w:rPr>
          <w:rStyle w:val="Marker"/>
          <w:color w:val="auto"/>
        </w:rPr>
        <w:t xml:space="preserve"> </w:t>
      </w:r>
      <w:r>
        <w:rPr>
          <w:rStyle w:val="Marker"/>
          <w:color w:val="auto"/>
        </w:rPr>
        <w:t xml:space="preserve">Съгласно актуалното правно положение управлението на жалбите съгласно NetzDG се отнася за конкретно съдържание, докладвано чрез жалба за незаконни съдържания.</w:t>
      </w:r>
      <w:r>
        <w:rPr>
          <w:rStyle w:val="Marker"/>
          <w:color w:val="auto"/>
        </w:rPr>
        <w:t xml:space="preserve"> </w:t>
      </w:r>
      <w:r>
        <w:rPr>
          <w:rStyle w:val="Marker"/>
          <w:color w:val="auto"/>
        </w:rPr>
        <w:t xml:space="preserve">В някои случаи обаче съдържанията в социалните мрежи могат да продължат да се разпространяват със значителна скорост и в голяма степен сред най-различни потребители.</w:t>
      </w:r>
      <w:r>
        <w:rPr>
          <w:rStyle w:val="Marker"/>
          <w:color w:val="auto"/>
        </w:rPr>
        <w:t xml:space="preserve"> </w:t>
      </w:r>
      <w:r>
        <w:rPr>
          <w:rStyle w:val="Marker"/>
          <w:color w:val="auto"/>
        </w:rPr>
        <w:t xml:space="preserve">По този начин се допуска възможността за многократно извършване на закононарушения и интензитетът на въздействията от разпространението на незаконни съдържания може да се усили значително.</w:t>
      </w:r>
      <w:r>
        <w:rPr>
          <w:rStyle w:val="Marker"/>
          <w:color w:val="auto"/>
        </w:rPr>
        <w:t xml:space="preserve"> </w:t>
      </w:r>
      <w:r>
        <w:rPr>
          <w:rStyle w:val="Marker"/>
          <w:color w:val="auto"/>
        </w:rPr>
        <w:t xml:space="preserve">Поради голямото значение за цялото общество на осъществяващите се в големите социални мрежи комуникационни процеси за формирането на общественото мнение е важно да се разбере по какъв начин се разпространяват или са се разпространявали в социалните мрежи последно премахнатите от доставчика или докладваните му като незаконни съдържания , също и за да могат заинтересованите групи от хора да процедират по-ефективно срещу разпространението въз основа на задълбоченото разбиране на механизмите на разпространение.</w:t>
      </w:r>
    </w:p>
    <w:p w14:paraId="06151A16" w14:textId="5B551E2D" w:rsidR="00D969A6" w:rsidRPr="0018171E" w:rsidRDefault="00D969A6" w:rsidP="00D969A6">
      <w:pPr>
        <w:pStyle w:val="Text"/>
        <w:rPr>
          <w:rStyle w:val="Marker"/>
          <w:color w:val="auto"/>
        </w:rPr>
      </w:pPr>
      <w:r>
        <w:rPr>
          <w:rStyle w:val="Marker"/>
          <w:color w:val="auto"/>
        </w:rPr>
        <w:t xml:space="preserve">С разпоредбите на параграф 5а от NetzDG се гарантира, че научноизследователските организации и научните изследователи получават необходимите данни.</w:t>
      </w:r>
    </w:p>
    <w:p w14:paraId="72966CD2" w14:textId="29B9B32B" w:rsidR="00D969A6" w:rsidRPr="0018171E" w:rsidRDefault="00D969A6" w:rsidP="00D969A6">
      <w:pPr>
        <w:pStyle w:val="Text"/>
        <w:rPr>
          <w:rStyle w:val="Marker"/>
          <w:color w:val="auto"/>
        </w:rPr>
      </w:pPr>
      <w:r>
        <w:rPr>
          <w:rStyle w:val="Marker"/>
          <w:color w:val="auto"/>
        </w:rPr>
        <w:t xml:space="preserve">Право да искат информация не се предоставя на всички, а само на научните изследователи и научноизследователските организации, които работят по научноизследователски проекти в интерес на обществото.</w:t>
      </w:r>
      <w:r>
        <w:rPr>
          <w:rStyle w:val="Marker"/>
          <w:color w:val="auto"/>
        </w:rPr>
        <w:t xml:space="preserve"> </w:t>
      </w:r>
      <w:r>
        <w:t xml:space="preserve">По принцип наличието на обществен интерес следва да се допуска при научноизследователски проекти, разработвани от висши учебни заведения и извънуниверситетски научноизследователски организации в Германия.</w:t>
      </w:r>
      <w:r>
        <w:t xml:space="preserve"> </w:t>
      </w:r>
      <w:r>
        <w:rPr>
          <w:rStyle w:val="Marker"/>
          <w:color w:val="auto"/>
        </w:rPr>
        <w:t xml:space="preserve">Преобладаващото финансиране с публични средства е показател за допускането на наличието на обществен интерес.</w:t>
      </w:r>
      <w:r>
        <w:rPr>
          <w:rStyle w:val="Marker"/>
          <w:color w:val="auto"/>
        </w:rPr>
        <w:t xml:space="preserve"> </w:t>
      </w:r>
      <w:r>
        <w:rPr>
          <w:rStyle w:val="Marker"/>
          <w:color w:val="auto"/>
        </w:rPr>
        <w:t xml:space="preserve">Съгласно текста на разпоредбата това включва всички организации, които възнамеряват да осъществяват научноизследователска дейност, независимо от седалището им.</w:t>
      </w:r>
      <w:r>
        <w:rPr>
          <w:rStyle w:val="Marker"/>
          <w:color w:val="auto"/>
        </w:rPr>
        <w:t xml:space="preserve"> </w:t>
      </w:r>
      <w:r>
        <w:rPr>
          <w:rStyle w:val="Marker"/>
          <w:color w:val="auto"/>
        </w:rPr>
        <w:t xml:space="preserve">За да се допусне наличието на обществен интерес, се изисква периодично резултатите от научноизследователската дейност да бъдат предоставяни на обществеността и в крайна сметка да служат на общественото благосъстояние.</w:t>
      </w:r>
      <w:r>
        <w:rPr>
          <w:rStyle w:val="Marker"/>
          <w:color w:val="auto"/>
        </w:rPr>
        <w:t xml:space="preserve"> </w:t>
      </w:r>
      <w:r>
        <w:rPr>
          <w:rStyle w:val="Marker"/>
          <w:color w:val="auto"/>
        </w:rPr>
        <w:t xml:space="preserve">За допускане на наличие на обществен интерес може да се говори, когато научноизследователската дейност допринася за постигането на целите, определени в закона.</w:t>
      </w:r>
      <w:r>
        <w:rPr>
          <w:rStyle w:val="Marker"/>
          <w:color w:val="auto"/>
        </w:rPr>
        <w:t xml:space="preserve"> </w:t>
      </w:r>
      <w:r>
        <w:rPr>
          <w:rStyle w:val="Marker"/>
          <w:color w:val="auto"/>
        </w:rPr>
        <w:t xml:space="preserve">За противоречие с обществения интерес може да се говори, ако поради зависимости от възложителя в конкретния отделен случай съществува впечатлението, че не се извършва безпристрастна научноизследователска дейност.</w:t>
      </w:r>
      <w:r>
        <w:rPr>
          <w:rStyle w:val="Marker"/>
          <w:color w:val="auto"/>
        </w:rPr>
        <w:t xml:space="preserve"> </w:t>
      </w:r>
      <w:r>
        <w:rPr>
          <w:rStyle w:val="Marker"/>
          <w:color w:val="auto"/>
        </w:rPr>
        <w:t xml:space="preserve">За противоречие с обществения интерес може да се говори и когато има индикации, че дадено изследване се извършва за икономически или политически цели.</w:t>
      </w:r>
    </w:p>
    <w:p w14:paraId="3A166ADB" w14:textId="77777777" w:rsidR="00146FA3" w:rsidRPr="0018171E" w:rsidRDefault="00D969A6" w:rsidP="00D969A6">
      <w:pPr>
        <w:pStyle w:val="Text"/>
        <w:rPr>
          <w:rStyle w:val="Marker"/>
          <w:color w:val="auto"/>
        </w:rPr>
      </w:pPr>
      <w:r>
        <w:rPr>
          <w:rStyle w:val="Marker"/>
          <w:color w:val="auto"/>
        </w:rPr>
        <w:t xml:space="preserve">Задължени по отношение на искането за предоставяне на информация въз основа на списъка в параграф 5а от NetzDG в параграф 1, втора алинея от NetzDG — независимо от тяхното седалище — са само доставчици на социални мрежи, които имат най-малко два милиона регистрирани потребители на територията на страната.</w:t>
      </w:r>
      <w:r>
        <w:rPr>
          <w:rStyle w:val="Marker"/>
          <w:color w:val="auto"/>
        </w:rPr>
        <w:t xml:space="preserve"> </w:t>
      </w:r>
      <w:r>
        <w:rPr>
          <w:rStyle w:val="Marker"/>
          <w:color w:val="auto"/>
        </w:rPr>
        <w:t xml:space="preserve">Съответните доставчици са длъжни да предоставят информация независимо от това, дали седалището им е в страната или не.</w:t>
      </w:r>
      <w:r>
        <w:rPr>
          <w:rStyle w:val="Marker"/>
          <w:color w:val="auto"/>
        </w:rPr>
        <w:t xml:space="preserve"> </w:t>
      </w:r>
      <w:r>
        <w:rPr>
          <w:rStyle w:val="Marker"/>
          <w:color w:val="auto"/>
        </w:rPr>
        <w:t xml:space="preserve">Това е в съответствие с приложимите разпоредби от европейското законодателство, по-конкретно с принципа на страната на произход съгласно Директива 2000/31/ЕО (Директива за електронната търговия).</w:t>
      </w:r>
      <w:r>
        <w:rPr>
          <w:rStyle w:val="Marker"/>
          <w:color w:val="auto"/>
        </w:rPr>
        <w:t xml:space="preserve"> </w:t>
      </w:r>
      <w:r>
        <w:rPr>
          <w:rStyle w:val="Marker"/>
          <w:color w:val="auto"/>
        </w:rPr>
        <w:t xml:space="preserve">Дори ако предвиденото право на искане на информация по смисъла на параграф 5а от NetzDG да попадне в т. нар. координирана сфера на Директивата за електронната търговия и в това да бъде съзряно по принцип изключено съгласно член 3, параграф 2 от Директивата за електронната търговия ограничаващо действие, тогава при всички случаи биха били налице условията за дерогиране, определени в член 3, параграф 4 от Директивата за електронната търговия.</w:t>
      </w:r>
      <w:r>
        <w:rPr>
          <w:rStyle w:val="Marker"/>
          <w:color w:val="auto"/>
        </w:rPr>
        <w:t xml:space="preserve"> </w:t>
      </w:r>
      <w:r>
        <w:rPr>
          <w:rStyle w:val="Marker"/>
          <w:color w:val="auto"/>
        </w:rPr>
        <w:t xml:space="preserve">Следователно, поради голямото значение на обхванатите от разпоредбите доставчици осигурените с правото на искане на информация подобрени възможности за придобиване на знания при всички случаи са необходими за предотвратяване на престъпления, включително за борба срещу словото на омразата, както и за защита на потребителите (срв. член 3, параграф 4, буква а), точка i, тире 1 и 4 от Директивата за електронната търговия).</w:t>
      </w:r>
      <w:r>
        <w:rPr>
          <w:rStyle w:val="Marker"/>
          <w:color w:val="auto"/>
        </w:rPr>
        <w:t xml:space="preserve"> </w:t>
      </w:r>
      <w:r>
        <w:rPr>
          <w:rStyle w:val="Marker"/>
          <w:color w:val="auto"/>
        </w:rPr>
        <w:t xml:space="preserve">С оглед на значителната липса на информация по отношение на обхванатите от разпоредбите платформи, които представляват все по-важно публично пространство за гражданите, съществува нетърпяща отлагане необходимост от регулаторна уредба (член 3, параграф 5 от Директивата за електронната търговия).</w:t>
      </w:r>
    </w:p>
    <w:p w14:paraId="2B3396E0" w14:textId="22DFC019" w:rsidR="00D969A6" w:rsidRPr="0018171E" w:rsidRDefault="00D969A6" w:rsidP="00D969A6">
      <w:pPr>
        <w:pStyle w:val="Text"/>
        <w:rPr>
          <w:rStyle w:val="Marker"/>
          <w:color w:val="auto"/>
        </w:rPr>
      </w:pPr>
      <w:r>
        <w:rPr>
          <w:rStyle w:val="Marker"/>
          <w:color w:val="auto"/>
        </w:rPr>
        <w:t xml:space="preserve">Освен това предвиденото право на предоставяне на информация е ограничено в различно отношение за лицата, които го имат.</w:t>
      </w:r>
    </w:p>
    <w:p w14:paraId="7CD947D6" w14:textId="02AD6996" w:rsidR="00E97B1F" w:rsidRPr="0018171E" w:rsidRDefault="00E97B1F" w:rsidP="00D969A6">
      <w:pPr>
        <w:pStyle w:val="Text"/>
        <w:rPr>
          <w:rStyle w:val="Marker"/>
          <w:color w:val="auto"/>
        </w:rPr>
      </w:pPr>
      <w:r>
        <w:rPr>
          <w:rStyle w:val="Marker"/>
          <w:color w:val="auto"/>
        </w:rPr>
        <w:t xml:space="preserve">Така научните изследователи, които имат право на информация, могат да искат само информация от доставчика на социалната мрежа.</w:t>
      </w:r>
      <w:r>
        <w:rPr>
          <w:rStyle w:val="Marker"/>
          <w:color w:val="auto"/>
        </w:rPr>
        <w:t xml:space="preserve"> </w:t>
      </w:r>
      <w:r>
        <w:rPr>
          <w:rStyle w:val="Marker"/>
          <w:color w:val="auto"/>
        </w:rPr>
        <w:t xml:space="preserve">Разпоредбата на параграф 5а обаче не предоставя правото на директен технически достъп до базите данни или техническите системи на доставчика.</w:t>
      </w:r>
      <w:r>
        <w:rPr>
          <w:rStyle w:val="Marker"/>
          <w:color w:val="auto"/>
        </w:rPr>
        <w:t xml:space="preserve"> </w:t>
      </w:r>
      <w:r>
        <w:rPr>
          <w:rStyle w:val="Marker"/>
          <w:color w:val="auto"/>
        </w:rPr>
        <w:t xml:space="preserve">Също така може да се изисква квалифицирана информация.</w:t>
      </w:r>
      <w:r>
        <w:rPr>
          <w:rStyle w:val="Marker"/>
          <w:color w:val="auto"/>
        </w:rPr>
        <w:t xml:space="preserve"> </w:t>
      </w:r>
      <w:r>
        <w:rPr>
          <w:rStyle w:val="Marker"/>
          <w:color w:val="auto"/>
        </w:rPr>
        <w:t xml:space="preserve">Това включва необработени, налични при доставчика данни, но и налична при него обработена информация, като констатации от направени от доставчика анализи на наличните при него данни.</w:t>
      </w:r>
    </w:p>
    <w:p w14:paraId="72C56E68" w14:textId="39D2C9CA" w:rsidR="00E97B1F" w:rsidRPr="0018171E" w:rsidRDefault="00E97B1F" w:rsidP="00D969A6">
      <w:pPr>
        <w:pStyle w:val="Text"/>
        <w:rPr>
          <w:rStyle w:val="Marker"/>
          <w:color w:val="auto"/>
        </w:rPr>
      </w:pPr>
      <w:r>
        <w:rPr>
          <w:rStyle w:val="Marker"/>
          <w:color w:val="auto"/>
        </w:rPr>
        <w:t xml:space="preserve">Освен това правото на искане на информация по отношение на съдържанието е ограничена до информация за използването и начина на действие на методи за автоматично разпознаване на съдържания, които трябва да бъдат премахнати или блокирани, в това число за целите, критериите и параметрите за програмиране.</w:t>
      </w:r>
      <w:r>
        <w:rPr>
          <w:rStyle w:val="Marker"/>
          <w:color w:val="auto"/>
        </w:rPr>
        <w:t xml:space="preserve"> </w:t>
      </w:r>
      <w:r>
        <w:rPr>
          <w:rStyle w:val="Marker"/>
          <w:color w:val="auto"/>
        </w:rPr>
        <w:t xml:space="preserve">Може да се изисква информация и за разпространението на съдържания, които са били предмет на жалби за незаконни съдържания или които доставчикът е премахнал или блокирал.</w:t>
      </w:r>
      <w:r>
        <w:rPr>
          <w:rStyle w:val="Marker"/>
          <w:color w:val="auto"/>
        </w:rPr>
        <w:t xml:space="preserve"> </w:t>
      </w:r>
    </w:p>
    <w:p w14:paraId="752FC65F" w14:textId="4597FCAE" w:rsidR="00D969A6" w:rsidRPr="0018171E" w:rsidRDefault="00D969A6" w:rsidP="00D969A6">
      <w:pPr>
        <w:pStyle w:val="Text"/>
        <w:rPr>
          <w:rStyle w:val="Marker"/>
          <w:color w:val="auto"/>
        </w:rPr>
      </w:pPr>
      <w:r>
        <w:rPr>
          <w:rStyle w:val="Marker"/>
          <w:color w:val="auto"/>
        </w:rPr>
        <w:t xml:space="preserve">Съответната информация е подходяща и необходима за по-доброто разбиране на ограниченията на съдържания, налагани от доставчиците, както и на разпространението на недопустими според доставчиците или докладвани като незаконни съдържания на платформите.</w:t>
      </w:r>
      <w:r>
        <w:rPr>
          <w:rStyle w:val="Marker"/>
          <w:color w:val="auto"/>
        </w:rPr>
        <w:t xml:space="preserve"> </w:t>
      </w:r>
    </w:p>
    <w:p w14:paraId="5D09F342" w14:textId="5F0FFD55" w:rsidR="00D969A6" w:rsidRPr="0018171E" w:rsidRDefault="00D969A6" w:rsidP="00D969A6">
      <w:pPr>
        <w:pStyle w:val="Text"/>
        <w:rPr>
          <w:rStyle w:val="Marker"/>
          <w:color w:val="auto"/>
        </w:rPr>
      </w:pPr>
      <w:r>
        <w:rPr>
          <w:rStyle w:val="Marker"/>
          <w:color w:val="auto"/>
        </w:rPr>
        <w:t xml:space="preserve">Освен това правото на искане на информация се ползва при условие, че информацията в конкретния случай е необходима за разработване на проект на научно изследване в обществен интерес.</w:t>
      </w:r>
      <w:r>
        <w:rPr>
          <w:rStyle w:val="Marker"/>
          <w:color w:val="auto"/>
        </w:rPr>
        <w:t xml:space="preserve"> </w:t>
      </w:r>
      <w:r>
        <w:rPr>
          <w:rStyle w:val="Marker"/>
          <w:color w:val="auto"/>
        </w:rPr>
        <w:t xml:space="preserve">Това означава, че предоставената информация може да се използва единствено за научни цели.</w:t>
      </w:r>
      <w:r>
        <w:rPr>
          <w:rStyle w:val="Marker"/>
          <w:color w:val="auto"/>
        </w:rPr>
        <w:t xml:space="preserve"> </w:t>
      </w:r>
      <w:r>
        <w:rPr>
          <w:rStyle w:val="Marker"/>
          <w:color w:val="auto"/>
        </w:rPr>
        <w:t xml:space="preserve">В заключение, целите на научноизследователската дейност, които могат да се вземат под внимание, са ограничени до научни изследвания относно вида, обхвата, причините и начините на действие на обществената комуникация в социални мрежи и работата на доставчиците с тях.</w:t>
      </w:r>
    </w:p>
    <w:p w14:paraId="588C65A9" w14:textId="3AAAB10E" w:rsidR="00C46490" w:rsidRPr="0018171E" w:rsidRDefault="00C46490" w:rsidP="00D969A6">
      <w:pPr>
        <w:pStyle w:val="Text"/>
        <w:rPr>
          <w:rStyle w:val="Marker"/>
          <w:color w:val="auto"/>
        </w:rPr>
      </w:pPr>
      <w:r>
        <w:rPr>
          <w:rStyle w:val="Marker"/>
          <w:color w:val="auto"/>
        </w:rPr>
        <w:t xml:space="preserve">С предвидената процедура за представяне на концепция за защита се гарантира съблюдаването на интересите, които трябва да се вземат под внимание съгласно параграф 5а.</w:t>
      </w:r>
      <w:r>
        <w:rPr>
          <w:rStyle w:val="Marker"/>
          <w:color w:val="auto"/>
        </w:rPr>
        <w:t xml:space="preserve"> </w:t>
      </w:r>
      <w:r>
        <w:rPr>
          <w:rStyle w:val="Marker"/>
          <w:color w:val="auto"/>
        </w:rPr>
        <w:t xml:space="preserve">Доставчикът на социалната мрежа може да откаже да предостави информация, докато му бъде представена концепция за защита.</w:t>
      </w:r>
      <w:r>
        <w:rPr>
          <w:rStyle w:val="Marker"/>
          <w:color w:val="auto"/>
        </w:rPr>
        <w:t xml:space="preserve"> </w:t>
      </w:r>
      <w:r>
        <w:rPr>
          <w:rStyle w:val="Marker"/>
          <w:color w:val="auto"/>
        </w:rPr>
        <w:t xml:space="preserve">Същевременно концепцията за защита трябва да се представя на компетентния надзорен орган по защита на данните, който може да започне съответна процедура при наличие на индикации за нарушения в защитата на данните.</w:t>
      </w:r>
      <w:r>
        <w:rPr>
          <w:rStyle w:val="Marker"/>
          <w:color w:val="auto"/>
        </w:rPr>
        <w:t xml:space="preserve"> </w:t>
      </w:r>
      <w:r>
        <w:rPr>
          <w:rStyle w:val="Marker"/>
          <w:color w:val="auto"/>
        </w:rPr>
        <w:t xml:space="preserve">Това е от особено значение, тъй като предоставянето на информация от доставчика може да засяга и интересите на трети лица, например на потребителите.</w:t>
      </w:r>
    </w:p>
    <w:p w14:paraId="61C60CE8" w14:textId="669418FB" w:rsidR="00D969A6" w:rsidRPr="0018171E" w:rsidRDefault="00D969A6" w:rsidP="00D969A6">
      <w:pPr>
        <w:pStyle w:val="Text"/>
        <w:rPr>
          <w:rStyle w:val="Marker"/>
          <w:color w:val="auto"/>
        </w:rPr>
      </w:pPr>
      <w:r>
        <w:rPr>
          <w:rStyle w:val="Marker"/>
          <w:color w:val="auto"/>
        </w:rPr>
        <w:t xml:space="preserve">Освен това на предоставянето на информация не трябва да противостоят надделяващи законни интереси на доставчиците на социални мрежи.</w:t>
      </w:r>
      <w:r>
        <w:rPr>
          <w:rStyle w:val="Marker"/>
          <w:color w:val="auto"/>
        </w:rPr>
        <w:t xml:space="preserve"> </w:t>
      </w:r>
      <w:r>
        <w:rPr>
          <w:rStyle w:val="Marker"/>
          <w:color w:val="auto"/>
        </w:rPr>
        <w:t xml:space="preserve">Противостоящи законни интереси се вземат под внимание, ако достъпът до данните би накърнил по недопустим начин интересите на доставчика за запазване на поверителност.</w:t>
      </w:r>
      <w:r>
        <w:rPr>
          <w:rStyle w:val="Marker"/>
          <w:color w:val="auto"/>
        </w:rPr>
        <w:t xml:space="preserve"> </w:t>
      </w:r>
      <w:r>
        <w:rPr>
          <w:rStyle w:val="Marker"/>
          <w:color w:val="auto"/>
        </w:rPr>
        <w:t xml:space="preserve">Противоречие с правото на искане на информация има също и когато се накърняват законните интереси на субектите на данните и общественият интерес от изследването не надделява над интереса на субектите на данните за запазване на поверителността.</w:t>
      </w:r>
    </w:p>
    <w:p w14:paraId="05EA09A2" w14:textId="77777777" w:rsidR="00D969A6" w:rsidRPr="0018171E" w:rsidRDefault="00D969A6" w:rsidP="00D969A6">
      <w:pPr>
        <w:pStyle w:val="Text"/>
        <w:rPr>
          <w:rStyle w:val="Marker"/>
          <w:color w:val="auto"/>
        </w:rPr>
      </w:pPr>
      <w:r>
        <w:rPr>
          <w:rStyle w:val="Marker"/>
          <w:color w:val="auto"/>
        </w:rPr>
        <w:t xml:space="preserve">За целите на предоставянето на информация могат да се предоставят също и лични данни, при което те трябва да се анонимизират или най-малкото да се псевдонимизират, доколкото е възможно.</w:t>
      </w:r>
      <w:r>
        <w:rPr>
          <w:rStyle w:val="Marker"/>
          <w:color w:val="auto"/>
        </w:rPr>
        <w:t xml:space="preserve"> </w:t>
      </w:r>
      <w:r>
        <w:rPr>
          <w:rStyle w:val="Marker"/>
          <w:color w:val="auto"/>
        </w:rPr>
        <w:t xml:space="preserve">Освен това трябва да се предвиждат допълнителни мерки за защита на личните данни, когато се обработват специални категории данни по смисъла на член 9, параграф 1 от Регламент (ЕС) 2016/679.</w:t>
      </w:r>
      <w:r>
        <w:rPr>
          <w:rStyle w:val="Marker"/>
          <w:color w:val="auto"/>
        </w:rPr>
        <w:t xml:space="preserve"> </w:t>
      </w:r>
      <w:r>
        <w:rPr>
          <w:rStyle w:val="Marker"/>
          <w:color w:val="auto"/>
        </w:rPr>
        <w:t xml:space="preserve">Останалите разпоредби от законодателството относно защитата на данните, по-конкретно тези съгласно параграф 27 от BDSG, не се засягат.</w:t>
      </w:r>
      <w:r>
        <w:rPr>
          <w:rStyle w:val="Marker"/>
          <w:color w:val="auto"/>
        </w:rPr>
        <w:t xml:space="preserve"> </w:t>
      </w:r>
    </w:p>
    <w:p w14:paraId="67D27A76" w14:textId="0A74581F" w:rsidR="00A135B4" w:rsidRPr="0018171E" w:rsidRDefault="00D969A6" w:rsidP="00D969A6">
      <w:pPr>
        <w:pStyle w:val="Text"/>
        <w:rPr>
          <w:rStyle w:val="Marker"/>
          <w:color w:val="auto"/>
        </w:rPr>
      </w:pPr>
      <w:r>
        <w:rPr>
          <w:rStyle w:val="Marker"/>
          <w:color w:val="auto"/>
        </w:rPr>
        <w:t xml:space="preserve">Доставчикът има правото да поиска от научния изследовател възстановяване на възникващите поради предоставянето на информация в разумен размер.</w:t>
      </w:r>
      <w:r>
        <w:rPr>
          <w:rStyle w:val="Marker"/>
          <w:color w:val="auto"/>
        </w:rPr>
        <w:t xml:space="preserve"> </w:t>
      </w:r>
      <w:r>
        <w:rPr>
          <w:rStyle w:val="Marker"/>
          <w:color w:val="auto"/>
        </w:rPr>
        <w:t xml:space="preserve">Чрез ограничаването на правото на възстановяване на разходите до разумен размер се гарантира, че правото на предоставяне на информация на научните изследователи не се губи на практика поради искания за възстановяване на твърде големи суми на разходите.</w:t>
      </w:r>
      <w:r>
        <w:rPr>
          <w:rStyle w:val="Marker"/>
          <w:color w:val="auto"/>
        </w:rPr>
        <w:t xml:space="preserve"> </w:t>
      </w:r>
      <w:r>
        <w:rPr>
          <w:rStyle w:val="Marker"/>
          <w:color w:val="auto"/>
        </w:rPr>
        <w:t xml:space="preserve">За тази цел е предназначено и определянето на горна граница на подлежащите на възстановяване разходи, която може да бъде надвишавана само при случаи с необичайно високи разходи.</w:t>
      </w:r>
      <w:r>
        <w:rPr>
          <w:rStyle w:val="Marker"/>
          <w:color w:val="auto"/>
        </w:rPr>
        <w:t xml:space="preserve"> </w:t>
      </w:r>
      <w:r>
        <w:rPr>
          <w:rStyle w:val="Marker"/>
          <w:color w:val="auto"/>
        </w:rPr>
        <w:t xml:space="preserve">Това може да се случи, ако разходите за предоставянето на информация значително надвишават разходите, които обикновено възникват за предоставянето на информация за обхванатите от параграф 5а научноизследователски проекти.</w:t>
      </w:r>
      <w:r>
        <w:rPr>
          <w:rStyle w:val="Marker"/>
          <w:color w:val="auto"/>
        </w:rPr>
        <w:t xml:space="preserve"> </w:t>
      </w:r>
      <w:r>
        <w:rPr>
          <w:rStyle w:val="Marker"/>
          <w:color w:val="auto"/>
        </w:rPr>
        <w:t xml:space="preserve">Отговорността за представянето и доказването на съответните обстоятелства се поема, както за определянето на разумна сума на разходите в останалите случаи, от доставчика на социалната мрежа.</w:t>
      </w:r>
    </w:p>
    <w:p w14:paraId="1B437195" w14:textId="47B203AC" w:rsidR="00D969A6" w:rsidRPr="0018171E" w:rsidRDefault="00D969A6" w:rsidP="00D969A6">
      <w:pPr>
        <w:pStyle w:val="Text"/>
        <w:rPr>
          <w:rStyle w:val="Marker"/>
          <w:color w:val="auto"/>
        </w:rPr>
      </w:pPr>
      <w:r>
        <w:rPr>
          <w:rStyle w:val="Marker"/>
          <w:color w:val="auto"/>
        </w:rPr>
        <w:t xml:space="preserve">Чрез съответното приложение на разпоредбата на параграф 287, първа алинея от ZPO се гарантира, че в случай на спор компетентният съд може по своя преценка да определи размера на сумата по искането за възстановяване, като вземе под внимание всички обстоятелства.</w:t>
      </w:r>
      <w:r>
        <w:rPr>
          <w:rStyle w:val="Marker"/>
          <w:color w:val="auto"/>
        </w:rPr>
        <w:t xml:space="preserve"> </w:t>
      </w:r>
      <w:r>
        <w:rPr>
          <w:rStyle w:val="Marker"/>
          <w:color w:val="auto"/>
        </w:rPr>
        <w:t xml:space="preserve">Не се предвижда компенсация извън това за доставчиците.</w:t>
      </w:r>
      <w:r>
        <w:rPr>
          <w:rStyle w:val="Marker"/>
          <w:color w:val="auto"/>
        </w:rPr>
        <w:t xml:space="preserve"> </w:t>
      </w:r>
      <w:r>
        <w:rPr>
          <w:rStyle w:val="Marker"/>
          <w:color w:val="auto"/>
        </w:rPr>
        <w:t xml:space="preserve">За да се улесни сигурността на планирането на научния изследовател във връзка с възникващите разходи, след представянето на концепцията за защита той може да поиска от доставчика на социалната мрежа в рамките на разумен срок да му представи безплатно приблизително изчисление на разходите.</w:t>
      </w:r>
    </w:p>
    <w:p w14:paraId="0569302F" w14:textId="40F9020F" w:rsidR="00E11559" w:rsidRPr="0018171E" w:rsidRDefault="00D969A6" w:rsidP="00D969A6">
      <w:pPr>
        <w:pStyle w:val="Text"/>
        <w:rPr>
          <w:rStyle w:val="Marker"/>
          <w:color w:val="auto"/>
        </w:rPr>
      </w:pPr>
      <w:r>
        <w:rPr>
          <w:rStyle w:val="Marker"/>
          <w:color w:val="auto"/>
        </w:rPr>
        <w:t xml:space="preserve">Ако между научния изследовател и доставчика на социалната мрежа има спор относно наличието на условията за отправяне на искането, компетентни да вземат решения по спора са обикновените съдилища.</w:t>
      </w:r>
    </w:p>
    <w:p w14:paraId="1A7FF4A4" w14:textId="180DAC81" w:rsidR="00732338" w:rsidRPr="0018171E" w:rsidRDefault="00132D0E" w:rsidP="00132D0E">
      <w:pPr>
        <w:pStyle w:val="Text"/>
        <w:rPr>
          <w:rStyle w:val="Marker"/>
          <w:color w:val="auto"/>
        </w:rPr>
      </w:pPr>
      <w:r>
        <w:rPr>
          <w:rStyle w:val="Marker"/>
          <w:color w:val="auto"/>
        </w:rPr>
        <w:t xml:space="preserve">Въвеждането на клауза за научноизследователска дейност се допълва с уточнение относно задълженията за докладване.</w:t>
      </w:r>
      <w:r>
        <w:rPr>
          <w:rStyle w:val="Marker"/>
          <w:color w:val="auto"/>
        </w:rPr>
        <w:t xml:space="preserve"> </w:t>
      </w:r>
      <w:r>
        <w:rPr>
          <w:rStyle w:val="Marker"/>
          <w:color w:val="auto"/>
        </w:rPr>
        <w:t xml:space="preserve">Съгласно предвидените до момента разпоредби на параграф 2, втора алинея, точка 2 от NetzDG трябва да се докладва и дали и до каква степен лица от научния и научноизследователския сектор получават достъп за преглед за анализ на използваните методи за автоматично разпознаване на съдържания (срв. печатен документ на Федералния парламент 19/18792, стр. 43).</w:t>
      </w:r>
      <w:r>
        <w:rPr>
          <w:rStyle w:val="Marker"/>
          <w:color w:val="auto"/>
        </w:rPr>
        <w:t xml:space="preserve"> </w:t>
      </w:r>
      <w:r>
        <w:rPr>
          <w:rStyle w:val="Marker"/>
          <w:color w:val="auto"/>
        </w:rPr>
        <w:t xml:space="preserve">С предложеното допълнение на параграф 2, втора алинея, точка 2 от NetzDG се уточнява, че това се отнася и за въпроса за предоставянето на достъп до информация на доставчика, в това число предоставената информация съгласно параграф 5а от NetzDG.</w:t>
      </w:r>
    </w:p>
    <w:p w14:paraId="5F9F9891" w14:textId="5A8F43C7" w:rsidR="00E97B1F" w:rsidRPr="0018171E" w:rsidRDefault="00E97B1F" w:rsidP="00132D0E">
      <w:pPr>
        <w:pStyle w:val="Text"/>
        <w:rPr>
          <w:rStyle w:val="Marker"/>
          <w:color w:val="auto"/>
        </w:rPr>
      </w:pPr>
      <w:r>
        <w:rPr>
          <w:rStyle w:val="Marker"/>
          <w:color w:val="auto"/>
        </w:rPr>
        <w:t xml:space="preserve">Разпоредбите на параграф 5а следва да бъдат подложени на оценка три години след влизането в сила.</w:t>
      </w:r>
      <w:r>
        <w:rPr>
          <w:rStyle w:val="Marker"/>
          <w:color w:val="auto"/>
        </w:rPr>
        <w:t xml:space="preserve"> </w:t>
      </w:r>
      <w:r>
        <w:rPr>
          <w:rStyle w:val="Marker"/>
          <w:color w:val="auto"/>
        </w:rPr>
        <w:t xml:space="preserve">По този начин следва да се установи дали и до каква степен са постигнати исканите въздействия.</w:t>
      </w:r>
      <w:r>
        <w:rPr>
          <w:rStyle w:val="Marker"/>
          <w:color w:val="auto"/>
        </w:rPr>
        <w:t xml:space="preserve"> </w:t>
      </w:r>
      <w:r>
        <w:rPr>
          <w:rStyle w:val="Marker"/>
          <w:color w:val="auto"/>
        </w:rPr>
        <w:t xml:space="preserve">Това включва по-конкретно констатация дали предоставената информация е била от полза за основните цели на научното изследване.</w:t>
      </w:r>
      <w:r>
        <w:rPr>
          <w:rStyle w:val="Marker"/>
          <w:color w:val="auto"/>
        </w:rPr>
        <w:t xml:space="preserve"> </w:t>
      </w:r>
      <w:r>
        <w:rPr>
          <w:rStyle w:val="Marker"/>
          <w:color w:val="auto"/>
        </w:rPr>
        <w:t xml:space="preserve">Трябва да бъде проучена и лекотата на приложение на разпоредбата по отношение на задължението за предоставяне на информация, особено при спорове между научни изследователи и доставчици на социални мрежи.</w:t>
      </w:r>
      <w:r>
        <w:rPr>
          <w:rStyle w:val="Marker"/>
          <w:color w:val="auto"/>
        </w:rPr>
        <w:t xml:space="preserve"> </w:t>
      </w:r>
      <w:r>
        <w:rPr>
          <w:rStyle w:val="Marker"/>
          <w:color w:val="auto"/>
        </w:rPr>
        <w:t xml:space="preserve">В това отношение следва да се вземат решения дали участието на посреднически орган за уреждането на спорове при различия в мненията относно задължението за предоставяне на информация или за конкретизирането на подкрепено с право искане на информация се явява целесъобразно и по какъв начин може да бъде създаден такъв посреднически орган.</w:t>
      </w:r>
      <w:r>
        <w:rPr>
          <w:rStyle w:val="Marker"/>
          <w:color w:val="auto"/>
        </w:rPr>
        <w:t xml:space="preserve"> </w:t>
      </w:r>
      <w:r>
        <w:rPr>
          <w:rStyle w:val="Marker"/>
          <w:color w:val="auto"/>
        </w:rPr>
        <w:t xml:space="preserve">Освен това оценката трябва да обхваща и въпроса дали разпоредбата за възстановяването на разходите в осма алинея е надеждна.</w:t>
      </w:r>
    </w:p>
    <w:p w14:paraId="2F6A2064" w14:textId="663911F1" w:rsidR="009F08C0" w:rsidRPr="0018171E" w:rsidRDefault="009F08C0" w:rsidP="0018171E">
      <w:pPr>
        <w:pStyle w:val="Text"/>
        <w:keepNext/>
        <w:rPr>
          <w:rStyle w:val="Marker"/>
          <w:b/>
          <w:color w:val="auto"/>
        </w:rPr>
      </w:pPr>
      <w:r>
        <w:rPr>
          <w:rStyle w:val="Marker"/>
          <w:b/>
          <w:color w:val="auto"/>
        </w:rPr>
        <w:t xml:space="preserve">Към точка 2</w:t>
      </w:r>
    </w:p>
    <w:p w14:paraId="7D853F30" w14:textId="43DDA2F0" w:rsidR="00132D0E" w:rsidRPr="0018171E" w:rsidRDefault="00132D0E" w:rsidP="00D969A6">
      <w:pPr>
        <w:pStyle w:val="Text"/>
        <w:rPr>
          <w:rStyle w:val="Marker"/>
          <w:color w:val="auto"/>
        </w:rPr>
      </w:pPr>
      <w:r>
        <w:rPr>
          <w:rStyle w:val="Marker"/>
          <w:color w:val="auto"/>
        </w:rPr>
        <w:t xml:space="preserve">Разпоредбите относно влизането в сила в член … се допълват по отношение на внесените промени в Закона за правоприлагането в мрежата.</w:t>
      </w:r>
    </w:p>
    <w:sectPr w:rsidR="00132D0E" w:rsidRPr="0018171E"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 xml:space="preserve">*</w:t>
      </w:r>
      <w:r>
        <w:rPr>
          <w:rStyle w:val="FootnoteReference"/>
          <w:vertAlign w:val="baseline"/>
        </w:rPr>
        <w:t xml:space="preserve">)</w:t>
      </w:r>
      <w:r>
        <w:tab/>
      </w:r>
      <w:r>
        <w:t xml:space="preserve">Нотифицирано съгласно изискванията на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и правила относно услугите на информационното общество (ОВ L 241, 17.9.2015 г., стр.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ACD9" w14:textId="16EB1E5D" w:rsidR="00E97B1F" w:rsidRPr="00E851FA" w:rsidRDefault="00E851FA" w:rsidP="00E851FA">
    <w:pPr>
      <w:pStyle w:val="Header"/>
      <w:framePr w:vSpace="283" w:wrap="notBeside"/>
    </w:pPr>
    <w:r>
      <w:tab/>
    </w:r>
    <w:r>
      <w:t xml:space="preserve">— </w:t>
    </w:r>
    <w:r>
      <w:fldChar w:fldCharType="begin"/>
    </w:r>
    <w:r>
      <w:instrText xml:space="preserve"> PAGE  \* MERGEFORMAT </w:instrText>
    </w:r>
    <w:r>
      <w:fldChar w:fldCharType="separate"/>
    </w:r>
    <w:r>
      <w:t>2</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E50E" w14:textId="66737395" w:rsidR="00E97B1F" w:rsidRPr="00E851FA" w:rsidRDefault="00E851FA" w:rsidP="00E851FA">
    <w:pPr>
      <w:pStyle w:val="Header"/>
      <w:framePr w:vSpace="283" w:wrap="notBeside"/>
    </w:pPr>
    <w:r>
      <w:tab/>
    </w:r>
    <w:r>
      <w:t xml:space="preserve">— </w:t>
    </w:r>
    <w:r>
      <w:fldChar w:fldCharType="begin"/>
    </w:r>
    <w:r>
      <w:instrText xml:space="preserve"> PAGE  \* MERGEFORMAT </w:instrText>
    </w:r>
    <w:r>
      <w:fldChar w:fldCharType="separate"/>
    </w:r>
    <w:r>
      <w:t>2</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attachedTemplate r:id="rId1"/>
  <w:defaultTabStop w:val="720"/>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1119-2A56-46B7-9B1E-59FE604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3</TotalTime>
  <Pages>7</Pages>
  <Words>2996</Words>
  <Characters>17079</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Liu, Lei</cp:lastModifiedBy>
  <cp:revision>3</cp:revision>
  <cp:lastPrinted>2020-12-08T16:22:00Z</cp:lastPrinted>
  <dcterms:created xsi:type="dcterms:W3CDTF">2021-01-28T12:34:00Z</dcterms:created>
  <dcterms:modified xsi:type="dcterms:W3CDTF">2021-01-28T13:55:00Z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