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rFonts w:ascii="Courier New" w:hAnsi="Courier New"/>
          <w:sz w:val="20"/>
        </w:rPr>
      </w:pPr>
      <w:r>
        <w:rPr>
          <w:rFonts w:ascii="Courier New" w:hAnsi="Courier New"/>
          <w:sz w:val="20"/>
        </w:rPr>
        <w:t>1. ------IND- 2021 0045 D-- PT- ------ 20210210 --- --- PROJET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rPr>
        <w:t>Ministério Federal da Justiça e da Proteção do Consumidor</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rPr>
        <w:t>Proposta de alteração</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rPr>
        <w:t>referente ao projeto de lei do Governo Federal</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rPr>
        <w:t xml:space="preserve">– Documento </w:t>
      </w:r>
      <w:r>
        <w:rPr>
          <w:rStyle w:val="Marker"/>
          <w:b/>
        </w:rPr>
        <w:t>[…]</w:t>
      </w:r>
      <w:r>
        <w:rPr>
          <w:rFonts w:ascii="Arial" w:hAnsi="Arial"/>
          <w:b/>
          <w:sz w:val="26"/>
        </w:rPr>
        <w:t xml:space="preserve"> –</w:t>
      </w:r>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O Parlamento Federal resolve</w:t>
      </w:r>
    </w:p>
    <w:p w14:paraId="7B2A7215" w14:textId="5911DA34" w:rsidR="0063228E" w:rsidRPr="0018171E" w:rsidRDefault="00A1618A" w:rsidP="00E5776A">
      <w:pPr>
        <w:spacing w:line="360" w:lineRule="auto"/>
        <w:rPr>
          <w:rFonts w:ascii="Arial" w:hAnsi="Arial" w:cs="Arial"/>
          <w:sz w:val="22"/>
        </w:rPr>
      </w:pPr>
      <w:r>
        <w:rPr>
          <w:rFonts w:ascii="Arial" w:hAnsi="Arial"/>
          <w:sz w:val="22"/>
        </w:rPr>
        <w:t xml:space="preserve">adotar o projeto de lei no documento </w:t>
      </w:r>
      <w:r>
        <w:rPr>
          <w:rStyle w:val="Marker"/>
        </w:rPr>
        <w:t>[…]</w:t>
      </w:r>
      <w:r>
        <w:rPr>
          <w:rFonts w:ascii="Arial" w:hAnsi="Arial"/>
          <w:sz w:val="22"/>
        </w:rPr>
        <w:t>, com as seguintes condições, de resto inalterado:</w:t>
      </w:r>
    </w:p>
    <w:p w14:paraId="63DEEB82" w14:textId="1DF3B60D" w:rsidR="00A1618A" w:rsidRPr="0018171E" w:rsidRDefault="00A1618A" w:rsidP="00831FCC">
      <w:pPr>
        <w:pStyle w:val="EmpfehlungNummerierungStufe1"/>
      </w:pPr>
      <w:r>
        <w:t>Após o artigo ..., é aditado o seguinte artigo ...:</w:t>
      </w:r>
    </w:p>
    <w:p w14:paraId="299BD583" w14:textId="6D110751" w:rsidR="00E5776A" w:rsidRPr="0018171E" w:rsidRDefault="00E5776A" w:rsidP="009C727B">
      <w:pPr>
        <w:pStyle w:val="RevisionArtikelBezeichnermanuell"/>
        <w:ind w:left="425" w:hanging="70"/>
      </w:pPr>
      <w:r>
        <w:t xml:space="preserve">«Artigo </w:t>
      </w:r>
      <w:r>
        <w:rPr>
          <w:rStyle w:val="Marker"/>
        </w:rPr>
        <w:t>[…]</w:t>
      </w:r>
      <w:r w:rsidR="00831FCC" w:rsidRPr="0018171E">
        <w:rPr>
          <w:rStyle w:val="FootnoteReference"/>
          <w:color w:val="0000FF"/>
        </w:rPr>
        <w:footnoteReference w:customMarkFollows="1" w:id="1"/>
        <w:t>*)</w:t>
      </w:r>
      <w:r>
        <w:rPr>
          <w:rStyle w:val="Marker"/>
        </w:rPr>
        <w:t xml:space="preserve"> </w:t>
      </w:r>
    </w:p>
    <w:p w14:paraId="0353C7F8" w14:textId="06DB94DE" w:rsidR="00D879BF" w:rsidRPr="0018171E" w:rsidRDefault="00D879BF" w:rsidP="009C727B">
      <w:pPr>
        <w:pStyle w:val="RevisionArtikelberschrift"/>
        <w:ind w:left="425"/>
      </w:pPr>
      <w:r>
        <w:rPr>
          <w:b/>
        </w:rPr>
        <w:t>Alteração da lei de execução relativa às redes</w:t>
      </w:r>
    </w:p>
    <w:p w14:paraId="17D06E04" w14:textId="25FA39A2" w:rsidR="00A1618A" w:rsidRPr="0018171E" w:rsidRDefault="00A1618A" w:rsidP="0018171E">
      <w:pPr>
        <w:pStyle w:val="RevisionJuristischerAbsatzmanuell"/>
        <w:keepNext/>
        <w:tabs>
          <w:tab w:val="clear" w:pos="850"/>
          <w:tab w:val="left" w:pos="1275"/>
        </w:tabs>
        <w:ind w:left="425"/>
      </w:pPr>
      <w:r>
        <w:t>A Lei de execução relativa às redes, de 1 de setembro de 2017 (DO Federal I p. 3352), com a última redação que lhe foi dada pelo ... [artigo 1.º do projeto de lei de alteração da lei de execução relativa às redes, Documento 19/18792 do Parlamento Federal], é alterada do seguinte modo:</w:t>
      </w:r>
    </w:p>
    <w:p w14:paraId="32195031" w14:textId="0D6EA219" w:rsidR="00A1618A" w:rsidRPr="0018171E" w:rsidRDefault="00A1618A" w:rsidP="00831FCC">
      <w:pPr>
        <w:pStyle w:val="RevisionNummerierungStufe1"/>
        <w:tabs>
          <w:tab w:val="clear" w:pos="425"/>
          <w:tab w:val="num" w:pos="900"/>
        </w:tabs>
        <w:ind w:firstLine="25"/>
      </w:pPr>
      <w:r>
        <w:t xml:space="preserve">No artigo 1.º, n.º 2, a indicação </w:t>
      </w:r>
      <w:r>
        <w:rPr>
          <w:rStyle w:val="RevisionText"/>
        </w:rPr>
        <w:t>“artigos 2.º a 3.º-B”</w:t>
      </w:r>
      <w:r>
        <w:t xml:space="preserve"> é substituída pelos termos </w:t>
      </w:r>
      <w:r>
        <w:rPr>
          <w:rStyle w:val="RevisionText"/>
        </w:rPr>
        <w:t>“artigos 2.º a 3.º-B e 5.º-A”</w:t>
      </w:r>
      <w:r>
        <w:t>;</w:t>
      </w:r>
    </w:p>
    <w:p w14:paraId="10263F3F" w14:textId="0779D0EE" w:rsidR="00A1618A" w:rsidRPr="0018171E" w:rsidRDefault="00A1618A" w:rsidP="009C727B">
      <w:pPr>
        <w:pStyle w:val="RevisionNummerierungStufe1"/>
        <w:tabs>
          <w:tab w:val="clear" w:pos="425"/>
          <w:tab w:val="num" w:pos="850"/>
        </w:tabs>
        <w:ind w:left="850"/>
      </w:pPr>
      <w:r>
        <w:t xml:space="preserve">No artigo 2.º, n.º 2, ponto 2, após os termos </w:t>
      </w:r>
      <w:r>
        <w:rPr>
          <w:rStyle w:val="RevisionText"/>
        </w:rPr>
        <w:t>“são apoiados”</w:t>
      </w:r>
      <w:r>
        <w:t xml:space="preserve">, são aditados os termos </w:t>
      </w:r>
      <w:r>
        <w:rPr>
          <w:rStyle w:val="RevisionText"/>
        </w:rPr>
        <w:t>“e lhes foi concedido acesso às informações do fornecedor para esse fim”</w:t>
      </w:r>
      <w:r>
        <w:t>;</w:t>
      </w:r>
    </w:p>
    <w:p w14:paraId="26550664" w14:textId="0FE945BB" w:rsidR="00A1618A" w:rsidRPr="0018171E" w:rsidRDefault="00A1618A" w:rsidP="0018171E">
      <w:pPr>
        <w:pStyle w:val="RevisionNummerierungStufe1"/>
        <w:keepNext/>
        <w:tabs>
          <w:tab w:val="clear" w:pos="425"/>
          <w:tab w:val="num" w:pos="850"/>
        </w:tabs>
        <w:ind w:left="850"/>
      </w:pPr>
      <w:r>
        <w:t>Após o artigo 5.º, é aditado o seguinte artigo 5.º-A:</w:t>
      </w:r>
    </w:p>
    <w:p w14:paraId="0324CC36" w14:textId="2F7FB129" w:rsidR="00D879BF" w:rsidRPr="0018171E" w:rsidRDefault="00D879BF" w:rsidP="009C727B">
      <w:pPr>
        <w:pStyle w:val="RevisionParagraphBezeichnermanuell"/>
        <w:ind w:left="850" w:hanging="90"/>
      </w:pPr>
      <w:r>
        <w:t>“Artigo 5.º-A</w:t>
      </w:r>
    </w:p>
    <w:p w14:paraId="726DC658" w14:textId="39CB7E5F" w:rsidR="00D879BF" w:rsidRPr="0018171E" w:rsidRDefault="00D879BF" w:rsidP="009C727B">
      <w:pPr>
        <w:pStyle w:val="RevisionParagraphberschrift"/>
        <w:ind w:left="850"/>
      </w:pPr>
      <w:r>
        <w:t>Informações para a investigação científica</w:t>
      </w:r>
    </w:p>
    <w:p w14:paraId="6AD69D50" w14:textId="4BFCD7E0" w:rsidR="003E7797" w:rsidRPr="0018171E" w:rsidRDefault="00792014" w:rsidP="00831FCC">
      <w:pPr>
        <w:pStyle w:val="RevisionJuristischerAbsatz"/>
        <w:numPr>
          <w:ilvl w:val="2"/>
          <w:numId w:val="38"/>
        </w:numPr>
        <w:tabs>
          <w:tab w:val="clear" w:pos="850"/>
          <w:tab w:val="num" w:pos="1700"/>
        </w:tabs>
        <w:ind w:left="810"/>
      </w:pPr>
      <w:r>
        <w:t xml:space="preserve">Na aceção da presente disposição, por </w:t>
      </w:r>
      <w:r w:rsidRPr="00831FCC">
        <w:rPr>
          <w:i/>
          <w:iCs/>
        </w:rPr>
        <w:t>investigador</w:t>
      </w:r>
      <w:r>
        <w:t xml:space="preserve"> entende-se qualquer pessoa singular ou coletiva que realize investigação científica.</w:t>
      </w:r>
    </w:p>
    <w:p w14:paraId="465DF5C8" w14:textId="2D2C57F4" w:rsidR="003E7797" w:rsidRPr="0018171E" w:rsidRDefault="003E7797" w:rsidP="00831FCC">
      <w:pPr>
        <w:pStyle w:val="RevisionJuristischerAbsatz"/>
        <w:tabs>
          <w:tab w:val="clear" w:pos="850"/>
          <w:tab w:val="num" w:pos="1710"/>
        </w:tabs>
        <w:ind w:left="810"/>
      </w:pPr>
      <w:r>
        <w:t>Um investigador pode solicitar informações qualificadas a um fornecedor de redes sociais sobre:</w:t>
      </w:r>
    </w:p>
    <w:p w14:paraId="1DAACCE7" w14:textId="576C75C0" w:rsidR="003E7797" w:rsidRPr="0018171E" w:rsidRDefault="003E7797" w:rsidP="009C727B">
      <w:pPr>
        <w:pStyle w:val="RevisionNummerierungStufe1"/>
        <w:tabs>
          <w:tab w:val="clear" w:pos="425"/>
          <w:tab w:val="num" w:pos="1275"/>
        </w:tabs>
        <w:ind w:left="1275"/>
      </w:pPr>
      <w:r>
        <w:lastRenderedPageBreak/>
        <w:t>a utilização e o funcionamento concreto de procedimentos de deteção automatizada de conteúdos que devam ser removidos ou bloqueados, em particular a natureza e o âmbito das tecnologias utilizadas e os objetivos, critérios e parâmetros para a sua programação, bem como os dados utilizados;</w:t>
      </w:r>
    </w:p>
    <w:p w14:paraId="3C838C31" w14:textId="1ACF9BED" w:rsidR="003E7797" w:rsidRPr="0018171E" w:rsidRDefault="003E7797" w:rsidP="009C727B">
      <w:pPr>
        <w:pStyle w:val="RevisionNummerierungStufe1"/>
        <w:tabs>
          <w:tab w:val="clear" w:pos="425"/>
          <w:tab w:val="num" w:pos="1275"/>
        </w:tabs>
        <w:ind w:left="1275"/>
      </w:pPr>
      <w:r>
        <w:t>a divulgação de conteúdos que tenham sido objeto de queixas sobre conteúdos ilegais ou que tenham sido removidos ou bloqueados pelo fornecedor, em particular os conteúdos relevantes, bem como informações sobre que utilizadores interagiram com os conteúdos e de que forma.</w:t>
      </w:r>
    </w:p>
    <w:p w14:paraId="1DA5F836" w14:textId="37C638B4" w:rsidR="003E7797" w:rsidRPr="0018171E" w:rsidRDefault="003E7797" w:rsidP="009C727B">
      <w:pPr>
        <w:pStyle w:val="RevisionJuristischerAbsatz"/>
        <w:tabs>
          <w:tab w:val="clear" w:pos="850"/>
          <w:tab w:val="num" w:pos="1700"/>
        </w:tabs>
        <w:ind w:left="850"/>
      </w:pPr>
      <w:r>
        <w:t>As informações nos termos do n.º 2 só podem ser solicitadas na medida em que sejam necessárias para projetos de investigação científica de interesse público sobre a natureza, o âmbito, as causas e os efeitos da comunicação pública em redes sociais e a abordagem adotada pelos fornecedores a esse respeito.</w:t>
      </w:r>
    </w:p>
    <w:p w14:paraId="0D5D8322" w14:textId="0EC96F12" w:rsidR="003B0970" w:rsidRPr="0018171E" w:rsidRDefault="003B0970" w:rsidP="0018171E">
      <w:pPr>
        <w:pStyle w:val="RevisionJuristischerAbsatz"/>
        <w:keepNext/>
        <w:tabs>
          <w:tab w:val="clear" w:pos="850"/>
          <w:tab w:val="num" w:pos="1700"/>
        </w:tabs>
        <w:ind w:left="850"/>
      </w:pPr>
      <w:r>
        <w:t>A prestação de informações só pode ter lugar se o investigador apresentar um plano de proteção ao fornecedor da rede social. O plano de proteção inclui:</w:t>
      </w:r>
    </w:p>
    <w:p w14:paraId="577C67EC" w14:textId="60CDC11C" w:rsidR="003B0970" w:rsidRPr="0018171E" w:rsidRDefault="003B0970" w:rsidP="009C727B">
      <w:pPr>
        <w:pStyle w:val="RevisionNummerierungStufe1"/>
        <w:tabs>
          <w:tab w:val="clear" w:pos="425"/>
          <w:tab w:val="num" w:pos="1275"/>
        </w:tabs>
        <w:ind w:left="1275"/>
      </w:pPr>
      <w:r>
        <w:t>uma descrição das informações necessárias para os fins de investigação nos termos do n.º 3;</w:t>
      </w:r>
    </w:p>
    <w:p w14:paraId="5AABA7E4" w14:textId="3A66C314" w:rsidR="003B0970" w:rsidRPr="0018171E" w:rsidRDefault="003B0970" w:rsidP="009C727B">
      <w:pPr>
        <w:pStyle w:val="RevisionNummerierungStufe1"/>
        <w:tabs>
          <w:tab w:val="clear" w:pos="425"/>
          <w:tab w:val="num" w:pos="1275"/>
        </w:tabs>
        <w:ind w:left="1275"/>
      </w:pPr>
      <w:r>
        <w:t>uma descrição da utilização prevista das informações;</w:t>
      </w:r>
    </w:p>
    <w:p w14:paraId="0654C9E5" w14:textId="4D2A02B0" w:rsidR="003B0970" w:rsidRPr="0018171E" w:rsidRDefault="009A5C22" w:rsidP="009C727B">
      <w:pPr>
        <w:pStyle w:val="RevisionNummerierungStufe1"/>
        <w:tabs>
          <w:tab w:val="clear" w:pos="425"/>
          <w:tab w:val="num" w:pos="1275"/>
        </w:tabs>
        <w:ind w:left="1275"/>
      </w:pPr>
      <w:r>
        <w:t>uma descrição das precauções tomadas para evitar que as informações sejam utilizadas para outros fins;</w:t>
      </w:r>
    </w:p>
    <w:p w14:paraId="7DD21787" w14:textId="65E2C567" w:rsidR="003B0970" w:rsidRPr="0018171E" w:rsidRDefault="009A5C22" w:rsidP="009C727B">
      <w:pPr>
        <w:pStyle w:val="RevisionNummerierungStufe1"/>
        <w:tabs>
          <w:tab w:val="clear" w:pos="425"/>
          <w:tab w:val="num" w:pos="1275"/>
        </w:tabs>
        <w:ind w:left="1275"/>
      </w:pPr>
      <w:r>
        <w:t>uma descrição das precauções destinadas a proteger os interesses legítimos do fornecedor; e</w:t>
      </w:r>
    </w:p>
    <w:p w14:paraId="7FDD7EDD" w14:textId="6C7443DB" w:rsidR="003B0970" w:rsidRPr="0018171E" w:rsidRDefault="003B0970" w:rsidP="009C727B">
      <w:pPr>
        <w:pStyle w:val="RevisionNummerierungStufe1"/>
        <w:tabs>
          <w:tab w:val="clear" w:pos="425"/>
          <w:tab w:val="num" w:pos="1275"/>
        </w:tabs>
        <w:ind w:left="1275"/>
      </w:pPr>
      <w:r>
        <w:t>uma descrição das medidas técnicas e organizacionais tomadas para assegurar a proteção dos dados pessoais.</w:t>
      </w:r>
    </w:p>
    <w:p w14:paraId="6F58E8FB" w14:textId="7863B11B" w:rsidR="003B0970" w:rsidRPr="0018171E" w:rsidRDefault="003B0970" w:rsidP="009C727B">
      <w:pPr>
        <w:pStyle w:val="RevisionJuristischerAbsatzFolgeabsatz"/>
        <w:ind w:left="850"/>
      </w:pPr>
      <w:r>
        <w:t>O plano de proteção deve ser apresentado à autoridade de fiscalização da proteção de dados competente, juntamente com o pedido de informações.</w:t>
      </w:r>
    </w:p>
    <w:p w14:paraId="4D175D2B" w14:textId="0B4186A8" w:rsidR="009C0AFB" w:rsidRPr="0018171E" w:rsidRDefault="003E7797" w:rsidP="0018171E">
      <w:pPr>
        <w:pStyle w:val="RevisionJuristischerAbsatz"/>
        <w:keepNext/>
        <w:tabs>
          <w:tab w:val="clear" w:pos="850"/>
          <w:tab w:val="num" w:pos="1700"/>
        </w:tabs>
        <w:ind w:left="850"/>
      </w:pPr>
      <w:r>
        <w:t>O fornecedor de uma rede social pode recusar-se a prestar informações se:</w:t>
      </w:r>
    </w:p>
    <w:p w14:paraId="20E7290B" w14:textId="1403DA61" w:rsidR="009C0AFB" w:rsidRPr="0018171E" w:rsidRDefault="003E7797" w:rsidP="009C727B">
      <w:pPr>
        <w:pStyle w:val="RevisionNummerierungStufe1"/>
        <w:tabs>
          <w:tab w:val="clear" w:pos="425"/>
          <w:tab w:val="num" w:pos="1275"/>
        </w:tabs>
        <w:ind w:left="1275"/>
      </w:pPr>
      <w:r>
        <w:t>os seus interesses legítimos superarem consideravelmente o interesse público na investigação; ou</w:t>
      </w:r>
    </w:p>
    <w:p w14:paraId="0330033E" w14:textId="544CB962" w:rsidR="003E7797" w:rsidRPr="0018171E" w:rsidRDefault="003E7797" w:rsidP="009C727B">
      <w:pPr>
        <w:pStyle w:val="RevisionNummerierungStufe1"/>
        <w:tabs>
          <w:tab w:val="clear" w:pos="425"/>
          <w:tab w:val="num" w:pos="1275"/>
        </w:tabs>
        <w:ind w:left="1275"/>
      </w:pPr>
      <w:r>
        <w:t>os interesses legítimos das pessoas em causa forem prejudicados e o interesse público na investigação não superar o interesse de confidencialidade das pessoas em causa.</w:t>
      </w:r>
    </w:p>
    <w:p w14:paraId="63F909E8" w14:textId="4478DA44" w:rsidR="00D969A6" w:rsidRPr="0018171E" w:rsidRDefault="00D969A6" w:rsidP="0018171E">
      <w:pPr>
        <w:pStyle w:val="RevisionJuristischerAbsatz"/>
        <w:keepNext/>
        <w:tabs>
          <w:tab w:val="clear" w:pos="850"/>
          <w:tab w:val="num" w:pos="1700"/>
        </w:tabs>
        <w:ind w:left="850"/>
      </w:pPr>
      <w:r>
        <w:t>O fornecedor de uma rede social pode transmitir os seguintes dados pessoais para efeitos da prestação de informações nos termos do n.º 2:</w:t>
      </w:r>
    </w:p>
    <w:p w14:paraId="63FE05D0" w14:textId="1ABFB4BC" w:rsidR="00D969A6" w:rsidRPr="0018171E" w:rsidRDefault="00D969A6" w:rsidP="009C727B">
      <w:pPr>
        <w:pStyle w:val="RevisionNummerierungStufe1"/>
        <w:tabs>
          <w:tab w:val="clear" w:pos="425"/>
          <w:tab w:val="num" w:pos="1275"/>
        </w:tabs>
        <w:ind w:left="1275"/>
      </w:pPr>
      <w:r>
        <w:t>Os conteúdos divulgados;</w:t>
      </w:r>
    </w:p>
    <w:p w14:paraId="2331E910" w14:textId="7E2B248A" w:rsidR="00D969A6" w:rsidRPr="0018171E" w:rsidRDefault="00D969A6" w:rsidP="009C727B">
      <w:pPr>
        <w:pStyle w:val="RevisionNummerierungStufe1"/>
        <w:tabs>
          <w:tab w:val="clear" w:pos="425"/>
          <w:tab w:val="num" w:pos="1275"/>
        </w:tabs>
        <w:ind w:left="1275"/>
      </w:pPr>
      <w:r>
        <w:t>Queixas sobre conteúdos ilegais;</w:t>
      </w:r>
    </w:p>
    <w:p w14:paraId="4CC6BEE3" w14:textId="48B4D2C4" w:rsidR="00D969A6" w:rsidRPr="0018171E" w:rsidRDefault="00D969A6" w:rsidP="009C727B">
      <w:pPr>
        <w:pStyle w:val="RevisionNummerierungStufe1"/>
        <w:tabs>
          <w:tab w:val="clear" w:pos="425"/>
          <w:tab w:val="num" w:pos="1275"/>
        </w:tabs>
        <w:ind w:left="1275"/>
      </w:pPr>
      <w:r>
        <w:t>Nomes de utilizador das pessoas envolvidas na divulgação;</w:t>
      </w:r>
    </w:p>
    <w:p w14:paraId="7F95ED84" w14:textId="6E103565" w:rsidR="00D969A6" w:rsidRPr="0018171E" w:rsidRDefault="00D969A6" w:rsidP="009C727B">
      <w:pPr>
        <w:pStyle w:val="RevisionNummerierungStufe1"/>
        <w:tabs>
          <w:tab w:val="clear" w:pos="425"/>
          <w:tab w:val="num" w:pos="1275"/>
        </w:tabs>
        <w:ind w:left="1275"/>
      </w:pPr>
      <w:r>
        <w:t>As circunstâncias específicas das interações das pessoas envolvidas na divulgação, no que diz respeito aos respetivos conteúdos; bem como</w:t>
      </w:r>
    </w:p>
    <w:p w14:paraId="35C5E61A" w14:textId="08449E2C" w:rsidR="00D969A6" w:rsidRPr="0018171E" w:rsidRDefault="00D969A6" w:rsidP="009C727B">
      <w:pPr>
        <w:pStyle w:val="RevisionNummerierungStufe1"/>
        <w:tabs>
          <w:tab w:val="clear" w:pos="425"/>
          <w:tab w:val="num" w:pos="1275"/>
        </w:tabs>
        <w:ind w:left="1275"/>
      </w:pPr>
      <w:r>
        <w:lastRenderedPageBreak/>
        <w:t>Dados de formação de procedimentos para a deteção automatizada de conteúdos que devam ser removidos ou bloqueados, bem como informações sobre o modo de funcionamento, objetivos, critérios e parâmetros para a programação destes procedimentos.</w:t>
      </w:r>
    </w:p>
    <w:p w14:paraId="041944BF" w14:textId="44C7953A" w:rsidR="00D969A6" w:rsidRPr="0018171E" w:rsidRDefault="00D969A6" w:rsidP="009C727B">
      <w:pPr>
        <w:pStyle w:val="RevisionJuristischerAbsatzFolgeabsatz"/>
        <w:ind w:left="850"/>
      </w:pPr>
      <w:r>
        <w:t>Os dados devem ser transmitidos de forma anónima, ou pelo menos sob pseudónimo, na medida em que tal seja possível sem pôr em risco a finalidade da investigação.</w:t>
      </w:r>
    </w:p>
    <w:p w14:paraId="586F09EF" w14:textId="3B2EB56C" w:rsidR="00D969A6" w:rsidRPr="0018171E" w:rsidRDefault="00D969A6" w:rsidP="009C727B">
      <w:pPr>
        <w:pStyle w:val="RevisionJuristischerAbsatz"/>
        <w:tabs>
          <w:tab w:val="clear" w:pos="850"/>
          <w:tab w:val="num" w:pos="1700"/>
        </w:tabs>
        <w:ind w:left="850"/>
      </w:pPr>
      <w:r>
        <w:t>O investigador só pode tratar os dados para os fins de projetos de investigação científica nos termos do n.º 3. Na medida em que sejam tratadas categorias especiais de dados na aceção do artigo 9.º, n.º 1, do 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L 314 de 22.11.2016, p. 72; L 127 de 23.5.2018, p. 2), na respetiva redação em vigor, o investigador deve adotar medidas proporcionadas e específicas para a salvaguarda dos interesses das pessoas em causa nos termos do artigo 22.º, n.º 2, segundo período, da lei federal relativa à proteção de dados. Para além das medidas aí referidas, os dados na aceção do artigo 9.º, n.º 1, do Regulamento (UE) 2016/679 devem ser anonimizados, logo que tal seja possível, de acordo com o objetivo da investigação. As restantes disposições do direito em matéria de proteção de dados permanecem inalteradas.</w:t>
      </w:r>
    </w:p>
    <w:p w14:paraId="1627C846" w14:textId="381758EE" w:rsidR="0063228E" w:rsidRPr="0018171E" w:rsidRDefault="00D969A6" w:rsidP="00301E30">
      <w:pPr>
        <w:pStyle w:val="RevisionJuristischerAbsatz"/>
        <w:tabs>
          <w:tab w:val="clear" w:pos="850"/>
          <w:tab w:val="num" w:pos="1700"/>
        </w:tabs>
        <w:ind w:left="850"/>
      </w:pPr>
      <w:r>
        <w:t xml:space="preserve">O fornecedor de uma rede social tem o direito a ser reembolsado pelo investigador, num montante razoável, pelos custos incorridos com a prestação de informações nos termos do n.º 2. Na determinação do montante razoável, deve ser tido em conta o facto de que os custos não podem constituir um entrave substancial ao exercício do direito à informação. O artigo 287.º, n.º 1, do Código do Processo Civil é aplicável </w:t>
      </w:r>
      <w:r>
        <w:rPr>
          <w:i/>
          <w:iCs/>
        </w:rPr>
        <w:t>mutatis mutandis</w:t>
      </w:r>
      <w:r>
        <w:t>. Os custos reembolsáveis podem corresponder no máximo a 5 000 EUR. O referido montante só pode ser excedido se a prestação das informações implicar despesas excecionalmente elevadas. Após a apresentação do plano de proteção nos termos do n.º 4, o investigador pode exigir ao fornecedor que apresente um orçamento gratuito, dentro de um prazo razoável.”»;</w:t>
      </w:r>
    </w:p>
    <w:p w14:paraId="36342A1E" w14:textId="099F92EE" w:rsidR="0063228E" w:rsidRPr="0018171E" w:rsidRDefault="00482E04" w:rsidP="0018171E">
      <w:pPr>
        <w:pStyle w:val="EmpfehlungNummerierungStufe1"/>
        <w:keepNext/>
      </w:pPr>
      <w:r>
        <w:t xml:space="preserve">O artigo </w:t>
      </w:r>
      <w:r>
        <w:rPr>
          <w:rStyle w:val="Marker"/>
        </w:rPr>
        <w:t>[...]</w:t>
      </w:r>
      <w:r>
        <w:t xml:space="preserve"> deve ler-se da seguinte forma:</w:t>
      </w:r>
    </w:p>
    <w:p w14:paraId="49D47905" w14:textId="31CE6EC1" w:rsidR="00173C16" w:rsidRPr="0018171E" w:rsidRDefault="00173C16" w:rsidP="009C727B">
      <w:pPr>
        <w:pStyle w:val="RevisionArtikelBezeichnermanuell"/>
        <w:ind w:left="425" w:hanging="90"/>
      </w:pPr>
      <w:r>
        <w:t xml:space="preserve">«Artigo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[se aplicável, regulamentação de entrada em vigor separada]</w:t>
      </w:r>
      <w:r>
        <w:t xml:space="preserve"> …»</w:t>
      </w:r>
      <w:r>
        <w:rPr>
          <w:color w:val="auto"/>
        </w:rPr>
        <w:t>.</w:t>
      </w:r>
    </w:p>
    <w:p w14:paraId="2CDAA614" w14:textId="1C885BBD" w:rsidR="00A1618A" w:rsidRPr="0018171E" w:rsidRDefault="00A1618A" w:rsidP="009F08C0">
      <w:pPr>
        <w:pStyle w:val="EinzelbegrndungTitel"/>
      </w:pPr>
      <w:r>
        <w:t>Exposição de motivos</w:t>
      </w:r>
    </w:p>
    <w:p w14:paraId="5B2223BB" w14:textId="271DB07E" w:rsidR="009F08C0" w:rsidRPr="0018171E" w:rsidRDefault="009F08C0" w:rsidP="0018171E">
      <w:pPr>
        <w:pStyle w:val="Text"/>
        <w:keepNext/>
        <w:rPr>
          <w:rStyle w:val="Marker"/>
          <w:b/>
          <w:color w:val="auto"/>
        </w:rPr>
      </w:pPr>
      <w:r>
        <w:rPr>
          <w:rStyle w:val="Marker"/>
          <w:b/>
          <w:color w:val="auto"/>
        </w:rPr>
        <w:t xml:space="preserve">Relativamente ao ponto 1 </w:t>
      </w:r>
    </w:p>
    <w:p w14:paraId="47C1AE4D" w14:textId="77777777" w:rsidR="00D969A6" w:rsidRPr="0018171E" w:rsidRDefault="00D969A6" w:rsidP="00D969A6">
      <w:pPr>
        <w:pStyle w:val="Text"/>
        <w:rPr>
          <w:rStyle w:val="Marker"/>
          <w:color w:val="auto"/>
        </w:rPr>
      </w:pPr>
      <w:r>
        <w:rPr>
          <w:rStyle w:val="Marker"/>
          <w:color w:val="auto"/>
        </w:rPr>
        <w:t xml:space="preserve">Os debates políticos e os processos de formação de opinião são cada vez mais realizados no espaço digital e nas redes sociais. O processo de comunicação que aí tem lugar é agora de considerável importância para a formação da opinião pública. Por exemplo, o acesso a determinadas redes sociais, que, devido à sua importância, constituem um meio que não pode ser facilmente substituído, pode </w:t>
      </w:r>
      <w:r>
        <w:rPr>
          <w:rStyle w:val="Marker"/>
          <w:color w:val="auto"/>
        </w:rPr>
        <w:lastRenderedPageBreak/>
        <w:t>ser da maior importância para a divulgação de ideias e programas políticos (cf. Tribunal Constitucional Federal, Medida provisória de 22 de maio de 2019 – 1 BvQ 42/19 –, n.º 19).</w:t>
      </w:r>
    </w:p>
    <w:p w14:paraId="6C4892FE" w14:textId="77777777" w:rsidR="00D969A6" w:rsidRPr="0018171E" w:rsidRDefault="00D969A6" w:rsidP="00D969A6">
      <w:pPr>
        <w:pStyle w:val="Text"/>
        <w:rPr>
          <w:rStyle w:val="Marker"/>
          <w:color w:val="auto"/>
        </w:rPr>
      </w:pPr>
      <w:r>
        <w:rPr>
          <w:rStyle w:val="Marker"/>
          <w:color w:val="auto"/>
        </w:rPr>
        <w:t>Por este motivo, existe um interesse público considerável em permitir que haja mais transparência sobre o modo de funcionamento das respetivas plataformas e o respetivo processo de divulgação de conteúdos, bem como em permitir resultados de investigação independentes sobre esta matéria.</w:t>
      </w:r>
    </w:p>
    <w:p w14:paraId="373BFE01" w14:textId="385D0837" w:rsidR="00D969A6" w:rsidRPr="0018171E" w:rsidRDefault="00D969A6" w:rsidP="00D969A6">
      <w:pPr>
        <w:pStyle w:val="Text"/>
        <w:rPr>
          <w:rStyle w:val="Marker"/>
          <w:color w:val="auto"/>
        </w:rPr>
      </w:pPr>
      <w:r>
        <w:rPr>
          <w:rStyle w:val="Marker"/>
          <w:color w:val="auto"/>
        </w:rPr>
        <w:t xml:space="preserve">O que precede diz respeito, por um lado, à questão de que critérios são utilizados pelos fornecedores para decidirem sobre a possibilidade de utilização da sua plataforma e permitirem ou limitarem a possibilidade de divulgação de conteúdos na plataforma. A questão de como os principais fornecedores, que são importantes para o discurso público, abordam queixas sobre conteúdos ilegais, por exemplo, e de que outras formas são tomadas as decisões sobre restrições à divulgação de conteúdos, constitui uma preocupação pública significativa devido à importância dos principais fornecedores (cf. já o Documento 19/18792 do Parlamento Federal, p. 42). Só com a transparência adequada a este respeito é que o grande público pode compreender porquê e de que forma determinados conteúdos são restringidos na sua divulgação. Neste contexto, deve ser tido em conta que atualmente as respetivas decisões de moderação são muitas vezes tomadas com recurso a procedimentos automatizados complexos. O Facebook, por exemplo, relata que atualmente os conteúdos registados como </w:t>
      </w:r>
      <w:r>
        <w:rPr>
          <w:rStyle w:val="Marker"/>
          <w:i/>
          <w:iCs/>
          <w:color w:val="auto"/>
        </w:rPr>
        <w:t>Hate Speech</w:t>
      </w:r>
      <w:r>
        <w:rPr>
          <w:rStyle w:val="Marker"/>
          <w:color w:val="auto"/>
        </w:rPr>
        <w:t>, no sentido das chamadas normas comunitárias, são predominantemente detetados pelo próprio fornecedor com a ajuda de soluções tecnológicas (cf. https://transparency.facebook.com/community-standards-enforcement#hate-speech; consultado em 12 de outubro de 2020). A fim de poder criar transparência para o grande público no que diz respeito aos processos subjacentes (em parte, tecnicamente complexos) constitui, portanto, uma preocupação importante que a ciência e a investigação sejam capazes de compreender a utilização de procedimentos para a deteção automatizada de conteúdos, na medida em que os mesmos devam ser removidos ou bloqueados, se aplicável (cf. Documento 19/18792 do Parlamento Federal, p. 43). A este respeito, não é suficiente que a ciência e a investigação possam confiar nas informações gerais contidas nos relatórios de transparência nos termos do artigo 2.º da lei de execução relativa às redes (</w:t>
      </w:r>
      <w:r>
        <w:rPr>
          <w:rStyle w:val="Marker"/>
          <w:i/>
          <w:iCs/>
          <w:color w:val="auto"/>
        </w:rPr>
        <w:t>Netzwerkdurchsetzungsgesetz</w:t>
      </w:r>
      <w:r>
        <w:rPr>
          <w:rStyle w:val="Marker"/>
          <w:color w:val="auto"/>
        </w:rPr>
        <w:t>, NetzDG), que servem para informar um vasto público. Pois, para efeitos de ciência e investigação, é necessária não só esta informação geral ou agregada, mas também informação mais detalhada e dados em bruto (por exemplo, os conteúdos explicitamente mencionados no n.º 6, o seu contexto respetivo e os dados de formação dos procedimentos automatizados), de modo a obter conhecimentos cientificamente sólidos e independentes sobre os procedimentos em questão de deteção automatizada de conteúdos.</w:t>
      </w:r>
    </w:p>
    <w:p w14:paraId="138C3D37" w14:textId="032BC65F" w:rsidR="00D969A6" w:rsidRPr="0018171E" w:rsidRDefault="00D969A6" w:rsidP="00D969A6">
      <w:pPr>
        <w:pStyle w:val="Text"/>
        <w:rPr>
          <w:rStyle w:val="Marker"/>
          <w:color w:val="auto"/>
        </w:rPr>
      </w:pPr>
      <w:r>
        <w:rPr>
          <w:rStyle w:val="Marker"/>
          <w:color w:val="auto"/>
        </w:rPr>
        <w:t xml:space="preserve">Outra questão importante diz respeito à rastreabilidade da divulgação de conteúdos ilegais. De acordo com a situação jurídica atual, a gestão de queixas da NetzDG refere-se ao conteúdo específico contestado através de uma queixa sobre conteúdo ilegal. No entanto, por vezes, os conteúdos das redes sociais podem propagar-se a uma grande velocidade e num âmbito considerável entre uma grande variedade de utilizadores. Desta forma, as infrações podem ser repetidas e a intensidade dos efeitos da divulgação de conteúdos ilegais pode aumentar significativamente. Devido à considerável importância que os processos de comunicação que decorrem nas principais redes sociais têm, para a sociedade em geral, no que diz respeito à formação da opinião pública, é importante compreender como é que os conteúdos que acabaram por ser retirados pelo fornecedor ou que foram objeto de reclamação junto do fornecedor por alegada ilegalidade são ou foram divulgados em redes sociais, também para permitir que as partes interessadas adotem medidas mais eficazes contra a divulgação de </w:t>
      </w:r>
      <w:r>
        <w:rPr>
          <w:rStyle w:val="Marker"/>
          <w:color w:val="auto"/>
        </w:rPr>
        <w:lastRenderedPageBreak/>
        <w:t>conteúdos ilegais, com base numa compreensão mais profunda dos mecanismos de divulgação.</w:t>
      </w:r>
    </w:p>
    <w:p w14:paraId="06151A16" w14:textId="5B551E2D" w:rsidR="00D969A6" w:rsidRPr="0018171E" w:rsidRDefault="00D969A6" w:rsidP="00D969A6">
      <w:pPr>
        <w:pStyle w:val="Text"/>
        <w:rPr>
          <w:rStyle w:val="Marker"/>
          <w:color w:val="auto"/>
        </w:rPr>
      </w:pPr>
      <w:r>
        <w:rPr>
          <w:rStyle w:val="Marker"/>
          <w:color w:val="auto"/>
        </w:rPr>
        <w:t>O artigo 5.º-A da NetzDG assegura que as instituições de investigação e os investigadores recebam os dados necessários.</w:t>
      </w:r>
    </w:p>
    <w:p w14:paraId="72966CD2" w14:textId="29B9B32B" w:rsidR="00D969A6" w:rsidRPr="0018171E" w:rsidRDefault="00D969A6" w:rsidP="00D969A6">
      <w:pPr>
        <w:pStyle w:val="Text"/>
        <w:rPr>
          <w:rStyle w:val="Marker"/>
          <w:color w:val="auto"/>
        </w:rPr>
      </w:pPr>
      <w:r>
        <w:rPr>
          <w:rStyle w:val="Marker"/>
          <w:color w:val="auto"/>
        </w:rPr>
        <w:t xml:space="preserve">No entanto, apenas são elegíveis os investigadores ou as instituições de investigação que conduzam projetos de investigação científica de interesse público. </w:t>
      </w:r>
      <w:r>
        <w:t xml:space="preserve">Geralmente, é de presumir a existência de um interesse público no caso de projetos de investigação de estabelecimentos de ensino superior e instituições de investigação extramurais na Alemanha. </w:t>
      </w:r>
      <w:r>
        <w:rPr>
          <w:rStyle w:val="Marker"/>
          <w:color w:val="auto"/>
        </w:rPr>
        <w:t>Neste contexto, o financiamento predominante com fundos públicos tem um efeito indicativo para a presunção de um interesse público. De acordo com o texto da regulamentação, estão abrangidas todas as instituições que pretendam realizar uma investigação de interesse público, independentemente da sua localização. Para a presunção de um interesse público, será exigido regularmente que os resultados da investigação sejam tornados acessíveis ao público e que, em última análise, sirvam o bem público. A presunção de um interesse público pode ser apoiada pelo facto de a investigação contribuir para a realização dos objetivos da lei. A aparência de uma investigação imparcial, devido à dependência de uma entidade adjudicante no caso individual específico, pode indiciar uma situação contrária ao interesse público. Além disso, a existência de indícios de que uma investigação deverá ser levada a cabo para fins económicos ou políticos também pode indiciar uma situação contrária ao interesse público.</w:t>
      </w:r>
    </w:p>
    <w:p w14:paraId="3A166ADB" w14:textId="77777777" w:rsidR="00146FA3" w:rsidRPr="0018171E" w:rsidRDefault="00D969A6" w:rsidP="00D969A6">
      <w:pPr>
        <w:pStyle w:val="Text"/>
        <w:rPr>
          <w:rStyle w:val="Marker"/>
          <w:color w:val="auto"/>
        </w:rPr>
      </w:pPr>
      <w:r>
        <w:rPr>
          <w:rStyle w:val="Marker"/>
          <w:color w:val="auto"/>
        </w:rPr>
        <w:t>Devido à enumeração do artigo 5.º-A da NetzDG no artigo 1.º, n.º 2, da NetzDG, apenas estão sujeitos às obrigações os fornecedores de redes sociais que tenham pelo menos dois milhões de utilizadores registados no território nacional – independentemente da sua sede. Os fornecedores correspondentes são obrigados a prestar informações, independentemente de terem ou não a sua sede no território nacional. O que precede está em conformidade com as disposições pertinentes do direito europeu, em particular o princípio do Estado de origem da Diretiva 2000/31/CE (Diretiva Comércio Eletrónico). Mesmo que o direito à informação previsto no artigo 5.º-A da NetzDG fosse abrangido pelo chamado domínio coordenado da Diretiva Comércio Eletrónico e se tal fosse aqui considerado como um efeito restritivo, excluído por princípio nos termos do artigo 3.º, n.º 2, da Diretiva Comércio Eletrónico, estariam, de qualquer forma, reunidas as condições para uma contraexceção nos termos do artigo 3.º, n.º 4, da Diretiva Comércio Eletrónico. Pois, devido à considerável importância dos fornecedores abrangidos, as maiores possibilidades de obtenção de conhecimento asseguradas pelo direito à informação são, de qualquer modo, necessárias para a prevenção de delitos penais, incluindo a luta contra o incitamento ao ódio, bem como para a defesa dos consumidores [cf. artigo 3.º, n.º 4, alínea a), subalínea i), primeiro e quarto travessões, da Diretiva Comércio Eletrónico]. Tendo em conta a considerável falta de informação sobre as plataformas abrangidas, que representam um espaço público cada vez mais importante para os cidadãos, existe uma necessidade urgente de regulamentação (artigo 3.º, n.º 5, da Diretiva Comércio Eletrónico).</w:t>
      </w:r>
    </w:p>
    <w:p w14:paraId="2B3396E0" w14:textId="22DFC019" w:rsidR="00D969A6" w:rsidRPr="0018171E" w:rsidRDefault="00D969A6" w:rsidP="00D969A6">
      <w:pPr>
        <w:pStyle w:val="Text"/>
        <w:rPr>
          <w:rStyle w:val="Marker"/>
          <w:color w:val="auto"/>
        </w:rPr>
      </w:pPr>
      <w:r>
        <w:rPr>
          <w:rStyle w:val="Marker"/>
          <w:color w:val="auto"/>
        </w:rPr>
        <w:t>Além disso, o direito à prestação de informação previsto é limitado em vários aspetos, mesmo para as pessoas elegíveis.</w:t>
      </w:r>
    </w:p>
    <w:p w14:paraId="7CD947D6" w14:textId="02AD6996" w:rsidR="00E97B1F" w:rsidRPr="0018171E" w:rsidRDefault="00E97B1F" w:rsidP="00D969A6">
      <w:pPr>
        <w:pStyle w:val="Text"/>
        <w:rPr>
          <w:rStyle w:val="Marker"/>
          <w:color w:val="auto"/>
        </w:rPr>
      </w:pPr>
      <w:r>
        <w:rPr>
          <w:rStyle w:val="Marker"/>
          <w:color w:val="auto"/>
        </w:rPr>
        <w:t>Assim, os investigadores elegíveis só podem solicitar informações ao fornecedor da rede social. Por outro lado, o artigo 5.º-A não autoriza o acesso técnico direto às bases de dados ou aos sistemas técnicos do fornecedor. No entanto, podem ser solicitadas informações qualificadas. O que precede inclui dados não adulterados disponíveis junto do fornecedor, mas também informações tratadas disponíveis junto do mesmo, tais como resultados de avaliações realizadas pelo fornecedor dos dados disponíveis junto do fornecedor.</w:t>
      </w:r>
    </w:p>
    <w:p w14:paraId="72C56E68" w14:textId="39D2C9CA" w:rsidR="00E97B1F" w:rsidRPr="0018171E" w:rsidRDefault="00E97B1F" w:rsidP="00D969A6">
      <w:pPr>
        <w:pStyle w:val="Text"/>
        <w:rPr>
          <w:rStyle w:val="Marker"/>
          <w:color w:val="auto"/>
        </w:rPr>
      </w:pPr>
      <w:r>
        <w:rPr>
          <w:rStyle w:val="Marker"/>
          <w:color w:val="auto"/>
        </w:rPr>
        <w:lastRenderedPageBreak/>
        <w:t xml:space="preserve">Além disso, o direito à informação é limitado em termos de conteúdo a informações sobre a utilização e o funcionamento de procedimentos para a deteção automatizada de conteúdos que devam ser removidos ou bloqueados, incluindo os objetivos, critérios e parâmetros da programação. Além disso, podem ser solicitadas informações sobre a divulgação de conteúdos que tenham sido objeto de queixas sobre conteúdos ilegais ou que tenham sido removidos ou bloqueados pelo fornecedor. </w:t>
      </w:r>
    </w:p>
    <w:p w14:paraId="752FC65F" w14:textId="4597FCAE" w:rsidR="00D969A6" w:rsidRPr="0018171E" w:rsidRDefault="00D969A6" w:rsidP="00D969A6">
      <w:pPr>
        <w:pStyle w:val="Text"/>
        <w:rPr>
          <w:rStyle w:val="Marker"/>
          <w:color w:val="auto"/>
        </w:rPr>
      </w:pPr>
      <w:r>
        <w:rPr>
          <w:rStyle w:val="Marker"/>
          <w:color w:val="auto"/>
        </w:rPr>
        <w:t xml:space="preserve">As informações correspondentes são adequadas e necessárias para melhor compreender as restrições relevantes em termos de conteúdos impostas pelo fornecedor, bem como a divulgação de conteúdos inadmissíveis do ponto de vista do fornecedor, ou denunciados como ilegais, nas plataformas. </w:t>
      </w:r>
    </w:p>
    <w:p w14:paraId="5D09F342" w14:textId="5F0FFD55" w:rsidR="00D969A6" w:rsidRPr="0018171E" w:rsidRDefault="00D969A6" w:rsidP="00D969A6">
      <w:pPr>
        <w:pStyle w:val="Text"/>
        <w:rPr>
          <w:rStyle w:val="Marker"/>
          <w:color w:val="auto"/>
        </w:rPr>
      </w:pPr>
      <w:r>
        <w:rPr>
          <w:rStyle w:val="Marker"/>
          <w:color w:val="auto"/>
        </w:rPr>
        <w:t>Além disso, o direito à informação está sujeito à condição de que as informações sejam necessárias no caso específico para projetos de investigação científica de interesse público. O que precede significa que as informações transmitidas só podem ser utilizadas para fins científicos. Finalmente, os objetivos de investigação que podem ser considerados limitam-se à investigação sobre a natureza, o âmbito, as causas e os efeitos da comunicação pública nas redes sociais e à abordagem dos fornecedores a esse respeito.</w:t>
      </w:r>
    </w:p>
    <w:p w14:paraId="588C65A9" w14:textId="3AAAB10E" w:rsidR="00C46490" w:rsidRPr="0018171E" w:rsidRDefault="00C46490" w:rsidP="00D969A6">
      <w:pPr>
        <w:pStyle w:val="Text"/>
        <w:rPr>
          <w:rStyle w:val="Marker"/>
          <w:color w:val="auto"/>
        </w:rPr>
      </w:pPr>
      <w:r>
        <w:rPr>
          <w:rStyle w:val="Marker"/>
          <w:color w:val="auto"/>
        </w:rPr>
        <w:t>O procedimento previsto para a apresentação de um plano de proteção assegura o respeito dos interesses a ter em conta nos termos do artigo 5.º-A. O fornecedor da rede social pode recusar-se a prestar informações até que o plano de proteção tenha sido apresentado. O plano de proteção deve ser simultaneamente apresentado à autoridade de fiscalização da proteção de dados competente, que pode iniciar um processo correspondente se houver indícios de violações da proteção de dados. O que precede é de particular importância, uma vez que a prestação de informação por parte dos fornecedores também pode afetar os interesses de terceiros, tais como os utilizadores.</w:t>
      </w:r>
    </w:p>
    <w:p w14:paraId="61C60CE8" w14:textId="669418FB" w:rsidR="00D969A6" w:rsidRPr="0018171E" w:rsidRDefault="00D969A6" w:rsidP="00D969A6">
      <w:pPr>
        <w:pStyle w:val="Text"/>
        <w:rPr>
          <w:rStyle w:val="Marker"/>
          <w:color w:val="auto"/>
        </w:rPr>
      </w:pPr>
      <w:r>
        <w:rPr>
          <w:rStyle w:val="Marker"/>
          <w:color w:val="auto"/>
        </w:rPr>
        <w:t>Além disso, a informação não pode entrar em conflito com os interesses superiores legítimos dos fornecedores de redes sociais. Os interesses legítimos em conflito são considerados, se o acesso aos dados prejudicasse numa medida irrazoável os interesses de confidencialidade do fornecedor. O direito à informação é igualmente excluído se os interesses legítimos das pessoas em causa forem prejudicados e o interesse público na investigação não superar o interesse de confidencialidade das pessoas em causa.</w:t>
      </w:r>
    </w:p>
    <w:p w14:paraId="05EA09A2" w14:textId="77777777" w:rsidR="00D969A6" w:rsidRPr="0018171E" w:rsidRDefault="00D969A6" w:rsidP="00D969A6">
      <w:pPr>
        <w:pStyle w:val="Text"/>
        <w:rPr>
          <w:rStyle w:val="Marker"/>
          <w:color w:val="auto"/>
        </w:rPr>
      </w:pPr>
      <w:r>
        <w:rPr>
          <w:rStyle w:val="Marker"/>
          <w:color w:val="auto"/>
        </w:rPr>
        <w:t xml:space="preserve">Para efeitos da transmissão de informações, também podem ser transmitidos dados pessoais, devendo proceder-se à anonimização ou, pelo menos, à pseudonimização, na medida do possível. Além disso, devem ser previstas medidas adicionais para a proteção de dados pessoais, desde que se proceda ao tratamento de categorias especiais de dados na aceção do artigo 9.º, n.º 1, do Regulamento (UE) 2016/679. As restantes disposições do direito em matéria de proteção de dados, nomeadamente nos termos do artigo 27.º da lei federal relativa à proteção de dados, permanecem inalteradas. </w:t>
      </w:r>
    </w:p>
    <w:p w14:paraId="67D27A76" w14:textId="0A74581F" w:rsidR="00A135B4" w:rsidRPr="0018171E" w:rsidRDefault="00D969A6" w:rsidP="00D969A6">
      <w:pPr>
        <w:pStyle w:val="Text"/>
        <w:rPr>
          <w:rStyle w:val="Marker"/>
          <w:color w:val="auto"/>
        </w:rPr>
      </w:pPr>
      <w:r>
        <w:rPr>
          <w:rStyle w:val="Marker"/>
          <w:color w:val="auto"/>
        </w:rPr>
        <w:t xml:space="preserve">O fornecedor tem o direito a ser reembolsado pelo investigador pelos custos razoáveis incorridos com a prestação de informações. Ao limitar o direito ao reembolso a custos razoáveis, assegura-se que o direito à informação dos investigadores não se esgota na prática devido a pedidos de reembolso de custos proibitivamente elevados. Este é também o objetivo do estabelecimento de um limite máximo para os custos reembolsáveis, que só pode ser excedido em casos excecionalmente complexos. Pode tratar-se desse caso se os encargos da prestação da informação excederem significativamente os encargos normalmente resultantes da prestação de informações para os projetos de investigação abrangidos pelo artigo 5.º-A. O fornecedor da rede social suporta o ónus da </w:t>
      </w:r>
      <w:r>
        <w:rPr>
          <w:rStyle w:val="Marker"/>
          <w:color w:val="auto"/>
        </w:rPr>
        <w:lastRenderedPageBreak/>
        <w:t>apresentação e da comprovação das circunstâncias correspondentes, como já acontece com a razoabilidade dos custos noutros aspetos.</w:t>
      </w:r>
    </w:p>
    <w:p w14:paraId="1B437195" w14:textId="47B203AC" w:rsidR="00D969A6" w:rsidRPr="0018171E" w:rsidRDefault="00D969A6" w:rsidP="00D969A6">
      <w:pPr>
        <w:pStyle w:val="Text"/>
        <w:rPr>
          <w:rStyle w:val="Marker"/>
          <w:color w:val="auto"/>
        </w:rPr>
      </w:pPr>
      <w:r>
        <w:rPr>
          <w:rStyle w:val="Marker"/>
          <w:color w:val="auto"/>
        </w:rPr>
        <w:t>A aplicação correspondente do artigo 287.º, n.º 1, do Código do Processo Civil garante que o tribunal competente é livre de determinar o montante do direito de reembolso em caso de litígio, tendo em conta todas as circunstâncias. Não existe lugar a outra indemnização dos fornecedores. A fim de facilitar a segurança do planeamento do investigador em relação aos custos incorridos, o investigador pode solicitar ao fornecedor da rede social que apresente um orçamento gratuito, dentro de um prazo razoável, após a apresentação do plano de proteção.</w:t>
      </w:r>
    </w:p>
    <w:p w14:paraId="0569302F" w14:textId="40F9020F" w:rsidR="00E11559" w:rsidRPr="0018171E" w:rsidRDefault="00D969A6" w:rsidP="00D969A6">
      <w:pPr>
        <w:pStyle w:val="Text"/>
        <w:rPr>
          <w:rStyle w:val="Marker"/>
          <w:color w:val="auto"/>
        </w:rPr>
      </w:pPr>
      <w:r>
        <w:rPr>
          <w:rStyle w:val="Marker"/>
          <w:color w:val="auto"/>
        </w:rPr>
        <w:t>Os tribunais ordinários devem ser chamados a decidir sobre a matéria, se os investigadores e o fornecedor da rede social entrarem em litígio sobre a existência das condições de elegibilidade.</w:t>
      </w:r>
    </w:p>
    <w:p w14:paraId="1A7FF4A4" w14:textId="180DAC81" w:rsidR="00732338" w:rsidRPr="0018171E" w:rsidRDefault="00132D0E" w:rsidP="00132D0E">
      <w:pPr>
        <w:pStyle w:val="Text"/>
        <w:rPr>
          <w:rStyle w:val="Marker"/>
          <w:color w:val="auto"/>
        </w:rPr>
      </w:pPr>
      <w:r>
        <w:rPr>
          <w:rStyle w:val="Marker"/>
          <w:color w:val="auto"/>
        </w:rPr>
        <w:t>A introdução da cláusula de investigação é complementada por um esclarecimento sobre as obrigações de apresentação de relatório. De acordo com o artigo 2.º, n.º 2, ponto 2, da NetzDG anteriormente previsto, o relatório deve incluir se e em que medida são proporcionados conhecimentos às pessoas da ciência e da investigação para a avaliação dos procedimentos utilizados para a deteção automatizada de conteúdos (cf. Documento 19/18792 do Parlamento Federal, p. 43). O aditamento proposto para o artigo 2.º, n.º 2, ponto 2, da NetzDG esclarece que o que precede também se refere à questão da concessão de acesso às informações do fornecedor, incluindo as instâncias de prestação de informações realizadas nos termos do artigo 5.º-A da NetzDG.</w:t>
      </w:r>
    </w:p>
    <w:p w14:paraId="5F9F9891" w14:textId="5A8F43C7" w:rsidR="00E97B1F" w:rsidRPr="0018171E" w:rsidRDefault="00E97B1F" w:rsidP="00132D0E">
      <w:pPr>
        <w:pStyle w:val="Text"/>
        <w:rPr>
          <w:rStyle w:val="Marker"/>
          <w:color w:val="auto"/>
        </w:rPr>
      </w:pPr>
      <w:r>
        <w:rPr>
          <w:rStyle w:val="Marker"/>
          <w:color w:val="auto"/>
        </w:rPr>
        <w:t>O artigo 5.º-A deve ser avaliado três anos após a entrada em vigor. Deve determinar-se, assim, se e em que medida os efeitos pretendidos foram alcançados. O que precede inclui, em particular, determinar se as informações prestadas contribuíram para os objetivos de investigação subjacentes. A operacionalidade da regulamentação também deve ser determinada, em particular, no caso de disputas entre investigadores e fornecedores de redes sociais sobre a obrigação de prestação informações. A este respeito, deve ser determinado se o envolvimento de uma instância de mediação se afigura conveniente para a resolução de divergências de opinião sobre o dever de prestação de informações ou para a concretização de um pedido justificado de informações e de que modo se poderia estruturar uma tal instância de mediação. A avaliação deve aferir também se a regulamentação relativa ao reembolso constante do n.º 8 revelou ser eficaz.</w:t>
      </w:r>
    </w:p>
    <w:p w14:paraId="2F6A2064" w14:textId="663911F1" w:rsidR="009F08C0" w:rsidRPr="0018171E" w:rsidRDefault="009F08C0" w:rsidP="0018171E">
      <w:pPr>
        <w:pStyle w:val="Text"/>
        <w:keepNext/>
        <w:rPr>
          <w:rStyle w:val="Marker"/>
          <w:b/>
          <w:color w:val="auto"/>
        </w:rPr>
      </w:pPr>
      <w:r>
        <w:rPr>
          <w:rStyle w:val="Marker"/>
          <w:b/>
          <w:color w:val="auto"/>
        </w:rPr>
        <w:t>Relativamente ao ponto 2</w:t>
      </w:r>
    </w:p>
    <w:p w14:paraId="7D853F30" w14:textId="43DDA2F0" w:rsidR="00132D0E" w:rsidRPr="0018171E" w:rsidRDefault="00132D0E" w:rsidP="00D969A6">
      <w:pPr>
        <w:pStyle w:val="Text"/>
        <w:rPr>
          <w:rStyle w:val="Marker"/>
          <w:color w:val="auto"/>
        </w:rPr>
      </w:pPr>
      <w:r>
        <w:rPr>
          <w:rStyle w:val="Marker"/>
          <w:color w:val="auto"/>
        </w:rPr>
        <w:t>As regulamentações relativas à entrada em vigor constantes do artigo ... são complementadas no que diz respeito às alterações introduzidas na lei de execução relativa às redes.</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4152A291" w14:textId="4C994E65" w:rsidR="00831FCC" w:rsidRDefault="00831FCC" w:rsidP="00831FCC">
      <w:pPr>
        <w:pStyle w:val="RevisionFunotentext"/>
      </w:pPr>
      <w:r w:rsidRPr="002B3148">
        <w:rPr>
          <w:rStyle w:val="FootnoteReference"/>
        </w:rPr>
        <w:t>*</w:t>
      </w:r>
      <w:r w:rsidRPr="002B3148">
        <w:rPr>
          <w:rStyle w:val="FootnoteReference"/>
          <w:vertAlign w:val="baseline"/>
        </w:rPr>
        <w:t>)</w:t>
      </w:r>
      <w:r w:rsidRPr="002B3148">
        <w:tab/>
      </w:r>
      <w:r w:rsidR="002B3148" w:rsidRPr="002B3148">
        <w:t>Notificado em conformidade com a Diretiva (UE) 2015/1535 do Parlamento Europeu e do Conselho, de 9 de setembro de 2015, relativa a um procedimento de informação no domínio das regulamentações técnicas e das regras relativas aos serviços da sociedade da informação (JO L 241 de 17.9.2015, p. 1).</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D5D4D056"/>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4DFC3076"/>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rPr>
        <w:rFonts w:hint="default"/>
      </w:r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num>
  <w:num w:numId="2">
    <w:abstractNumId w:val="10"/>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B314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A251C"/>
    <w:rsid w:val="007C2BBC"/>
    <w:rsid w:val="007D4CD0"/>
    <w:rsid w:val="007E2045"/>
    <w:rsid w:val="007E7C79"/>
    <w:rsid w:val="008135B1"/>
    <w:rsid w:val="0081574B"/>
    <w:rsid w:val="00823118"/>
    <w:rsid w:val="00831FCC"/>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1"/>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1"/>
      </w:numPr>
    </w:pPr>
    <w:rPr>
      <w:color w:val="800000"/>
    </w:rPr>
  </w:style>
  <w:style w:type="paragraph" w:customStyle="1" w:styleId="RevisionNummerierungStufe2">
    <w:name w:val="Revision Nummerierung (Stufe 2)"/>
    <w:basedOn w:val="Normal"/>
    <w:rsid w:val="0098296B"/>
    <w:pPr>
      <w:numPr>
        <w:ilvl w:val="4"/>
        <w:numId w:val="1"/>
      </w:numPr>
    </w:pPr>
    <w:rPr>
      <w:color w:val="800000"/>
    </w:rPr>
  </w:style>
  <w:style w:type="paragraph" w:customStyle="1" w:styleId="RevisionNummerierungStufe3">
    <w:name w:val="Revision Nummerierung (Stufe 3)"/>
    <w:basedOn w:val="Normal"/>
    <w:rsid w:val="0098296B"/>
    <w:pPr>
      <w:numPr>
        <w:ilvl w:val="5"/>
        <w:numId w:val="1"/>
      </w:numPr>
    </w:pPr>
    <w:rPr>
      <w:color w:val="800000"/>
    </w:rPr>
  </w:style>
  <w:style w:type="paragraph" w:customStyle="1" w:styleId="RevisionNummerierungStufe4">
    <w:name w:val="Revision Nummerierung (Stufe 4)"/>
    <w:basedOn w:val="Normal"/>
    <w:rsid w:val="0098296B"/>
    <w:pPr>
      <w:numPr>
        <w:ilvl w:val="6"/>
        <w:numId w:val="1"/>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1"/>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923A-214A-447C-BCB0-2D18D62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10</TotalTime>
  <Pages>7</Pages>
  <Words>3292</Words>
  <Characters>17777</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Parracho, Tania</cp:lastModifiedBy>
  <cp:revision>6</cp:revision>
  <cp:lastPrinted>2020-12-08T16:22:00Z</cp:lastPrinted>
  <dcterms:created xsi:type="dcterms:W3CDTF">2021-01-28T12:34:00Z</dcterms:created>
  <dcterms:modified xsi:type="dcterms:W3CDTF">2021-02-10T12:41:00Z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