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Lei que altera a lei de execução relativa às redes</w:t>
      </w:r>
      <w:r w:rsidR="0016324D">
        <w:rPr>
          <w:rStyle w:val="Fotnotsreferens"/>
        </w:rPr>
        <w:footnoteReference w:id="1"/>
      </w:r>
      <w:bookmarkStart w:id="0" w:name="DQPErrorScopeDED0AAB42A4B15C81FDBC9F84F5"/>
      <w:r>
        <w:t>»</w:t>
      </w:r>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Feito em 3 de junho de 2021</w:t>
      </w:r>
    </w:p>
    <w:p w14:paraId="3F51C4C2" w14:textId="77777777" w:rsidR="00E83886" w:rsidRDefault="00E83886">
      <w:pPr>
        <w:pStyle w:val="EingangsformelStandardnderungsdokument"/>
      </w:pPr>
      <w:r>
        <w:t>O Bundestag adotou a seguinte lei:</w:t>
      </w:r>
    </w:p>
    <w:p w14:paraId="3EF60F3B" w14:textId="51840A09" w:rsidR="00E83886" w:rsidRDefault="00B61AA0" w:rsidP="00B61AA0">
      <w:pPr>
        <w:pStyle w:val="ArtikelBezeichner"/>
        <w:numPr>
          <w:ilvl w:val="0"/>
          <w:numId w:val="0"/>
        </w:numPr>
      </w:pPr>
      <w:r>
        <w:t>Artigo 1.º</w:t>
      </w:r>
    </w:p>
    <w:p w14:paraId="00B33297" w14:textId="77777777" w:rsidR="00E83886" w:rsidRDefault="00BC2E28">
      <w:pPr>
        <w:pStyle w:val="Artikelberschrift"/>
      </w:pPr>
      <w:r>
        <w:t>A</w:t>
      </w:r>
      <w:bookmarkStart w:id="1" w:name="eNV_02766DCDDD0C451696CD2CA9BA8F5F05_1"/>
      <w:bookmarkEnd w:id="1"/>
      <w:r>
        <w:t>lteração da lei de execução relativa às redes</w:t>
      </w:r>
    </w:p>
    <w:p w14:paraId="75A86A66" w14:textId="77777777" w:rsidR="00E83886" w:rsidRPr="00B43644" w:rsidRDefault="00BC2E28">
      <w:pPr>
        <w:pStyle w:val="JuristischerAbsatznichtnummeriert"/>
      </w:pPr>
      <w:r>
        <w:t>A Lei de execução relativa às redes, de 1 de setembro de 2017 (DO Federal I, p. 3352), com a última redação que lhe foi dada pelo artigo 7.º da lei de 30 de março de 2021 (DO Federal I, p. 441), com a alteração que lhe foi dada pelo artigo 15.º da lei de 30 de março de 2021 (DO Federal I, p. 448), é alterada do seguinte modo:</w:t>
      </w:r>
    </w:p>
    <w:p w14:paraId="5906B6F4" w14:textId="77777777" w:rsidR="009C3C3B" w:rsidRDefault="009C3C3B" w:rsidP="00FD2509">
      <w:pPr>
        <w:pStyle w:val="NummerierungStufe1"/>
      </w:pPr>
      <w:bookmarkStart w:id="2" w:name="eNV_6C01AF3269F54A25937775F5B1921A82_1"/>
      <w:bookmarkEnd w:id="2"/>
      <w:r>
        <w:t xml:space="preserve">No artigo 1.º, n.º 2), a indicação </w:t>
      </w:r>
      <w:r>
        <w:rPr>
          <w:rStyle w:val="RevisionText"/>
        </w:rPr>
        <w:t>“artigos 2.º e 3.º”</w:t>
      </w:r>
      <w:r>
        <w:t xml:space="preserve"> é substituída pelos termos </w:t>
      </w:r>
      <w:r>
        <w:rPr>
          <w:rStyle w:val="RevisionText"/>
        </w:rPr>
        <w:t>“artigos 2.º a 3.º-B e 5.º-A”</w:t>
      </w:r>
      <w:r>
        <w:t>.</w:t>
      </w:r>
    </w:p>
    <w:p w14:paraId="71A5833B" w14:textId="77777777" w:rsidR="00FD2509" w:rsidRDefault="00D563DB" w:rsidP="00FD2509">
      <w:pPr>
        <w:pStyle w:val="NummerierungStufe1"/>
      </w:pPr>
      <w:r>
        <w:t>O artigo</w:t>
      </w:r>
      <w:bookmarkStart w:id="3" w:name="eNV_F184275CB3ED43BBAC3DB3FE735A86E0_1"/>
      <w:bookmarkEnd w:id="3"/>
      <w:r>
        <w:t xml:space="preserve"> 2.º, n.º 2 é alterado do seguinte modo:</w:t>
      </w:r>
    </w:p>
    <w:p w14:paraId="75A87168" w14:textId="77777777" w:rsidR="00D563DB" w:rsidRPr="001355C5" w:rsidRDefault="00D563DB" w:rsidP="00D563DB">
      <w:pPr>
        <w:pStyle w:val="NummerierungStufe2"/>
      </w:pPr>
      <w:bookmarkStart w:id="4" w:name="eNV_C4D4FB87EB23484289627BC27807BCE5_1"/>
      <w:bookmarkEnd w:id="4"/>
      <w:r>
        <w:t>O ponto 2 é substituído pelos seguintes pontos 2 e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A natureza, as grandes linhas do funcionamento e o âmbito de quaisquer métodos utilizados para a deteção automatizada de conteúdos a remover ou bloquear, incluindo informações gerais sobre os dados de formação utilizados e a verificação, pelo fornecedor, dos resultados desses procedimentos, bem como informações sobre em que medida os meios científicos e de investigação são apoiados na avaliação desses procedimentos e obtiveram acesso às informações fornecidas pelo prestador para esse efeito,</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Descrição dos mecanismos de transmissão de queixas relativas a conteúdos ilícitos, descrição dos critérios de decisão para a remoção e bloqueio de conteúdos ilegais e descrição do procedimento de reapreciação, incluindo a sequência da reapreciação sobre a existência de conteúdos ilícitos ou se as disposições contratuais entre o fornecedor e o utilizador estão a ser violadas,».</w:t>
      </w:r>
    </w:p>
    <w:p w14:paraId="074A3429" w14:textId="77777777" w:rsidR="00E43EFE" w:rsidRPr="001355C5" w:rsidRDefault="00E43EFE" w:rsidP="003764C3">
      <w:pPr>
        <w:pStyle w:val="NummerierungStufe2"/>
      </w:pPr>
      <w:bookmarkStart w:id="6" w:name="DQPErrorScopeAA164204E61A4B6863D92987321"/>
      <w:r>
        <w:t>Os pontos 3 a 6 passam a ser os pontos 4 a 7.</w:t>
      </w:r>
      <w:bookmarkEnd w:id="6"/>
    </w:p>
    <w:p w14:paraId="44BFC151" w14:textId="29827472" w:rsidR="00DE0035" w:rsidRPr="001355C5" w:rsidRDefault="00E43EFE" w:rsidP="003764C3">
      <w:pPr>
        <w:pStyle w:val="NummerierungStufe2"/>
      </w:pPr>
      <w:r>
        <w:t xml:space="preserve">O ponto 7 passa a ser o ponto 8 e as palavras </w:t>
      </w:r>
      <w:r>
        <w:rPr>
          <w:rStyle w:val="RevisionText"/>
          <w:color w:val="auto"/>
        </w:rPr>
        <w:t>«de acordo com o número total, bem como»</w:t>
      </w:r>
      <w:r>
        <w:t xml:space="preserve"> são inseridas após a palavra </w:t>
      </w:r>
      <w:r>
        <w:rPr>
          <w:rStyle w:val="RevisionText"/>
          <w:color w:val="auto"/>
        </w:rPr>
        <w:t>«levou,»</w:t>
      </w:r>
      <w:r>
        <w:t xml:space="preserve"> e uma vírgula e as palavras </w:t>
      </w:r>
      <w:r>
        <w:rPr>
          <w:rStyle w:val="RevisionText"/>
          <w:color w:val="auto"/>
        </w:rPr>
        <w:t>«que passo na sequência de testes nos termos do ponto 3 levou à remoção ou bloqueio»</w:t>
      </w:r>
      <w:r>
        <w:t xml:space="preserve"> são inseridas após as palavras </w:t>
      </w:r>
      <w:r>
        <w:rPr>
          <w:rStyle w:val="RevisionText"/>
          <w:color w:val="auto"/>
        </w:rPr>
        <w:t>«os utilizadores foram inseridos»</w:t>
      </w:r>
      <w:r>
        <w:t>.</w:t>
      </w:r>
    </w:p>
    <w:p w14:paraId="0B6811A7" w14:textId="77777777" w:rsidR="008D6E45" w:rsidRPr="001355C5" w:rsidRDefault="00E43EFE" w:rsidP="003764C3">
      <w:pPr>
        <w:pStyle w:val="NummerierungStufe2"/>
      </w:pPr>
      <w:r>
        <w:lastRenderedPageBreak/>
        <w:t>O anterior p</w:t>
      </w:r>
      <w:bookmarkStart w:id="7" w:name="eNV_3CAAC48361F44D8E911B82392C79CDB9_1"/>
      <w:bookmarkEnd w:id="7"/>
      <w:r>
        <w:t>onto 8 passa a ser o ponto 9 e tem a seguinte redação:</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o respetivo número de queixas relativas a conteúdos ilícitos que resultaram na remoção ou bloqueio do conteúdo ilegal no prazo de 24 horas, no prazo de 48 horas ou dentro de uma semana a contar da receção, ou posteriormente, discriminados por queixas dos gabinetes de reclamações e dos utilizadores, bem como discriminados de acordo com o motivo da queixa,».</w:t>
      </w:r>
      <w:bookmarkEnd w:id="8"/>
    </w:p>
    <w:p w14:paraId="090FCED8" w14:textId="77777777" w:rsidR="003764C3" w:rsidRPr="001355C5" w:rsidRDefault="00E43EFE" w:rsidP="003764C3">
      <w:pPr>
        <w:pStyle w:val="NummerierungStufe2"/>
      </w:pPr>
      <w:r>
        <w:t>O ponto 9 passa a ser o ponto 10 e o ponto final no final é substituído por uma vírgula.</w:t>
      </w:r>
    </w:p>
    <w:p w14:paraId="3E7ED79C" w14:textId="77777777" w:rsidR="003764C3" w:rsidRPr="001355C5" w:rsidRDefault="002C5C85" w:rsidP="002C5C85">
      <w:pPr>
        <w:pStyle w:val="NummerierungStufe2"/>
      </w:pPr>
      <w:r>
        <w:t>São aditados os seguintes pontos 11 e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Número de recursos recebidos durante o período de relatório em conformidade com o artigo 3.º-B, n.º 1, segunda frase, de acordo com o número total e discriminado de acordo com os recursos dos queixosos e dos utilizadores para os quais o conteúdo contestado foi guardado, cada um com pormenores sobre o número de casos em que o recurso foi sanado,</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Número de recursos recebidos durante o período de relatório em conformidade com o artigo 3.º-B, n.º 3, primeira frase, cada um com pormenores sobre o número de casos em que foi dispensada uma reapreciação nos termos do artigo 3.º-B, n.º 3, terceira frase, e sobre o número de casos em que o recurso foi sanado,</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Informações sobre se, e em que medida, os grupos científicos e de investigação tiveram acesso à informação do fornecedor durante o período de relatório, a fim de permitir uma avaliação anónima da questão de saber se</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os conteúdos ilegais removidos ou bloqueados estão relacionados com as características referidas no artigo 1.º da Lei Geral sobre a Igualdade de Tratamento, de 14 de agosto de 2006 (DO Federal I, p. 1897), com a última redação que lhe foi dada pelo artigo 8.º da lei de 3 de abril de 2013 (DO Federal I, p. 610), na sua versão atual,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se a divulgação de conteúdos ilegais afeta determinados grupos de utilizadores de formas específicas, e</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se as estruturas organizadas ou os comportamentos coordenados constituem a base da divulgação,</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outras medidas tomadas pelo fornecedor para proteger e apoiar as medidas afetadas por conteúdos ilegais,</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um resumo com um quadro que mostre o número total de queixas recebidas sobre conteúdos ilegais, a percentagem de conteúdos removidos ou bloqueados em resposta a essas queixas, o número de recursos nos termos do artigo 3.º-B, n.º 1, segunda frase, e artigo 3.º-B, n.º 3, primeira frase, respetivamente, e a percentagem de decisões alteradas com base nesses recursos em comparação com os números correspondentes para os dois períodos de relatório anteriores, juntamente com uma explicação das diferenças significativas e das possíveis razões para as mesmas,</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Explicação das disposições dos termos e condições gerais do fornecedor sobre a admissibilidade da divulgação de conteúdos na rede social utilizados pelo fornecedor para contratos com consumidores,</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lastRenderedPageBreak/>
        <w:t>17.</w:t>
      </w:r>
      <w:r>
        <w:rPr>
          <w:color w:val="auto"/>
        </w:rPr>
        <w:tab/>
        <w:t>Apresentação da medida em que o acordo sobre as disposições previstas no n.º 16 é coerente com os requisitos dos artigos 307.º a 309.º do Código Civil e de outra legislação.»</w:t>
      </w:r>
    </w:p>
    <w:p w14:paraId="268633E7" w14:textId="77777777" w:rsidR="00BE13DB" w:rsidRPr="001355C5" w:rsidRDefault="00BE13DB" w:rsidP="00BE13DB">
      <w:pPr>
        <w:pStyle w:val="NummerierungStufe1"/>
      </w:pPr>
      <w:bookmarkStart w:id="10" w:name="eNV_1071D66C7A3A4E78904AD55041E5495E_1"/>
      <w:bookmarkEnd w:id="10"/>
      <w:r>
        <w:t>O artigo 3.º é alterado do seguinte modo:</w:t>
      </w:r>
    </w:p>
    <w:p w14:paraId="0581E3DD" w14:textId="77777777" w:rsidR="00BE13DB" w:rsidRPr="001355C5" w:rsidRDefault="00BE13DB" w:rsidP="00BE13DB">
      <w:pPr>
        <w:pStyle w:val="NummerierungStufe2"/>
      </w:pPr>
      <w:r>
        <w:t>n</w:t>
      </w:r>
      <w:bookmarkStart w:id="11" w:name="eNV_014D67E831A54E84AE69F682494D2210_1"/>
      <w:bookmarkEnd w:id="11"/>
      <w:r>
        <w:t xml:space="preserve">o n.º 1, segunda frase, as palavras </w:t>
      </w:r>
      <w:r>
        <w:rPr>
          <w:rStyle w:val="RevisionText"/>
          <w:color w:val="auto"/>
        </w:rPr>
        <w:t>«ao perceber o conteúdo»</w:t>
      </w:r>
      <w:r>
        <w:t xml:space="preserve"> são inseridas após a palavra </w:t>
      </w:r>
      <w:r>
        <w:rPr>
          <w:rStyle w:val="RevisionText"/>
          <w:color w:val="auto"/>
        </w:rPr>
        <w:t>«uma»</w:t>
      </w:r>
      <w:r>
        <w:t xml:space="preserve"> e uma vírgula e as palavras </w:t>
      </w:r>
      <w:r>
        <w:rPr>
          <w:rStyle w:val="RevisionText"/>
          <w:color w:val="auto"/>
        </w:rPr>
        <w:t>«fácil de usar»</w:t>
      </w:r>
      <w:r>
        <w:t xml:space="preserve"> são inseridas após a palavra </w:t>
      </w:r>
      <w:r>
        <w:rPr>
          <w:rStyle w:val="RevisionText"/>
          <w:color w:val="auto"/>
        </w:rPr>
        <w:t>«alcançável»</w:t>
      </w:r>
      <w:r>
        <w:t>.</w:t>
      </w:r>
    </w:p>
    <w:p w14:paraId="630F3893" w14:textId="77777777" w:rsidR="00BE13DB" w:rsidRPr="001355C5" w:rsidRDefault="00BE13DB" w:rsidP="00BE13DB">
      <w:pPr>
        <w:pStyle w:val="NummerierungStufe2"/>
      </w:pPr>
      <w:r>
        <w:t>O</w:t>
      </w:r>
      <w:bookmarkStart w:id="12" w:name="eNV_29BA89EA1BB2430697A4687983AABC93_1"/>
      <w:bookmarkEnd w:id="12"/>
      <w:r>
        <w:t xml:space="preserve"> n.º 2 é alterado do seguinte modo:</w:t>
      </w:r>
    </w:p>
    <w:p w14:paraId="59FA4E72" w14:textId="77777777" w:rsidR="001B5632" w:rsidRPr="001355C5" w:rsidRDefault="001B5632" w:rsidP="001B5632">
      <w:pPr>
        <w:pStyle w:val="NummerierungStufe3"/>
      </w:pPr>
      <w:r>
        <w:t>n</w:t>
      </w:r>
      <w:bookmarkStart w:id="13" w:name="eNV_EEB47693F91D4F2B9784901065243950_1"/>
      <w:bookmarkEnd w:id="13"/>
      <w:r>
        <w:t xml:space="preserve">o ponto 3, alínea b), as palavras </w:t>
      </w:r>
      <w:r>
        <w:rPr>
          <w:rStyle w:val="RevisionText"/>
          <w:color w:val="auto"/>
        </w:rPr>
        <w:t>«a rede social»</w:t>
      </w:r>
      <w:r>
        <w:t xml:space="preserve"> são substituídas pelas palavras </w:t>
      </w:r>
      <w:r>
        <w:rPr>
          <w:rStyle w:val="RevisionText"/>
          <w:color w:val="auto"/>
        </w:rPr>
        <w:t>«o fornecedor da rede social»</w:t>
      </w:r>
      <w:r>
        <w:t>.</w:t>
      </w:r>
    </w:p>
    <w:p w14:paraId="72A04C98" w14:textId="77777777" w:rsidR="00AE356F" w:rsidRPr="001355C5" w:rsidRDefault="00CE245D" w:rsidP="001B5632">
      <w:pPr>
        <w:pStyle w:val="NummerierungStufe3"/>
      </w:pPr>
      <w:r>
        <w:t>Os pontos 4 e 5 têm a seguinte redação:</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Em caso de remoção, assegura o conteúdo da prova e, para o efeito, guarda-o por um período de dez semanas no âmbito de aplicação da Diretiva 2000/31/CE do Parlamento Europeu e do Conselho, de 8 de junho de 2000, relativa a certos aspetos legais dos serviços da sociedade de informação, em especial do comércio eletrónico, no mercado interno (</w:t>
      </w:r>
      <w:bookmarkStart w:id="15" w:name="DQPErrorScope2646C3C49F191982EE73F3F98FA"/>
      <w:r>
        <w:rPr>
          <w:color w:val="auto"/>
        </w:rPr>
        <w:t>«</w:t>
      </w:r>
      <w:bookmarkEnd w:id="15"/>
      <w:r>
        <w:rPr>
          <w:color w:val="auto"/>
        </w:rPr>
        <w:t>Diretiva sobre o comércio eletrónico») (JO L 178 de 17.7.2000, p. 1) e da Diretiva 2010/13/UE do Parlamento Europeu e do Conselho, de 10 de março de 2010, relativa à coordenação de certas disposições legislativas, regulamentares e administrativas dos Estados-Membros respeitantes à oferta de serviços de comunicação social audiovisual (Diretiva «Serviços de Comunicação Social Audiovisual») (JO L 95 de 15.4.2010, p. 1; L 263 de 6.10.2010, p. 15), com a redação que lhe foi dada pela Diretiva (UE) 2018/1808 (JO L 303 de 28.11.2018, p.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Informa sem demora o queixoso e o utilizador relativamente ao qual o conteúdo contestado foi guardado sobre cada decisão, e ao fazê-lo</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justifica a sua decisão,</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Indica a possibilidade de recurso nos termos do artigo 3.º-B, n.º 1, segunda frase, o procedimento para o efeito previsto no artigo 3.º-B, n.º 1, terceira frase, o prazo previsto no artigo 3.º-B, n.º 1, segunda frase, e que o conteúdo do recurso pode ser repercutido no âmbito do procedimento previsto no artigo 3.º-B, n.º 2, ponto 1, e</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informa o queixoso de que pode apresentar uma notificação de uma infração e, se necessário, um pedido de ação penal contra o utilizador para o qual o conteúdo contestado foi guardado, bem como sobre o sítio Web no qual podem receber mais informações sobre o assunto.»</w:t>
      </w:r>
    </w:p>
    <w:p w14:paraId="7A752ABA" w14:textId="77777777" w:rsidR="00D31A36" w:rsidRPr="001355C5" w:rsidRDefault="00E94ACD" w:rsidP="00D31A36">
      <w:pPr>
        <w:pStyle w:val="NummerierungStufe3"/>
      </w:pPr>
      <w:r>
        <w:t>São aditadas as seguintes frases:</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 xml:space="preserve">«Nos casos referidos na primeira frase, n.º 3, alínea b), o fornecedor da rede social pode divulgar ao organismo de autorregulação reconhecido os conteúdos contestados, informações sobre o momento da partilha ou da disponibilização dos conteúdos e a extensão da sua divulgação, bem como os conteúdos num contexto reconhecível (se necessário para efeitos da decisão). O organismo de autorregulação está autorizado a tratar os dados pessoais em causa na medida do necessário para a reapreciação. Qualquer </w:t>
      </w:r>
      <w:r>
        <w:rPr>
          <w:rStyle w:val="RevisionText"/>
          <w:color w:val="auto"/>
        </w:rPr>
        <w:lastRenderedPageBreak/>
        <w:t>inexatidão da decisão tomada pelo organismo de autorregulação nos casos previstos na primeira frase, n.º 3, alínea b), não constitui uma violação do n.º 1, ponto 1, pelo fornecedor da rede social.»</w:t>
      </w:r>
    </w:p>
    <w:p w14:paraId="05710271" w14:textId="77777777" w:rsidR="008331B2" w:rsidRPr="001355C5" w:rsidRDefault="008331B2" w:rsidP="008331B2">
      <w:pPr>
        <w:pStyle w:val="NummerierungStufe2"/>
      </w:pPr>
      <w:r>
        <w:t xml:space="preserve">O </w:t>
      </w:r>
      <w:bookmarkStart w:id="17" w:name="eNV_1BD0FCD066BB4ADDA24D31C7AFEE9D76_1"/>
      <w:bookmarkEnd w:id="17"/>
      <w:r>
        <w:t>n.º 6 é alterado do seguinte modo:</w:t>
      </w:r>
    </w:p>
    <w:p w14:paraId="5B774DD7" w14:textId="77777777" w:rsidR="009E7D6E" w:rsidRPr="001355C5" w:rsidRDefault="002F6D0D" w:rsidP="008331B2">
      <w:pPr>
        <w:pStyle w:val="NummerierungStufe3"/>
      </w:pPr>
      <w:r>
        <w:t xml:space="preserve">No ponto 3, a palavra </w:t>
      </w:r>
      <w:r>
        <w:rPr>
          <w:rStyle w:val="RevisionText"/>
          <w:color w:val="auto"/>
        </w:rPr>
        <w:t>«fornece,»</w:t>
      </w:r>
      <w:r>
        <w:t xml:space="preserve"> é substituída pelas palavras </w:t>
      </w:r>
      <w:r>
        <w:rPr>
          <w:rStyle w:val="RevisionText"/>
          <w:color w:val="auto"/>
        </w:rPr>
        <w:t>«fornece a pedido do queixoso e a pedido do utilizador para o qual o conteúdo contestado foi guardado, e»</w:t>
      </w:r>
      <w:r>
        <w:t xml:space="preserve">. </w:t>
      </w:r>
    </w:p>
    <w:p w14:paraId="0AF21211" w14:textId="77777777" w:rsidR="008331B2" w:rsidRPr="001355C5" w:rsidRDefault="008331B2" w:rsidP="008331B2">
      <w:pPr>
        <w:pStyle w:val="NummerierungStufe3"/>
      </w:pPr>
      <w:bookmarkStart w:id="18" w:name="eNV_C577E052D4584A18A8AFB1A777664717_1"/>
      <w:bookmarkStart w:id="19" w:name="eNV_95D0B1FF82E643548E19CDBF244405BA_1"/>
      <w:bookmarkEnd w:id="18"/>
      <w:bookmarkEnd w:id="19"/>
      <w:r>
        <w:t>O ponto 4 é revogado.</w:t>
      </w:r>
    </w:p>
    <w:p w14:paraId="03ABCB4E" w14:textId="77777777" w:rsidR="002F6D0D" w:rsidRPr="001355C5" w:rsidRDefault="002F6D0D" w:rsidP="008331B2">
      <w:pPr>
        <w:pStyle w:val="NummerierungStufe3"/>
      </w:pPr>
      <w:bookmarkStart w:id="20" w:name="DQPErrorScopeE4F4EA840838595339EED4986C9"/>
      <w:r>
        <w:t>O ponto 5 passa a ser o ponto 4.</w:t>
      </w:r>
      <w:bookmarkEnd w:id="20"/>
    </w:p>
    <w:p w14:paraId="70A31A7E" w14:textId="77777777" w:rsidR="002C5C85" w:rsidRPr="001355C5" w:rsidRDefault="002C5C85" w:rsidP="002C5C85">
      <w:pPr>
        <w:pStyle w:val="NummerierungStufe2"/>
      </w:pPr>
      <w:r>
        <w:t>Ao n.º 7 são aditadas as seguintes frases:</w:t>
      </w:r>
    </w:p>
    <w:p w14:paraId="3C3C4597" w14:textId="77777777" w:rsidR="002C5C85" w:rsidRPr="001355C5" w:rsidRDefault="002C5C85" w:rsidP="00E53355">
      <w:pPr>
        <w:pStyle w:val="RevisionJuristischerAbsatzFolgeabsatz"/>
        <w:ind w:left="850"/>
        <w:rPr>
          <w:color w:val="auto"/>
        </w:rPr>
      </w:pPr>
      <w:r>
        <w:rPr>
          <w:color w:val="auto"/>
        </w:rPr>
        <w:t>«Deve dar à autoridade central de controlo dos estados federados para a proteção dos menores contra os meios de comunicação prejudiciais a possibilidade de apresentar observações antes da decisão de reconhecimento. A decisão pode ser emitida com condições adicionais. Um prazo não deve ser inferior a cinco anos.»</w:t>
      </w:r>
    </w:p>
    <w:p w14:paraId="6F468865" w14:textId="77777777" w:rsidR="00654A16" w:rsidRPr="001355C5" w:rsidRDefault="00654A16" w:rsidP="00654A16">
      <w:pPr>
        <w:pStyle w:val="NummerierungStufe2"/>
      </w:pPr>
      <w:r>
        <w:t>São aditados os seguintes n.ºs 8 e 9</w:t>
      </w:r>
      <w:bookmarkStart w:id="21" w:name="eNV_C9F4E65DC72A4A318587B7B03101C3D9_1"/>
      <w:bookmarkEnd w:id="21"/>
      <w:r>
        <w:t xml:space="preserve"> a seguir ao n.º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O organismo de autorregulação reconhecido deve informar imediatamente a autoridade administrativa referida no artigo 4.º das alterações das circunstâncias relevantes para o reconhecimento e outras informações fornecidas no pedido de reconhecimento.</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O organismo de autorregulação reconhecido deve publicar um relatório de atividades no ano civil anterior no seu sítio Web até 31 de julho de cada ano e transmiti-lo à autoridade administrativa mencionada no artigo 4.º.»</w:t>
      </w:r>
    </w:p>
    <w:p w14:paraId="0A4EFCFA" w14:textId="77777777" w:rsidR="00E43EFE" w:rsidRPr="001355C5" w:rsidRDefault="00E43EFE" w:rsidP="00E43EFE">
      <w:pPr>
        <w:pStyle w:val="NummerierungStufe2"/>
      </w:pPr>
      <w:bookmarkStart w:id="22" w:name="DQPErrorScope5756FCF4B74B2F1C86E686CCCF8"/>
      <w:r>
        <w:t>Os n.ºs 8 e 9 passam a ser os novos n.ºs 10 e 11.</w:t>
      </w:r>
      <w:bookmarkEnd w:id="22"/>
    </w:p>
    <w:p w14:paraId="134BA870" w14:textId="77777777" w:rsidR="002C5C85" w:rsidRPr="001355C5" w:rsidRDefault="002C5C85" w:rsidP="007068D4">
      <w:pPr>
        <w:pStyle w:val="NummerierungStufe1"/>
      </w:pPr>
      <w:r>
        <w:t>O artigo 3.º-A é alterado do seguinte modo:</w:t>
      </w:r>
    </w:p>
    <w:p w14:paraId="58898B35" w14:textId="77777777" w:rsidR="002C5C85" w:rsidRPr="001355C5" w:rsidRDefault="002C5C85" w:rsidP="008A1C13">
      <w:pPr>
        <w:pStyle w:val="NummerierungStufe2"/>
      </w:pPr>
      <w:r>
        <w:t>O n.º 4 tem a seguinte redação:</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A transmissão ao Departamento Federal de Política Criminal deve incluir:</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o conteúdo e, se disponível, a hora em que o conteúdo foi partilhado ou disponibilizado ao público, indicando o fuso horário subjacente,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as seguintes informações sobre o utilizador que partilhou o conteúdo com outros utilizadores ou o disponibilizou ao público:</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o nome do utilizador e,</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se disponível, o último endereço IP utilizado em relação ao fornecedor da rede social, incluindo o número da porta e a hora do último acesso, indicando o fuso horário subjacente.»</w:t>
      </w:r>
    </w:p>
    <w:p w14:paraId="60139EDD" w14:textId="77777777" w:rsidR="002C5C85" w:rsidRPr="001355C5" w:rsidRDefault="006945A0" w:rsidP="008A1C13">
      <w:pPr>
        <w:pStyle w:val="NummerierungStufe2"/>
      </w:pPr>
      <w:r>
        <w:t>É aditado um novo n.º 8 com a seguinte redação:</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As autoridades responsáveis pela aplicação da lei podem, para efeitos de um debate geral com os fornecedores de redes sociais sobre a aplicação dos n.ºs 1 a 7, tratar os dados pessoais necessários para esse efeito de forma pseudonimizada.»</w:t>
      </w:r>
    </w:p>
    <w:p w14:paraId="1EC0B3D6" w14:textId="77777777" w:rsidR="007068D4" w:rsidRPr="001355C5" w:rsidRDefault="003A6658" w:rsidP="007068D4">
      <w:pPr>
        <w:pStyle w:val="NummerierungStufe1"/>
      </w:pPr>
      <w:r>
        <w:lastRenderedPageBreak/>
        <w:t>Antes do artigo 4.º, são inseridos os seguintes artigos 3.º-B a 3.º-F:</w:t>
      </w:r>
    </w:p>
    <w:p w14:paraId="61BFE1F2" w14:textId="77777777" w:rsidR="007068D4" w:rsidRPr="001355C5" w:rsidRDefault="007068D4" w:rsidP="00E53355">
      <w:pPr>
        <w:pStyle w:val="RevisionParagraphBezeichnermanuell"/>
        <w:ind w:left="425" w:hanging="75"/>
        <w:rPr>
          <w:color w:val="auto"/>
        </w:rPr>
      </w:pPr>
      <w:r>
        <w:rPr>
          <w:color w:val="auto"/>
        </w:rPr>
        <w:t>«Artigo 3.º-B</w:t>
      </w:r>
    </w:p>
    <w:p w14:paraId="194BEC84" w14:textId="77777777" w:rsidR="00222B8C" w:rsidRPr="001355C5" w:rsidRDefault="00222B8C" w:rsidP="00E53355">
      <w:pPr>
        <w:pStyle w:val="RevisionParagraphberschrift"/>
        <w:ind w:left="425"/>
        <w:rPr>
          <w:color w:val="auto"/>
        </w:rPr>
      </w:pPr>
      <w:r>
        <w:rPr>
          <w:color w:val="auto"/>
        </w:rPr>
        <w:t>Processo de recurso</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O fornecedor de uma rede social deve manter um procedimento eficaz e transparente, em conformidade com o n.º 2, que permita ao queixoso e ao utilizador relativamente ao qual o conteúdo reclamado foi guardado reapreciar uma decisão de remover ou bloquear o acesso a um conteúdo (decisão inicial) tomada em resposta a uma queixa relativa a conteúdos ilegais; É aplicável uma exceção nos casos do artigo 3.º, n.º 2, primeira frase, ponto 3, alínea b).</w:t>
      </w:r>
      <w:bookmarkStart w:id="24" w:name="DQPErrorScope07558994FA2BBF877D1F8241434"/>
      <w:bookmarkEnd w:id="23"/>
      <w:r>
        <w:rPr>
          <w:color w:val="auto"/>
        </w:rPr>
        <w:t xml:space="preserve">A reapreciação só é necessária se o queixoso ou o utilizador relativamente ao qual o conteúdo contestado foi guardado apresentar um pedido de reapreciação, indicando os motivos, no prazo de duas semanas a contar da informação sobre a decisão inicial (recurso). Para este efeito, o fornecedor da rede social deve fornecer um procedimento facilmente reconhecível que permita um contacto eletrónico fácil e uma comunicação direta com ele. </w:t>
      </w:r>
      <w:bookmarkEnd w:id="24"/>
      <w:r>
        <w:rPr>
          <w:color w:val="auto"/>
        </w:rPr>
        <w:t>Os meios de contacto devem também ser abordados nas informações de acordo com o artigo 3.º, n.º 2, ponto 1, ponto 5, alínea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O procedimento previsto na primeira frase do n.º 1 deve assegurar que o fornecedor da rede social,</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no caso de pretender sanar o recurso, informar imediatamente o utilizador do conteúdo do recurso em caso de recurso pelo queixoso, informar imediatamente o queixoso do conteúdo do recurso em caso de recurso do utilizador e, no primeiro caso, dar-lhe a oportunidade de fazer uma declaração num prazo razoável,</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salienta que o conteúdo da declaração de um utilizador pode ser transmitido ao queixoso e que o conteúdo da declaração do queixoso pode ser transmitido ao utilizador,</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submete imediatamente a sua decisão inicial a uma reapreciação por uma pessoa que não esteve envolvida na decisão inicial,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comunica sem demora a sua decisão de reapreciação ao queixoso e ao utilizador e fundamenta-a caso a caso, nos casos em que o queixoso e o utilizador não intervenham, apenas na medida em que já tenham estado envolvidos no processo de recurso, e</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assegura que a identidade do queixoso e do utilizador não seja divulgada no procedimento.</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A menos que uma decisão de remover ou desativar o acesso aos conteúdos se baseie numa queixa relativa a conteúdos ilegais, aplicam-se, mutatis mutandis, os n.ºs 1 e 2. Se a decisão se basear numa queixa sobre o conteúdo apresentada por um terceiro, a pessoa que a transmitiu ao fornecedor da rede social substitui o queixoso. Em derrogação do n.º 2, ponto 3, não é necessário que a reapreciação seja efetuada por uma pessoa não envolvida na decisão inicial. </w:t>
      </w:r>
      <w:bookmarkStart w:id="25" w:name="DQPErrorScopeE57447843F5BAB62D772EAE93DA"/>
      <w:r>
        <w:rPr>
          <w:color w:val="auto"/>
        </w:rPr>
        <w:t>Em derrogação do n.º 1, segunda frase, a reapreciação nos termos da primeira frase não é necessária se o conteúdo for reconhecidamente comunicação comercial indesejável ou comunicação comercial que viole os termos e condições gerais do fornecedor, que tenha sido partilhado pelo utilizador com outros utilizadores num grande número de casos ou tenha sido disponibilizado ao público e o recurso não tenha, obviamente, qualquer perspetiva de êxito.</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lastRenderedPageBreak/>
        <w:t>O direito de intentar uma ação judicial não é afetado.</w:t>
      </w:r>
    </w:p>
    <w:p w14:paraId="61869D73" w14:textId="77777777" w:rsidR="004420C8" w:rsidRPr="001355C5" w:rsidRDefault="004420C8" w:rsidP="00E53355">
      <w:pPr>
        <w:pStyle w:val="RevisionParagraphBezeichnermanuell"/>
        <w:ind w:left="425"/>
        <w:rPr>
          <w:color w:val="auto"/>
        </w:rPr>
      </w:pPr>
      <w:r>
        <w:rPr>
          <w:color w:val="auto"/>
        </w:rPr>
        <w:t>Artigo 3.º-C</w:t>
      </w:r>
    </w:p>
    <w:p w14:paraId="04533C71" w14:textId="77777777" w:rsidR="002B001F" w:rsidRPr="001355C5" w:rsidRDefault="002B001F" w:rsidP="00E53355">
      <w:pPr>
        <w:pStyle w:val="RevisionParagraphberschrift"/>
        <w:ind w:left="425"/>
        <w:rPr>
          <w:color w:val="auto"/>
        </w:rPr>
      </w:pPr>
      <w:r>
        <w:rPr>
          <w:color w:val="auto"/>
        </w:rPr>
        <w:t>Arbitragem</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A autoridade administrativa referida no artigo 4.º pode reconhecer as organizações de direito privado como órgãos de arbitragem para a resolução extrajudicial de litígios entre queixosos ou utilizadores para os quais o conteúdo contestado tenha sido guardado e os fornecedores de redes sociais sobre decisões tomadas em conformidade com o artigo 3.º, n.º 2, primeira frase, pontos 1 a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Uma organização de direito privado deve ser reconhecida como organismo de arbitragem nos termos do n.º 1 se:</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o seu promotor é uma pessoa coletiva,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estabelecida num Estado-Membro da União Europeia ou noutro Estado parte no Acordo sobre o Espaço Económico Europeu ao qual se aplica a Diretiva 2010/13/UE,</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que se destina a ser permanente, e</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cujo financiamento é assegurado,</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a independência, a imparcialidade e os conhecimentos especializados daqueles que devem estar envolvidos na arbitragem são garantidos,</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o seu equipamento adequado e o tratamento atempado dos procedimentos de arbitragem são assegurados,</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tem regras de arbitragem que regulam os pormenores do procedimento de arbitragem e a sua competência e que permite um procedimento de arbitragem simples, barato, não vinculativo e justo em que o fornecedor da rede social, o queixoso e o utilizador para o qual o conteúdo contestado foi guardado podem participar,</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é assegurado que o público seja continuamente informado da disponibilidade e competência do órgão de arbitragem e do desenrolar do processo de arbitragem, incluindo as regras de arbitragem.</w:t>
      </w:r>
    </w:p>
    <w:p w14:paraId="4D53200C" w14:textId="77777777" w:rsidR="006432C7" w:rsidRPr="001355C5" w:rsidRDefault="006432C7" w:rsidP="00E53355">
      <w:pPr>
        <w:pStyle w:val="RevisionJuristischerAbsatzFolgeabsatz"/>
        <w:ind w:left="425"/>
        <w:rPr>
          <w:color w:val="auto"/>
        </w:rPr>
      </w:pPr>
      <w:r>
        <w:rPr>
          <w:color w:val="auto"/>
        </w:rPr>
        <w:t>A segunda e terceira frases do artigo 3.º, n.º 7 e os n.ºs 8 a 10 aplicam-se em conformidade.</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Os queixosos e os utilizadores para os quais o conteúdo contestado tenha sido guardado podem recorrer a um órgão de arbitragem dentro da sua área de competência se um procedimento de recurso nos termos do artigo 3.º-B tiver sido previamente realizado ou a decisão nos termos do artigo 3.º, n.º 6, ponto 3, tiver sido reapreciada e o fornecedor da rede social participar na arbitragem por este órgão de arbitragem, em geral ou em casos individuais. </w:t>
      </w:r>
      <w:bookmarkStart w:id="27" w:name="DQPErrorScopeFF0F7104CBD94FC2C8D85EC1C4F"/>
      <w:bookmarkEnd w:id="26"/>
      <w:r>
        <w:rPr>
          <w:color w:val="auto"/>
        </w:rPr>
        <w:t xml:space="preserve">Se o fornecedor participar na arbitragem, pode enviar ao órgão de arbitragem o conteúdo contestado, informações </w:t>
      </w:r>
      <w:r>
        <w:rPr>
          <w:rStyle w:val="RevisionText"/>
          <w:color w:val="auto"/>
        </w:rPr>
        <w:t>sobre o momento da partilha ou fornecimento do conteúdo e a extensão da divulgação</w:t>
      </w:r>
      <w:r>
        <w:rPr>
          <w:color w:val="auto"/>
        </w:rPr>
        <w:t xml:space="preserve">, bem como conteúdos em conexão reconhecível com o conteúdo, se tal for necessário para o procedimento de arbitragem: Em caso de recurso para o órgão de arbitragem pelo queixoso, os dados de contacto do utilizador para o qual o conteúdo contestado foi guardado podem ser transmitidos e, em caso de recurso para o órgão de arbitragem </w:t>
      </w:r>
      <w:r>
        <w:rPr>
          <w:color w:val="auto"/>
        </w:rPr>
        <w:lastRenderedPageBreak/>
        <w:t xml:space="preserve">pelo utilizador para o qual o conteúdo contestado foi guardado, os dados de contacto do queixoso também podem ser transmitidos. </w:t>
      </w:r>
      <w:bookmarkEnd w:id="27"/>
      <w:r>
        <w:rPr>
          <w:rStyle w:val="RevisionText"/>
          <w:color w:val="auto"/>
        </w:rPr>
        <w:t>O organismo de arbitragem está autorizado a tratar os dados pessoais relevantes, se tal for necessário para o procedimento de arbitragem; Exclui-se a divulgação dos dados pessoais do queixoso e do utilizador para o qual o conteúdo contestado foi guardado.</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A participação em procedimentos de arbitragem é voluntária. O direito de recurso para os tribunais não é afetado. A </w:t>
      </w:r>
      <w:bookmarkStart w:id="28" w:name="DQPErrorScopeCA95913401EB617EF752D152E14"/>
      <w:r>
        <w:rPr>
          <w:color w:val="auto"/>
        </w:rPr>
        <w:t>lei relativa à resolução de litígios dos consumidores</w:t>
      </w:r>
      <w:bookmarkEnd w:id="28"/>
      <w:r>
        <w:rPr>
          <w:color w:val="auto"/>
        </w:rPr>
        <w:t xml:space="preserve"> de 19 de fevereiro de 2016 (DO Federal I, p. 254, 1039), com a redação que lhe foi dada pelo artigo 1.º da lei de 30 de novembro de 2019 (DO Federal I, p. 1942), não é aplicável.</w:t>
      </w:r>
    </w:p>
    <w:p w14:paraId="3F8F1C63" w14:textId="77777777" w:rsidR="000125D5" w:rsidRPr="002D1297" w:rsidRDefault="000125D5" w:rsidP="00E53355">
      <w:pPr>
        <w:pStyle w:val="RevisionParagraphBezeichnermanuell"/>
        <w:ind w:left="425"/>
        <w:rPr>
          <w:color w:val="auto"/>
        </w:rPr>
      </w:pPr>
      <w:r>
        <w:rPr>
          <w:color w:val="auto"/>
        </w:rPr>
        <w:t>Artigo 3.º-D</w:t>
      </w:r>
    </w:p>
    <w:p w14:paraId="7040D56F" w14:textId="77777777" w:rsidR="000125D5" w:rsidRPr="001355C5" w:rsidRDefault="006D22CC" w:rsidP="00E53355">
      <w:pPr>
        <w:pStyle w:val="RevisionParagraphberschrift"/>
        <w:ind w:left="425"/>
        <w:rPr>
          <w:color w:val="auto"/>
        </w:rPr>
      </w:pPr>
      <w:r>
        <w:rPr>
          <w:color w:val="auto"/>
        </w:rPr>
        <w:t>Definições para serviços de plataforma de partilha de vídeos</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Para efeitos da presente lei:</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entende-se por serviços de plataforma de partilha de vídeos:</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a telemédia, cujo objetivo principal ou função importante é colocar à disposição do público em geral emissões ou vídeos gerados pelo utilizador relativamente aos quais o prestador de serviços não tenha qualquer responsabilidade editorial, em que o prestador de serviços determine a organização das emissões ou dos vídeos gerados pelo utilizador, incluindo por meios automáticos,</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partes separáveis de telemédia, se a parte separável tiver a finalidade principal especificada na alínea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um vídeo gerado pelo utilizador é uma sequência de imagens em movimento, com ou sem som, criada por um utilizador que, independentemente do seu comprimento, constitui parte integrante e que é carregada num serviço de plataforma de partilha de vídeos por este ou por outro utilizador,</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uma emissão é uma sequência de imagens em movimento, com ou sem som que, independentemente da sua duração, faz parte integrante de um plano ou catálogo de radiodifusão criado por um prestador de serviços,</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um Estado-Membro é qualquer Estado-Membro da União Europeia e qualquer outro Estado parte no Acordo sobre o Espaço Económico Europeu ao qual se aplica a Diretiva 2010/13/UE,</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uma sociedade-mãe é uma empresa que controla uma ou mais filiais,</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uma filial é uma empresa que é direta ou indiretamente controlada por uma sociedade-mãe,</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um grupo é a totalidade de uma sociedade-mãe, de todas as suas filiais e de todas as outras empresas que estejam económica e legalmente associadas à sociedade-mãe e às suas filiais.</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 xml:space="preserve">Para efeitos da presente lei, o domicílio de um prestador de serviços de plataforma de partilha de vídeos é o Estado-Membro em cujo território o prestador está estabelecido. Se um prestador de serviços de plataformas de partilha de vídeos não </w:t>
      </w:r>
      <w:r>
        <w:rPr>
          <w:color w:val="auto"/>
        </w:rPr>
        <w:lastRenderedPageBreak/>
        <w:t>estiver estabelecido no território de um Estado-Membro, o Estado-Membro é o país do domicílio em cujo território:</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uma sociedade-mãe ou uma filial do prestador, ou</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outra empresa de um grupo do qual o prestador faz parte,</w:t>
      </w:r>
    </w:p>
    <w:p w14:paraId="3AC701E4" w14:textId="77777777" w:rsidR="00494DCB" w:rsidRPr="001355C5" w:rsidRDefault="00A76F3C" w:rsidP="00E53355">
      <w:pPr>
        <w:pStyle w:val="RevisionJuristischerAbsatzFolgeabsatz"/>
        <w:ind w:left="425"/>
        <w:rPr>
          <w:color w:val="auto"/>
        </w:rPr>
      </w:pPr>
      <w:r>
        <w:rPr>
          <w:color w:val="auto"/>
        </w:rPr>
        <w:t>está estabelecida.</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Se, nos casos referidos no n.º 2, segunda frase, a sociedade-mãe, a filial ou as outras sociedades do grupo estiverem estabelecidas em Estados-Membros diferentes, considera-se que o prestador está estabelecido no Estado-Membro em que a sociedade-mãe está estabelecida ou, na falta de tal estabelecimento, considera-se que está estabelecido no Estado-Membro em que a sua filial está estabelecida ou, na falta desse estabelecimento, no Estado-Membro em que a outra sociedade do grupo está estabelecida. </w:t>
      </w:r>
      <w:bookmarkEnd w:id="29"/>
      <w:r>
        <w:rPr>
          <w:color w:val="auto"/>
        </w:rPr>
        <w:t>Se houver várias filiais e cada uma dessas filiais estiver estabelecida num Estado-Membro diferente, considera-se que o prestador está estabelecido no Estado-Membro em que uma das filiais iniciou a sua atividade em primeiro lugar, desde que a filial esteja permanente e factualmente ligada à economia desse Estado-Membro. Se existirem várias outras empresas que fazem parte do grupo, cada uma das quais está estabelecida num Estado-Membro diferente, considera-se que o prestador está estabelecido no Estado-Membro em que uma dessas sociedades começou pela primeira vez, desde que exista uma ligação permanente e factual com a economia desse Estado-Membro.</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Em caso de litígio entre a autoridade administrativa referida no artigo 4.º e uma autoridade de outro Estado-Membro sobre qual Estado-Membro é considerado o domicílio de um prestador de serviços de plataforma de partilha de vídeos, a autoridade administrativa referida no artigo 4.º deve informar imediatamente a Comissão Europeia.</w:t>
      </w:r>
    </w:p>
    <w:p w14:paraId="65B64238" w14:textId="77777777" w:rsidR="000A5E86" w:rsidRPr="001355C5" w:rsidRDefault="000A5E86" w:rsidP="00E53355">
      <w:pPr>
        <w:pStyle w:val="RevisionParagraphBezeichnermanuell"/>
        <w:ind w:left="425"/>
        <w:rPr>
          <w:color w:val="auto"/>
        </w:rPr>
      </w:pPr>
      <w:r>
        <w:rPr>
          <w:color w:val="auto"/>
        </w:rPr>
        <w:t>Artigo 3.º-E</w:t>
      </w:r>
    </w:p>
    <w:p w14:paraId="1C1753AF" w14:textId="77777777" w:rsidR="000A5E86" w:rsidRPr="001355C5" w:rsidRDefault="00092488" w:rsidP="00E53355">
      <w:pPr>
        <w:pStyle w:val="RevisionParagraphberschrift"/>
        <w:ind w:left="425"/>
        <w:rPr>
          <w:color w:val="auto"/>
        </w:rPr>
      </w:pPr>
      <w:r>
        <w:rPr>
          <w:color w:val="auto"/>
        </w:rPr>
        <w:t>Disposições aplicáveis aos serviços de plataformas de partilha de vídeos</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A presente lei aplica-se aos prestadores de serviços de plataformas de partilha de vídeos, salvo disposição em contrário dos n.ºs 2 e 3.</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Para os prestadores de serviços de plataforma de partilha de vídeos que tenham menos de dois milhões de utilizadores registados na Alemanha, a presente lei só é aplicável se a República Federal da Alemanha for o país de domicílio ou for considerada o país de domicílio nos termos do artigo 3.º-D, n.º 2 e 3. A presente lei aplica-se apenas aos vídeos gerados pelo utilizador e às transmissões em conformidade com o artigo 3.º-D, n.º 1, pontos 2 e 3, que tenham conteúdos que preencham os critérios de infração definidos nos artigos 111.º, 130.º, n.º 1 ou 2, artigos 131.º, 140.º, 166.º ou 184.º-B do Código Penal e não se justifiquem. Em derrogação do artigo 1.º, n.º 2, estes prestadores de serviços de plataforma de partilha de vídeos estão isentos das obrigações previstas no artigo 2.º, artigo 3.º, n.º 2, primeira frase, pontos 3 e 4, bem como no n.º 4 e no artigo 3.º-A.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No que diz respeito aos vídeos e emissões gerados pelo utilizador mencionados no n.º 2, segunda frase, as obrigações previstas nos artigos 2.º, 3.º e 3.º-B aplicam-se apenas aos prestadores de serviços de plataforma de partilha de vídeos relativamente aos quais um Estado-Membro diferente da República Federal da Alemanha é ou é considerado o país de domicílio nos termos do artigo 3.º-D, n.ºs 2 e 3, com base e no âmbito de uma ordem da autoridade referida no artigo 4.º. </w:t>
      </w:r>
      <w:bookmarkStart w:id="31" w:name="DQPErrorScopeBDF1949485EA6F0E446600D58EB"/>
      <w:bookmarkEnd w:id="30"/>
      <w:r>
        <w:rPr>
          <w:color w:val="auto"/>
        </w:rPr>
        <w:t xml:space="preserve">O </w:t>
      </w:r>
      <w:r>
        <w:rPr>
          <w:color w:val="auto"/>
        </w:rPr>
        <w:lastRenderedPageBreak/>
        <w:t xml:space="preserve">despacho só pode ser emitido na medida em que as condições previstas no artigo 3.º, n.º 5, da Lei de Telemédia de 26 de fevereiro de 2007 (DO Federal I, p. 179), com a última redação que lhe foi dada pelo artigo 12.º da lei de 30 de março de 2021 (DO Federal I, p. 448), estejam preenchidas na versão em vigor e em conformidade com as diligências processuais exigidas em conformidade. </w:t>
      </w:r>
      <w:bookmarkEnd w:id="31"/>
      <w:r>
        <w:rPr>
          <w:color w:val="auto"/>
        </w:rPr>
        <w:t>A autoridade administrativa referida no artigo 4.º pode incumbir um organismo de verificar se estão preenchidas as condições previstas no artigo 3.º, n.º 5, primeira frase, da Lei de Telemédia.</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Se a presente lei for aplicável ao prestador de um serviço de plataforma de partilha de vídeos, em conformidade com os n.ºs 1 a 3, no que diz respeito aos vídeos gerados pelo utilizador e às emissões a que se refere o n.º 2, segunda frase, será obrigado a chegar a um acordo efetivo com os seus utilizadores no sentido de que é proibida a distribuição dos vídeos e emissões gerados pelos utilizadores referidos no n.º 2, segunda frase.</w:t>
      </w:r>
      <w:bookmarkEnd w:id="32"/>
    </w:p>
    <w:p w14:paraId="55AC470D" w14:textId="77777777" w:rsidR="007418C8" w:rsidRPr="001355C5" w:rsidRDefault="007418C8" w:rsidP="00E53355">
      <w:pPr>
        <w:pStyle w:val="RevisionParagraphBezeichnermanuell"/>
        <w:ind w:left="425"/>
        <w:rPr>
          <w:color w:val="auto"/>
        </w:rPr>
      </w:pPr>
      <w:r>
        <w:rPr>
          <w:color w:val="auto"/>
        </w:rPr>
        <w:t>Artigo 3.º-F</w:t>
      </w:r>
    </w:p>
    <w:p w14:paraId="4D2E9790" w14:textId="77777777" w:rsidR="007418C8" w:rsidRPr="001355C5" w:rsidRDefault="007418C8" w:rsidP="00E53355">
      <w:pPr>
        <w:pStyle w:val="RevisionParagraphberschrift"/>
        <w:ind w:left="425"/>
        <w:rPr>
          <w:color w:val="auto"/>
        </w:rPr>
      </w:pPr>
      <w:r>
        <w:rPr>
          <w:color w:val="auto"/>
        </w:rPr>
        <w:t>Arbitragem oficial para litígios com serviços de plataforma de partilha de vídeos</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É criado um órgão de arbitragem oficial junto da autoridade administrativa mencionada no artigo 4.º. </w:t>
      </w:r>
      <w:bookmarkStart w:id="33" w:name="DQPErrorScopeE92CF804F62B9CE832E9F29632C"/>
      <w:r>
        <w:rPr>
          <w:color w:val="auto"/>
        </w:rPr>
        <w:t xml:space="preserve">O órgão oficial de arbitragem existe para a resolução extrajudicial de litígios com prestadores de serviços de plataforma de partilha de vídeos no que diz respeito às decisões previstas no artigo 3.º, n.º 2, primeira frase, pontos 1 a 3, relativas à presença de vídeos gerados pelo utilizador e emissões que tenham conteúdos que preencham os critérios de infração especificados no artigo 3.º-E, n.º 2, segunda frase. </w:t>
      </w:r>
      <w:bookmarkStart w:id="34" w:name="DQPErrorScope36716444AD4BE67878A909DAB58"/>
      <w:bookmarkEnd w:id="33"/>
      <w:r>
        <w:rPr>
          <w:color w:val="auto"/>
        </w:rPr>
        <w:t>O órgão oficial de arbitragem só é responsável por litígios com prestadores de serviços de plataforma de partilha de vídeos em que a República Federal da Alemanha é, ou é considerada, o país de domicílio em conformidade com o artigo 3.º-D, n.º 2, e apenas se o prestador não participar em procedimentos de arbitragem por um órgão de arbitragem reconhecido nos termos do artigo 3.º-C, n.º 1, ou se nenhuma organização de direito privado for reconhecida como órgão de arbitragem nos termos do artigo 3.º-C, n.º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Os requisitos do artigo 3.º-C, n.º 2, primeira frase, pontos 2 a 5, bem como o artigo 3.º, n.º 9, e o artigo 3.º-C, n.ºs 3 e 4, aplicam-se ao órgão de arbitragem oficial em conformidade.</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O organismo oficial de arbitragem pode cobrar taxas pela condução do procedimento de arbitragem, que devem ser especificadas nas suas regras de arbitragem.»</w:t>
      </w:r>
    </w:p>
    <w:p w14:paraId="1C58FB43" w14:textId="77777777" w:rsidR="007068D4" w:rsidRPr="001355C5" w:rsidRDefault="009545A0" w:rsidP="007068D4">
      <w:pPr>
        <w:pStyle w:val="NummerierungStufe1"/>
      </w:pPr>
      <w:r>
        <w:t>O artigo</w:t>
      </w:r>
      <w:bookmarkStart w:id="35" w:name="eNV_C9F55B4BE97741478F2249B607AE3168_1"/>
      <w:bookmarkEnd w:id="35"/>
      <w:r>
        <w:t>4.º é alterado do seguinte modo:</w:t>
      </w:r>
    </w:p>
    <w:p w14:paraId="1CAC0552" w14:textId="77777777" w:rsidR="005468C2" w:rsidRPr="001355C5" w:rsidRDefault="005468C2" w:rsidP="009545A0">
      <w:pPr>
        <w:pStyle w:val="NummerierungStufe2"/>
      </w:pPr>
      <w:r>
        <w:t>O n.º 1 é alterado do seguinte modo:</w:t>
      </w:r>
    </w:p>
    <w:p w14:paraId="0E54D550" w14:textId="77777777" w:rsidR="00CA1C39" w:rsidRPr="001355C5" w:rsidRDefault="00CA1C39" w:rsidP="00CA1C39">
      <w:pPr>
        <w:pStyle w:val="NummerierungStufe3"/>
      </w:pPr>
      <w:r>
        <w:t xml:space="preserve">No ponto 2, as palavras </w:t>
      </w:r>
      <w:r>
        <w:rPr>
          <w:rStyle w:val="RevisionText"/>
          <w:color w:val="auto"/>
        </w:rPr>
        <w:t>«ou artigo 3.º-B, n.º 1, primeira frase»</w:t>
      </w:r>
      <w:r>
        <w:t xml:space="preserve"> são inseridas após as palavras </w:t>
      </w:r>
      <w:r>
        <w:rPr>
          <w:rStyle w:val="RevisionText"/>
          <w:color w:val="auto"/>
        </w:rPr>
        <w:t>«primeira frase»</w:t>
      </w:r>
      <w:r>
        <w:t xml:space="preserve"> e as palavras </w:t>
      </w:r>
      <w:r>
        <w:rPr>
          <w:rStyle w:val="RevisionText"/>
          <w:color w:val="auto"/>
        </w:rPr>
        <w:t>«ou para uma reapreciação de uma decisão»</w:t>
      </w:r>
      <w:r>
        <w:t xml:space="preserve"> são inseridas após a palavra </w:t>
      </w:r>
      <w:r>
        <w:rPr>
          <w:rStyle w:val="RevisionText"/>
          <w:color w:val="auto"/>
        </w:rPr>
        <w:t>«tem»</w:t>
      </w:r>
      <w:r>
        <w:t>.</w:t>
      </w:r>
    </w:p>
    <w:p w14:paraId="67880C37" w14:textId="77777777" w:rsidR="00E94ACD" w:rsidRPr="001355C5" w:rsidRDefault="00E94ACD" w:rsidP="00092488">
      <w:pPr>
        <w:pStyle w:val="NummerierungStufe3"/>
      </w:pPr>
      <w:r>
        <w:t xml:space="preserve">No ponto 3, as palavras </w:t>
      </w:r>
      <w:r>
        <w:rPr>
          <w:rStyle w:val="RevisionText"/>
          <w:color w:val="auto"/>
        </w:rPr>
        <w:t>«ou artigo 3.º-B, n.º 1, terceira frase»</w:t>
      </w:r>
      <w:r>
        <w:t xml:space="preserve"> são inseridas após as palavras </w:t>
      </w:r>
      <w:r>
        <w:rPr>
          <w:rStyle w:val="RevisionText"/>
          <w:color w:val="auto"/>
        </w:rPr>
        <w:t>«segunda frase»</w:t>
      </w:r>
      <w:r>
        <w:t>.</w:t>
      </w:r>
    </w:p>
    <w:p w14:paraId="694995FC" w14:textId="77777777" w:rsidR="005468C2" w:rsidRPr="001355C5" w:rsidRDefault="005468C2" w:rsidP="00092488">
      <w:pPr>
        <w:pStyle w:val="NummerierungStufe3"/>
      </w:pPr>
      <w:bookmarkStart w:id="36" w:name="DQPErrorScopeE72DC994AA48B802F2C16A30F0D"/>
      <w:r>
        <w:t>O ponto 6-A passa a ser o ponto 7.</w:t>
      </w:r>
      <w:bookmarkEnd w:id="36"/>
    </w:p>
    <w:p w14:paraId="470BD5FD" w14:textId="77777777" w:rsidR="005468C2" w:rsidRPr="001355C5" w:rsidRDefault="005468C2" w:rsidP="00092488">
      <w:pPr>
        <w:pStyle w:val="NummerierungStufe3"/>
      </w:pPr>
      <w:bookmarkStart w:id="37" w:name="DQPErrorScopeCB774C2457AB3DE6B781A62FB20"/>
      <w:r>
        <w:t>Os pontos 7 e 8 anteriores passam a ser os novos pontos 8 e 9.</w:t>
      </w:r>
      <w:bookmarkEnd w:id="37"/>
    </w:p>
    <w:p w14:paraId="2C1D24E7" w14:textId="77777777" w:rsidR="000E1AD4" w:rsidRPr="001355C5" w:rsidRDefault="000E1AD4" w:rsidP="009545A0">
      <w:pPr>
        <w:pStyle w:val="NummerierungStufe2"/>
      </w:pPr>
      <w:r>
        <w:lastRenderedPageBreak/>
        <w:t xml:space="preserve">No n.º 2, ponto 1, as palavras </w:t>
      </w:r>
      <w:r>
        <w:rPr>
          <w:rStyle w:val="RevisionText"/>
          <w:color w:val="auto"/>
        </w:rPr>
        <w:t>«pontos 7 e 8»</w:t>
      </w:r>
      <w:r>
        <w:t xml:space="preserve"> são substituídas pelas palavras </w:t>
      </w:r>
      <w:r>
        <w:rPr>
          <w:rStyle w:val="RevisionText"/>
          <w:color w:val="auto"/>
        </w:rPr>
        <w:t>«pontos 8 e 9»</w:t>
      </w:r>
      <w:r>
        <w:t>.</w:t>
      </w:r>
    </w:p>
    <w:p w14:paraId="751D6B29" w14:textId="77777777" w:rsidR="00AD2CA4" w:rsidRPr="001355C5" w:rsidRDefault="00AD2CA4" w:rsidP="00AD2CA4">
      <w:pPr>
        <w:pStyle w:val="NummerierungStufe1"/>
      </w:pPr>
      <w:bookmarkStart w:id="38" w:name="eNV_E6DE02647D4D48EA8EC2D351BB8C0943_1"/>
      <w:bookmarkEnd w:id="38"/>
      <w:r>
        <w:t>A seguir ao artigo 4.º, é inserido o seguinte artigo 4.º-A:</w:t>
      </w:r>
    </w:p>
    <w:p w14:paraId="04A4FB69" w14:textId="77777777" w:rsidR="00AD2CA4" w:rsidRPr="001355C5" w:rsidRDefault="00AD2CA4" w:rsidP="00E53355">
      <w:pPr>
        <w:pStyle w:val="RevisionParagraphBezeichnermanuell"/>
        <w:ind w:left="425" w:hanging="75"/>
        <w:rPr>
          <w:color w:val="auto"/>
        </w:rPr>
      </w:pPr>
      <w:r>
        <w:rPr>
          <w:color w:val="auto"/>
        </w:rPr>
        <w:t>«Artigo 4.º-A</w:t>
      </w:r>
    </w:p>
    <w:p w14:paraId="484D93D5" w14:textId="77777777" w:rsidR="00AD2CA4" w:rsidRPr="001355C5" w:rsidRDefault="00AD2CA4" w:rsidP="00E53355">
      <w:pPr>
        <w:pStyle w:val="RevisionParagraphberschrift"/>
        <w:ind w:left="425"/>
        <w:rPr>
          <w:color w:val="auto"/>
        </w:rPr>
      </w:pPr>
      <w:r>
        <w:rPr>
          <w:color w:val="auto"/>
        </w:rPr>
        <w:t>Supervisão</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A autoridade administrativa referida no artigo 4.º deve controlar o cumprimento das disposições da presente lei.</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Se a autoridade administrativa referida no artigo 4.º determinar que um fornecedor de redes sociais violou ou está a violar as disposições da presente lei, tomará as medidas necessárias contra o fornecedor. Em especial, pode exigir que o prestador corrija a infração. O artigo 4.º, n.º 5, aplica-se mutatis mutandis, com a ressalva de que o tribunal que decidir sobre a oposição a uma coima administrativa é competente.</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No procedimento administrativo previsto no n.º 2, o fornecedor da rede social deve fornecer à autoridade administrativa referida no artigo 4.º, a seu pedido, informações sobre as medidas tomadas para aplicar a presente lei, o número de utilizadores registados na Alemanha e as queixas relativas a conteúdos ilegais recebidas no ano civil anterior; os representantes do prestador, bem como no caso de entidades jurídicas, sociedades e associações não constituídas em sociedade, as pessoas designadas por lei ou os estatutos, são obrigados a divulgar as informações solicitadas em nome da sociedade. </w:t>
      </w:r>
      <w:bookmarkEnd w:id="39"/>
      <w:r>
        <w:rPr>
          <w:color w:val="auto"/>
        </w:rPr>
        <w:t>O pedido de informações deve ser proporcionado. Se as pessoas singulares forem obrigadas a cooperar em conformidade com a primeira frase, devem também divulgar factos que possam dar origem a uma ação penal por infração penal ou contraordenação se, de outro modo, for difícil ou improvável obter as informações. No entanto, as informações prestadas por uma pessoa singular nos termos da primeira frase só podem ser utilizadas em processos penais ou em processos nos termos do Código de Contraordenação contra essa pessoa ou um dos familiares especificados no artigo 383.º, n.º 1, pontos 1 a 3, do Código de Processo Civil, com o consentimento dessa pessoa. As informações fornecidas em conformidade com a primeira frase só podem ser utilizadas contra o prestador no âmbito de um processo de fixação de uma coima nos termos do artigo 30.º do Código das Contraordenações, com o consentimento do prestador ou da pessoa que prestou as informações em consequência da sua obrigação nos termos da primeira frase.</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As testemunhas são obrigadas a depor no procedimento administrativo previsto no n.º 2. A testemunha pode recusar-se a divulgar em caso de questões que, em caso de resposta, coloquem a própria testemunha ou um dos familiares descritos no artigo 383.º, n.ºs 1, pontos 1 a 3, do Código de Processo Civil em risco de ação penal ou de ação judicial nos termos do Código de Infrações Administrativas. Caso contrário, aplicam-se em conformidade as disposições do Código de Processo Civil relativas à obrigação de testemunhar. A autoridade administrativa referida no artigo 4.º deve informar a testemunha do seu direito de se recusar a depor antes da audiência.»</w:t>
      </w:r>
    </w:p>
    <w:p w14:paraId="4340EFAD" w14:textId="77777777" w:rsidR="00AD2CA4" w:rsidRPr="001355C5" w:rsidRDefault="00AD2CA4" w:rsidP="006945A0">
      <w:pPr>
        <w:pStyle w:val="NummerierungStufe1"/>
      </w:pPr>
      <w:bookmarkStart w:id="40" w:name="eNV_04FF9BB8F8AA4AA7A9BF1B042E4A5062_1"/>
      <w:bookmarkEnd w:id="40"/>
      <w:r>
        <w:t xml:space="preserve"> O artigo 5.º é alterado do seguinte modo:</w:t>
      </w:r>
    </w:p>
    <w:p w14:paraId="2D379F88" w14:textId="77777777" w:rsidR="00AD2CA4" w:rsidRPr="001355C5" w:rsidRDefault="00AD2CA4" w:rsidP="00AD2CA4">
      <w:pPr>
        <w:pStyle w:val="NummerierungStufe2"/>
      </w:pPr>
      <w:bookmarkStart w:id="41" w:name="eNV_FE6D31F203874E4C8EEC616DEBA99F3C_1"/>
      <w:bookmarkEnd w:id="41"/>
      <w:r>
        <w:t>A segunda e terceira frases do n.º 1 passam a ter a seguinte redação:</w:t>
      </w:r>
    </w:p>
    <w:p w14:paraId="49EFFC86" w14:textId="77777777" w:rsidR="00AA3DB5" w:rsidRPr="001355C5" w:rsidRDefault="00AA3DB5" w:rsidP="00E53355">
      <w:pPr>
        <w:pStyle w:val="RevisionJuristischerAbsatzFolgeabsatz"/>
        <w:ind w:left="850"/>
        <w:rPr>
          <w:bCs/>
          <w:color w:val="auto"/>
        </w:rPr>
      </w:pPr>
      <w:r>
        <w:rPr>
          <w:color w:val="auto"/>
        </w:rPr>
        <w:t xml:space="preserve">«Podem ser-lhes entregues no âmbito de processos em matéria de coimas e de fiscalização, nos termos dos artigos 4.º e 4.º-A, ou em processos judiciais perante </w:t>
      </w:r>
      <w:r>
        <w:rPr>
          <w:color w:val="auto"/>
        </w:rPr>
        <w:lastRenderedPageBreak/>
        <w:t>os tribunais alemães, com base na divulgação ou aceitação injustificada da difusão de conteúdos ilegais, nomeadamente nos casos em que é solicitada a reintegração de conteúdos removidos ou bloqueados. O mesmo se aplica à entrega de documentos que dão início a esse processo, à emissão de decisões judiciais definitivas e a entregas em processos de execução ou execução.»</w:t>
      </w:r>
    </w:p>
    <w:p w14:paraId="16B76B89" w14:textId="77777777" w:rsidR="00AA3DB5" w:rsidRPr="001355C5" w:rsidRDefault="00AA3DB5" w:rsidP="00AA3DB5">
      <w:pPr>
        <w:pStyle w:val="NummerierungStufe2"/>
      </w:pPr>
      <w:bookmarkStart w:id="42" w:name="eNV_9291AE4B799844E98739D68DE9F55F7C_1"/>
      <w:bookmarkEnd w:id="42"/>
      <w:r>
        <w:t>O n.º 2 é alterado do seguinte modo:</w:t>
      </w:r>
    </w:p>
    <w:p w14:paraId="15A52BDB" w14:textId="77777777" w:rsidR="00AA3DB5" w:rsidRPr="001355C5" w:rsidRDefault="00AA3DB5" w:rsidP="00AA3DB5">
      <w:pPr>
        <w:pStyle w:val="NummerierungStufe3"/>
      </w:pPr>
      <w:bookmarkStart w:id="43" w:name="eNV_C9EC0596544E46D7A0B4712CAE7C00B0_1"/>
      <w:bookmarkEnd w:id="43"/>
      <w:r>
        <w:t xml:space="preserve">Na frase 1, as palavras </w:t>
      </w:r>
      <w:r>
        <w:rPr>
          <w:rStyle w:val="RevisionText"/>
          <w:color w:val="auto"/>
        </w:rPr>
        <w:t>«para a autoridade administrativa referida no artigo 4.º»</w:t>
      </w:r>
      <w:r>
        <w:t xml:space="preserve"> são inseridas após a palavra </w:t>
      </w:r>
      <w:r>
        <w:rPr>
          <w:rStyle w:val="RevisionText"/>
          <w:color w:val="auto"/>
        </w:rPr>
        <w:t>«doméstico»</w:t>
      </w:r>
      <w:r>
        <w:t>.</w:t>
      </w:r>
    </w:p>
    <w:p w14:paraId="7C90362A" w14:textId="77777777" w:rsidR="00AA3DB5" w:rsidRPr="001355C5" w:rsidRDefault="00CE291E" w:rsidP="00AA3DB5">
      <w:pPr>
        <w:pStyle w:val="NummerierungStufe3"/>
      </w:pPr>
      <w:bookmarkStart w:id="44" w:name="eNV_CD5A7E96D5134342A11A35189CB5E6D5_1"/>
      <w:bookmarkEnd w:id="44"/>
      <w:r>
        <w:t>São aditadas as seguintes frases:</w:t>
      </w:r>
    </w:p>
    <w:p w14:paraId="437ADFA5" w14:textId="77777777" w:rsidR="00F86A78" w:rsidRPr="001355C5" w:rsidRDefault="00AA3DB5" w:rsidP="00E53355">
      <w:pPr>
        <w:pStyle w:val="RevisionJuristischerAbsatzFolgeabsatz"/>
        <w:ind w:left="1276"/>
        <w:rPr>
          <w:bCs/>
          <w:color w:val="auto"/>
        </w:rPr>
      </w:pPr>
      <w:r>
        <w:rPr>
          <w:color w:val="auto"/>
        </w:rPr>
        <w:t>«A autoridade administrativa referida no artigo 4.º mantém uma lista dos destinatários autorizados. A pedido das autoridades nacionais responsáveis pela aplicação da lei, deve fornecer informações a esse respeito.»</w:t>
      </w:r>
    </w:p>
    <w:p w14:paraId="5BE2967B" w14:textId="77777777" w:rsidR="000235A5" w:rsidRPr="001355C5" w:rsidRDefault="000235A5" w:rsidP="008A1C13">
      <w:pPr>
        <w:pStyle w:val="NummerierungStufe1"/>
      </w:pPr>
      <w:r>
        <w:t>Após o artigo 5.º, é aditado o seguinte artigo 5.º-A:</w:t>
      </w:r>
    </w:p>
    <w:p w14:paraId="1EB3C8D9" w14:textId="77777777" w:rsidR="000235A5" w:rsidRPr="001355C5" w:rsidRDefault="000235A5" w:rsidP="000235A5">
      <w:pPr>
        <w:pStyle w:val="RevisionParagraphBezeichnermanuell"/>
        <w:ind w:left="425" w:hanging="75"/>
        <w:rPr>
          <w:color w:val="auto"/>
        </w:rPr>
      </w:pPr>
      <w:r>
        <w:rPr>
          <w:color w:val="auto"/>
        </w:rPr>
        <w:t>“Artigo 5.º-A</w:t>
      </w:r>
    </w:p>
    <w:p w14:paraId="722CF057" w14:textId="77777777" w:rsidR="000235A5" w:rsidRPr="001355C5" w:rsidRDefault="000235A5" w:rsidP="000235A5">
      <w:pPr>
        <w:pStyle w:val="RevisionParagraphberschrift"/>
        <w:ind w:left="425"/>
        <w:rPr>
          <w:color w:val="auto"/>
        </w:rPr>
      </w:pPr>
      <w:r>
        <w:rPr>
          <w:color w:val="auto"/>
        </w:rPr>
        <w:t>Informações para a investigação científica</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Na aceção da presente disposição, por investigador entende-se qualquer pessoa singular ou coletiva que realize investigação científica.</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Um investigador pode solicitar informações qualificadas a um fornecedor de redes sociais sobre</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a utilização e o funcionamento concreto de procedimentos de deteção automatizada de conteúdos que devam ser removidos ou bloqueados, em particular a natureza e o âmbito das tecnologias utilizadas e os objetivos, critérios e parâmetros para a sua programação, bem como os dados utilizados;</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a divulgação de conteúdos que tenham sido objeto de queixas sobre conteúdos ilegais ou que tenham sido removidos ou bloqueados pelo fornecedor, em particular os conteúdos relevantes, bem como informações sobre que utilizadores interagiram com os conteúdos e de que forma.</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As informações nos termos do n.º 2 só podem ser solicitadas na medida em que sejam necessárias para projetos de investigação científica de interesse público sobre a natureza, o âmbito, as causas e os efeitos da comunicação pública em redes sociais e a abordagem adotada pelos fornecedores a esse respeito.</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A prestação de informações só pode ter lugar se o investigador apresentar um plano de proteção ao fornecedor da rede social. O conceito de proteção inclui:</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uma descrição das informações necessárias para os fins de investigação nos termos do n.º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uma descrição da utilização prevista das informações,</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uma descrição das precauções tomadas para evitar que as informações sejam utilizadas para outros fins,</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uma descrição das precauções destinadas a proteger os interesses legítimos do fornecedor, e</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uma descrição das medidas técnicas e organizacionais tomadas para assegurar a proteção dos dados pessoais.</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O fornecedor de uma rede social pode recusar-se a prestar informações se:</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os seus interesses legítimos superarem consideravelmente o interesse público na investigação; ou</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os interesses legítimos das pessoas em causa forem prejudicados e o interesse público na investigação não superar o interesse de confidencialidade das pessoas em causa.</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O fornecedor de uma rede social pode transmitir os seguintes dados pessoais para efeitos da prestação de informações nos termos do n.º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Os conteúdos divulgados;</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Queixas sobre conteúdos ilegais;</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Nomes de utilizador das pessoas envolvidas na divulgação;</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As circunstâncias específicas das interações das pessoas envolvidas na divulgação, no que diz respeito aos respetivos conteúdos; bem como</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Dados de formação de procedimentos para a deteção automatizada de conteúdos que devam ser removidos ou bloqueados, bem como informações sobre o modo de funcionamento, objetivos, critérios e parâmetros para a programação destes procedimentos.</w:t>
      </w:r>
    </w:p>
    <w:p w14:paraId="101C9DCB" w14:textId="77777777" w:rsidR="000235A5" w:rsidRPr="001355C5" w:rsidRDefault="000235A5" w:rsidP="000235A5">
      <w:pPr>
        <w:pStyle w:val="RevisionJuristischerAbsatzFolgeabsatz"/>
        <w:ind w:left="425"/>
        <w:rPr>
          <w:color w:val="auto"/>
        </w:rPr>
      </w:pPr>
      <w:r>
        <w:rPr>
          <w:color w:val="auto"/>
        </w:rPr>
        <w:t>Os dados devem ser transmitidos de forma anónima, ou pelo menos sob pseudónimo, na medida em que tal seja possível sem pôr em risco a finalidade da investigação.</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O investigador só pode tratar os dados para os fins de projetos de investigação científica nos termos do n.º 3. Na medida em que sejam tratadas categorias especiais de dados na aceção do artigo 9.º, n.º 1, do 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L 314 de 22.11.2016, p. 72; L 127 de 23.5.2018, p. 2), na respetiva redação em vigor, o investigador deve adotar medidas proporcionadas e específicas para a salvaguarda dos interesses das pessoas em causa nos termos do artigo 22.º, n.º 2, segundo período, da lei federal relativa à proteção de dados. Para além das medidas aí referidas, os dados na aceção do artigo 9.º, n.º 1, do Regulamento (UE) 2016/679 devem ser anonimizados, logo que tal seja possível, de acordo com o objetivo da investigação. </w:t>
      </w:r>
      <w:bookmarkEnd w:id="46"/>
      <w:r>
        <w:rPr>
          <w:color w:val="auto"/>
        </w:rPr>
        <w:t xml:space="preserve"> As restantes disposições do direito em matéria de proteção de dados permanecem inalteradas.</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O fornecedor de uma rede social tem o direito a ser reembolsado pelo investigador, num montante razoável, pelos custos incorridos com a prestação de informações nos termos do n.º 2. Na determinação do montante razoável, deve ser tido em conta o facto de que os custos não podem constituir um entrave substancial ao exercício do direito à informação. O artigo 287.º, n.º 1, do Código do Processo Civil é aplicável mutatis mutandis. Os custos reembolsáveis podem corresponder no máximo a 5 000 EUR, exceto nos casos previstos na quinta frase. O referido montante só pode ser excedido se a prestação das informações implicar despesas excecionalmente elevadas. Após a apresentação do plano de proteção nos termos do n.º 4, o investigador pode exigir ao fornecedor que apresente um orçamento gratuito, dentro de um prazo razoável.”»;</w:t>
      </w:r>
      <w:bookmarkEnd w:id="48"/>
    </w:p>
    <w:p w14:paraId="2077EF98" w14:textId="77777777" w:rsidR="006945A0" w:rsidRPr="001355C5" w:rsidRDefault="006945A0" w:rsidP="008A1C13">
      <w:pPr>
        <w:pStyle w:val="NummerierungStufe1"/>
      </w:pPr>
      <w:r>
        <w:lastRenderedPageBreak/>
        <w:t>Ao artigo 6.º são aditados os seguintes n.ºs 3 a 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Para relatórios que abranjam períodos até 31 de dezembro de 2021, inclusive, é aplicável o artigo 2.º da Lei relativa à melhoria da aplicação da lei nas redes sociais, de 1 de setembro de 2017 (DO Federal I, p.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O relatório nos termos do artigo 3.º, n.º 9, deve ser apresentado inicialmente até 31 de julho de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Para os organismos de autorregulação regulamentada já reconhecidos em 28 de junho de 2021, o artigo 3.º, n.º 6, ponto 3, é aplicável até ao final de 2022, com a redação que lhe foi dada pela Lei relativa à melhoria da aplicação da lei nas redes sociais, de 1 de setembro de 2017 (DO Federal I, p.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Para os prestadores que não sejam prestadores de serviços de plataformas de partilha de vídeos, o artigo 3.º-B só é aplicável a partir de 1 de outubro de 2021. No caso dos prestadores de serviços de plataformas de partilha de vídeos, o artigo 3.º-B só é aplicável a partir de 1 de outubro de 2021 no que diz respeito a conteúdos que não sejam vídeos ou emissões gerados pelo utilizador.»</w:t>
      </w:r>
    </w:p>
    <w:p w14:paraId="2118C079" w14:textId="440D3807" w:rsidR="00455A86" w:rsidRPr="001355C5" w:rsidRDefault="00B61AA0" w:rsidP="00B61AA0">
      <w:pPr>
        <w:pStyle w:val="ArtikelBezeichner"/>
        <w:numPr>
          <w:ilvl w:val="0"/>
          <w:numId w:val="0"/>
        </w:numPr>
      </w:pPr>
      <w:r>
        <w:t>Artigo 2.º</w:t>
      </w:r>
    </w:p>
    <w:p w14:paraId="4D9CB7F9" w14:textId="77777777" w:rsidR="00455A86" w:rsidRPr="001355C5" w:rsidRDefault="00455A86" w:rsidP="00455A86">
      <w:pPr>
        <w:pStyle w:val="Artikelberschrift"/>
      </w:pPr>
      <w:r>
        <w:t>A</w:t>
      </w:r>
      <w:bookmarkStart w:id="51" w:name="eNV_75EECEE39F6042299F02C89BB83ABA93_1"/>
      <w:bookmarkEnd w:id="51"/>
      <w:r>
        <w:t>lteração à Lei de Telemédia</w:t>
      </w:r>
    </w:p>
    <w:p w14:paraId="104AB961" w14:textId="56887D9A" w:rsidR="00455A86" w:rsidRPr="001355C5" w:rsidRDefault="00AC2CB9" w:rsidP="00FA30F0">
      <w:pPr>
        <w:pStyle w:val="JuristischerAbsatznichtnummeriert"/>
      </w:pPr>
      <w:r>
        <w:t>O artigo 14.º da Lei do Registo de Pessoas, de 26 de fevereiro de 2007 (DO Federal I, p. 179), com a última redação que lhe foi dada pelo artigo 12.º da lei de 30 de março de 2021 (DO Federal I, p. 448,1380), é alterado do seguinte modo:</w:t>
      </w:r>
    </w:p>
    <w:p w14:paraId="1DB683A0" w14:textId="77777777" w:rsidR="00FF2EC1" w:rsidRPr="001355C5" w:rsidRDefault="00FF2EC1" w:rsidP="00FF2EC1">
      <w:pPr>
        <w:pStyle w:val="NummerierungStufe1"/>
      </w:pPr>
      <w:r>
        <w:t>Ao n.º 3 é aditada a seguinte frase:</w:t>
      </w:r>
    </w:p>
    <w:p w14:paraId="7DE44C3D" w14:textId="77777777" w:rsidR="00FF2EC1" w:rsidRPr="001355C5" w:rsidRDefault="00FF2EC1" w:rsidP="00065020">
      <w:pPr>
        <w:pStyle w:val="RevisionJuristischerAbsatzFolgeabsatz"/>
        <w:ind w:left="425"/>
        <w:rPr>
          <w:color w:val="auto"/>
        </w:rPr>
      </w:pPr>
      <w:r>
        <w:rPr>
          <w:color w:val="auto"/>
        </w:rPr>
        <w:t>«Nesta medida, é obrigado a fornecer informações à parte lesada.»</w:t>
      </w:r>
    </w:p>
    <w:p w14:paraId="3A4DCC6D" w14:textId="77777777" w:rsidR="00FF2EC1" w:rsidRPr="001355C5" w:rsidRDefault="00FF2EC1" w:rsidP="005D706D">
      <w:pPr>
        <w:pStyle w:val="NummerierungStufe1"/>
      </w:pPr>
      <w:r>
        <w:t>Após a primeira frase do n.º 4, é inserida a seguinte frase:</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O tribunal também decide sobre a obrigação de fornecer informações, a menos que o pedido se limite expressamente a ordenar a admissibilidade das informações.</w:t>
      </w:r>
      <w:r>
        <w:rPr>
          <w:rStyle w:val="RevisionText"/>
          <w:color w:val="auto"/>
        </w:rPr>
        <w:t>»</w:t>
      </w:r>
    </w:p>
    <w:p w14:paraId="3490D74B" w14:textId="1817ADD9" w:rsidR="008157F4" w:rsidRDefault="00B61AA0" w:rsidP="00B61AA0">
      <w:pPr>
        <w:pStyle w:val="ArtikelBezeichner"/>
        <w:numPr>
          <w:ilvl w:val="0"/>
          <w:numId w:val="0"/>
        </w:numPr>
      </w:pPr>
      <w:r>
        <w:t>Artigo 3.º</w:t>
      </w:r>
    </w:p>
    <w:p w14:paraId="33A01610" w14:textId="77777777" w:rsidR="008157F4" w:rsidRDefault="008157F4" w:rsidP="008157F4">
      <w:pPr>
        <w:pStyle w:val="Artikelberschrift"/>
      </w:pPr>
      <w:r>
        <w:t>Alteração da lei relativa à luta contra o extremismo de direita e os crimes de ódio</w:t>
      </w:r>
    </w:p>
    <w:p w14:paraId="1F7B3809" w14:textId="77777777" w:rsidR="008157F4" w:rsidRDefault="008157F4" w:rsidP="008157F4">
      <w:pPr>
        <w:pStyle w:val="JuristischerAbsatznichtnummeriert"/>
      </w:pPr>
      <w:r>
        <w:t>É revogado o artigo 7.º, n.º 1, alínea b), e n.º 2, da Lei relativa ao combate ao extremismo de direita e aos crimes de ódio, de 30 de março de 2021 (DO Federal I, p. 441), com a redação que lhe foi dada pelo artigo 15.º da lei de 30 de março de 2021 (DO Federal I, p. 448).</w:t>
      </w:r>
    </w:p>
    <w:p w14:paraId="55216B0A" w14:textId="14079E9E" w:rsidR="006945A0" w:rsidRPr="006945A0" w:rsidRDefault="00B61AA0" w:rsidP="00B61AA0">
      <w:pPr>
        <w:pStyle w:val="ArtikelBezeichner"/>
        <w:numPr>
          <w:ilvl w:val="0"/>
          <w:numId w:val="0"/>
        </w:numPr>
      </w:pPr>
      <w:r>
        <w:lastRenderedPageBreak/>
        <w:t>Artigo 4.º</w:t>
      </w:r>
    </w:p>
    <w:p w14:paraId="7E143A31" w14:textId="77777777" w:rsidR="006945A0" w:rsidRPr="006945A0" w:rsidRDefault="006945A0" w:rsidP="008A1C13">
      <w:pPr>
        <w:pStyle w:val="Artikelberschrift"/>
      </w:pPr>
      <w:r>
        <w:t>Entrada em vigor</w:t>
      </w:r>
    </w:p>
    <w:p w14:paraId="690968A7" w14:textId="29B2BF15" w:rsidR="006945A0" w:rsidRDefault="00065020" w:rsidP="0040116B">
      <w:pPr>
        <w:pStyle w:val="JuristischerAbsatznummeriert"/>
      </w:pPr>
      <w:r>
        <w:t>A presente lei entra em vigor em 28 de junho de 2021, sob reserva do disposto nos n.ºs 2 e 3.</w:t>
      </w:r>
    </w:p>
    <w:p w14:paraId="2900BC71" w14:textId="228CA322" w:rsidR="008157F4" w:rsidRPr="006945A0" w:rsidRDefault="00065020" w:rsidP="0040116B">
      <w:pPr>
        <w:pStyle w:val="JuristischerAbsatznummeriert"/>
      </w:pPr>
      <w:r>
        <w:t>No artigo 1.º, n.º 3, alínea b), duas letras bb), o artigo 3.º, n.º 2, ponto 5, da lei de execução relativa às redes entra em vigor em 1 de outubro de 2021.</w:t>
      </w:r>
    </w:p>
    <w:p w14:paraId="1C49F280" w14:textId="77777777" w:rsidR="006945A0" w:rsidRPr="006945A0" w:rsidRDefault="006945A0" w:rsidP="0040116B">
      <w:pPr>
        <w:pStyle w:val="JuristischerAbsatznummeriert"/>
      </w:pPr>
      <w:r>
        <w:t>As seguintes disposições entram em vigor em 1 de fevereiro de 2022:</w:t>
      </w:r>
    </w:p>
    <w:p w14:paraId="5BE8DBDC" w14:textId="77777777" w:rsidR="006945A0" w:rsidRDefault="00065020" w:rsidP="0040116B">
      <w:pPr>
        <w:pStyle w:val="NummerierungStufe1"/>
      </w:pPr>
      <w:r>
        <w:t>Artigo 1.º, n.º 4,</w:t>
      </w:r>
    </w:p>
    <w:p w14:paraId="0F476C14" w14:textId="77777777" w:rsidR="00065020" w:rsidRPr="006945A0" w:rsidRDefault="00065020" w:rsidP="0040116B">
      <w:pPr>
        <w:pStyle w:val="NummerierungStufe1"/>
      </w:pPr>
      <w:r>
        <w:t>Artigo 1.º, n.º 6, alínea a), duas letras cc) e dd) e alínea b), e</w:t>
      </w:r>
    </w:p>
    <w:p w14:paraId="1354F279" w14:textId="496FF371" w:rsidR="006945A0" w:rsidRDefault="00065020" w:rsidP="008A1C13">
      <w:pPr>
        <w:pStyle w:val="NummerierungStufe1"/>
      </w:pPr>
      <w:r>
        <w:t>Artigo 1.º, n.º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Os direitos do Bundesrat ao abrigo da Constituição são preservados.</w:t>
      </w:r>
    </w:p>
    <w:p w14:paraId="6630C8D5" w14:textId="21074584" w:rsidR="00524B83" w:rsidRPr="00524B83" w:rsidRDefault="00524B83" w:rsidP="00524B83">
      <w:pPr>
        <w:pStyle w:val="JuristischerAbsatzFolgeabsatz"/>
      </w:pPr>
      <w:r>
        <w:t>A lei acima estipulada é executada. Será publicada no DO Federal.</w:t>
      </w:r>
    </w:p>
    <w:p w14:paraId="789581D2" w14:textId="77777777" w:rsidR="00524B83" w:rsidRPr="00B61AA0" w:rsidRDefault="00524B83" w:rsidP="00524B83">
      <w:pPr>
        <w:pStyle w:val="JuristischerAbsatzFolgeabsatz"/>
      </w:pPr>
      <w:r>
        <w:t>Berlim, 3 de junho de 2021</w:t>
      </w:r>
    </w:p>
    <w:p w14:paraId="1AA24B74" w14:textId="77777777" w:rsidR="00524B83" w:rsidRPr="00587527" w:rsidRDefault="00524B83" w:rsidP="00524B83">
      <w:pPr>
        <w:pStyle w:val="JuristischerAbsatzFolgeabsatz"/>
        <w:jc w:val="center"/>
        <w:rPr>
          <w:spacing w:val="50"/>
        </w:rPr>
      </w:pPr>
      <w:r w:rsidRPr="00587527">
        <w:rPr>
          <w:spacing w:val="50"/>
        </w:rPr>
        <w:t>O presidente federal</w:t>
      </w:r>
    </w:p>
    <w:p w14:paraId="5F3565D9" w14:textId="77777777" w:rsidR="00524B83" w:rsidRPr="00587527" w:rsidRDefault="00524B83" w:rsidP="00524B83">
      <w:pPr>
        <w:pStyle w:val="JuristischerAbsatzFolgeabsatz"/>
        <w:jc w:val="center"/>
        <w:rPr>
          <w:spacing w:val="50"/>
        </w:rPr>
      </w:pPr>
      <w:r w:rsidRPr="00587527">
        <w:rPr>
          <w:spacing w:val="50"/>
        </w:rPr>
        <w:t>Steinmeier</w:t>
      </w:r>
    </w:p>
    <w:p w14:paraId="1E912554" w14:textId="77777777" w:rsidR="00524B83" w:rsidRPr="00587527" w:rsidRDefault="00524B83" w:rsidP="00524B83">
      <w:pPr>
        <w:pStyle w:val="JuristischerAbsatzFolgeabsatz"/>
        <w:jc w:val="center"/>
        <w:rPr>
          <w:spacing w:val="50"/>
        </w:rPr>
      </w:pPr>
      <w:r w:rsidRPr="00587527">
        <w:rPr>
          <w:spacing w:val="50"/>
        </w:rPr>
        <w:t>O Chanceler Federal</w:t>
      </w:r>
    </w:p>
    <w:p w14:paraId="4151C5C8" w14:textId="77777777" w:rsidR="00524B83" w:rsidRPr="00587527" w:rsidRDefault="00524B83" w:rsidP="00524B83">
      <w:pPr>
        <w:pStyle w:val="JuristischerAbsatzFolgeabsatz"/>
        <w:jc w:val="center"/>
        <w:rPr>
          <w:spacing w:val="50"/>
        </w:rPr>
      </w:pPr>
      <w:r w:rsidRPr="00587527">
        <w:rPr>
          <w:spacing w:val="50"/>
        </w:rPr>
        <w:t>Dra. Angela Merkel</w:t>
      </w:r>
    </w:p>
    <w:p w14:paraId="791D6152" w14:textId="77777777" w:rsidR="00524B83" w:rsidRPr="00587527" w:rsidRDefault="00524B83" w:rsidP="00524B83">
      <w:pPr>
        <w:pStyle w:val="JuristischerAbsatzFolgeabsatz"/>
        <w:jc w:val="center"/>
        <w:rPr>
          <w:spacing w:val="50"/>
        </w:rPr>
      </w:pPr>
      <w:r w:rsidRPr="00587527">
        <w:rPr>
          <w:spacing w:val="50"/>
        </w:rPr>
        <w:t>O Ministro Federal</w:t>
      </w:r>
    </w:p>
    <w:p w14:paraId="772B748E" w14:textId="77777777" w:rsidR="00524B83" w:rsidRPr="00587527" w:rsidRDefault="00524B83" w:rsidP="00524B83">
      <w:pPr>
        <w:pStyle w:val="JuristischerAbsatzFolgeabsatz"/>
        <w:jc w:val="center"/>
        <w:rPr>
          <w:spacing w:val="50"/>
        </w:rPr>
      </w:pPr>
      <w:r w:rsidRPr="00587527">
        <w:rPr>
          <w:spacing w:val="50"/>
        </w:rPr>
        <w:t>para a Justiça e a Proteção dos Consumidores</w:t>
      </w:r>
    </w:p>
    <w:p w14:paraId="4D3A1799" w14:textId="59236FD5" w:rsidR="00524B83" w:rsidRPr="00587527" w:rsidRDefault="00524B83" w:rsidP="00524B83">
      <w:pPr>
        <w:pStyle w:val="JuristischerAbsatzFolgeabsatz"/>
        <w:jc w:val="center"/>
        <w:rPr>
          <w:spacing w:val="50"/>
        </w:rPr>
      </w:pPr>
      <w:r w:rsidRPr="00587527">
        <w:rPr>
          <w:spacing w:val="50"/>
        </w:rPr>
        <w:t>Christine Lambrecht</w:t>
      </w:r>
    </w:p>
    <w:sectPr w:rsidR="00524B83" w:rsidRPr="00587527"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584C" w14:textId="77777777" w:rsidR="006D7F4A" w:rsidRDefault="006D7F4A" w:rsidP="005D1540">
      <w:pPr>
        <w:spacing w:before="0" w:after="0"/>
      </w:pPr>
      <w:r>
        <w:separator/>
      </w:r>
    </w:p>
  </w:endnote>
  <w:endnote w:type="continuationSeparator" w:id="0">
    <w:p w14:paraId="4FA62C6F" w14:textId="77777777" w:rsidR="006D7F4A" w:rsidRDefault="006D7F4A"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9890" w14:textId="77777777" w:rsidR="006D7F4A" w:rsidRDefault="006D7F4A" w:rsidP="005D1540">
      <w:pPr>
        <w:spacing w:before="0" w:after="0"/>
      </w:pPr>
      <w:r>
        <w:separator/>
      </w:r>
    </w:p>
  </w:footnote>
  <w:footnote w:type="continuationSeparator" w:id="0">
    <w:p w14:paraId="216385B2" w14:textId="77777777" w:rsidR="006D7F4A" w:rsidRDefault="006D7F4A"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A presente lei destina-se a transpor a Diretiva (UE) 2018/1808 do Parlamento Europeu e do Conselho, de 14 de novembro de 2018, que altera a Diretiva 2010/13/UE relativa à coordenação de certas disposições legislativas, regulamentares e administrativas dos Estados-Membros respeitantes à oferta de serviços de comunicação social audiovisual (Diretiva «Serviços de Comunicação Social Audiovisual»), para a adaptar à evolução das realidades do mercado (JO L 303 de 28.11.2018, p. 69).</w:t>
      </w:r>
    </w:p>
  </w:footnote>
  <w:footnote w:id="2">
    <w:p w14:paraId="50BC2B1B" w14:textId="77777777" w:rsidR="00861858" w:rsidRDefault="00861858">
      <w:pPr>
        <w:pStyle w:val="Fotnotstext"/>
      </w:pPr>
      <w:r>
        <w:rPr>
          <w:rStyle w:val="Fotnotsreferens"/>
        </w:rPr>
        <w:footnoteRef/>
      </w:r>
      <w:r>
        <w:tab/>
      </w:r>
      <w:r>
        <w:t xml:space="preserve">Notificado </w:t>
      </w:r>
      <w:r>
        <w:t>em conformidade com a Diretiva (UE) 2015/1535 do Parlamento Europeu e do Conselho, de 9 de setembro de 2015, relativa a um procedimento de informação no domínio das regulamentações técnicas e das regras relativas aos serviços da sociedade da informação (JO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Última atualização: 17 de junho de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Versão: </w:t>
    </w:r>
    <w:r>
      <w:rPr>
        <w:sz w:val="18"/>
      </w:rPr>
      <w:t>17 de junho de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87527"/>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D7F4A"/>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14</Pages>
  <Words>5756</Words>
  <Characters>30511</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