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6F4E" w14:textId="157964E8" w:rsidR="002720FF" w:rsidRPr="00683CE0" w:rsidRDefault="002720FF" w:rsidP="00EA1D8C">
      <w:pPr>
        <w:spacing w:after="240" w:line="360" w:lineRule="auto"/>
        <w:rPr>
          <w:sz w:val="26"/>
          <w:szCs w:val="26"/>
          <w:rFonts w:ascii="Arial" w:hAnsi="Arial" w:cs="Arial"/>
        </w:rPr>
      </w:pPr>
      <w:r>
        <w:rPr>
          <w:sz w:val="26"/>
          <w:rFonts w:ascii="Arial" w:hAnsi="Arial"/>
        </w:rPr>
        <w:t xml:space="preserve">Zvezno ministrstvo za pravosodje in varstvo potrošnikov</w:t>
      </w:r>
    </w:p>
    <w:p w14:paraId="4622CA11" w14:textId="77777777" w:rsidR="002720FF" w:rsidRPr="00683CE0" w:rsidRDefault="002720FF" w:rsidP="00EA1D8C">
      <w:pPr>
        <w:pStyle w:val="DokumentkopfTitel"/>
      </w:pPr>
      <w:r>
        <w:t xml:space="preserve">Predlog spremembe</w:t>
      </w:r>
    </w:p>
    <w:p w14:paraId="3FAED9FF" w14:textId="77777777" w:rsidR="002720FF" w:rsidRPr="00683CE0" w:rsidRDefault="002720FF" w:rsidP="00EA1D8C">
      <w:pPr>
        <w:pStyle w:val="DokumentkopfBezeichnung"/>
      </w:pPr>
      <w:r>
        <w:t xml:space="preserve">o osnutku zakona s strani zvezne vlade</w:t>
      </w:r>
    </w:p>
    <w:p w14:paraId="31EDF417" w14:textId="77777777" w:rsidR="002720FF" w:rsidRPr="00683CE0" w:rsidRDefault="002720FF" w:rsidP="00EA1D8C">
      <w:pPr>
        <w:pStyle w:val="DokumentkopfBezeichnung"/>
      </w:pPr>
      <w:r>
        <w:t xml:space="preserve">- dokument 19/26915 -</w:t>
      </w:r>
    </w:p>
    <w:p w14:paraId="10B9D1C7" w14:textId="77777777" w:rsidR="002720FF" w:rsidRPr="00683CE0" w:rsidRDefault="0021568B" w:rsidP="00EA1D8C">
      <w:pPr>
        <w:spacing w:before="240" w:after="480" w:line="360" w:lineRule="auto"/>
        <w:rPr>
          <w:b/>
          <w:sz w:val="26"/>
          <w:szCs w:val="26"/>
          <w:rFonts w:ascii="Arial" w:hAnsi="Arial" w:cs="Arial"/>
        </w:rPr>
      </w:pPr>
      <w:r>
        <w:rPr>
          <w:b/>
          <w:sz w:val="26"/>
          <w:rFonts w:ascii="Arial" w:hAnsi="Arial"/>
        </w:rPr>
        <w:t xml:space="preserve">Predlog zakona o poštenih potrošniških pogodbah</w:t>
      </w:r>
    </w:p>
    <w:p w14:paraId="43B17458" w14:textId="77777777" w:rsidR="002720FF" w:rsidRDefault="002720FF" w:rsidP="00EA1D8C">
      <w:pPr>
        <w:spacing w:line="360" w:lineRule="auto"/>
        <w:rPr>
          <w:sz w:val="22"/>
          <w:rFonts w:ascii="Arial" w:hAnsi="Arial" w:cs="Arial"/>
        </w:rPr>
      </w:pPr>
      <w:r>
        <w:rPr>
          <w:sz w:val="22"/>
          <w:rFonts w:ascii="Arial" w:hAnsi="Arial"/>
        </w:rPr>
        <w:t xml:space="preserve">Predlaga se, da se Bundestag (parlament) odloči</w:t>
      </w:r>
    </w:p>
    <w:p w14:paraId="09C91E87" w14:textId="77777777" w:rsidR="002720FF" w:rsidRPr="00AB4C70" w:rsidRDefault="002720FF" w:rsidP="00EA1D8C">
      <w:pPr>
        <w:spacing w:line="360" w:lineRule="auto"/>
        <w:rPr>
          <w:sz w:val="22"/>
          <w:rFonts w:ascii="Arial" w:hAnsi="Arial" w:cs="Arial"/>
        </w:rPr>
      </w:pPr>
      <w:r>
        <w:rPr>
          <w:sz w:val="22"/>
          <w:rFonts w:ascii="Arial" w:hAnsi="Arial"/>
        </w:rPr>
        <w:t xml:space="preserve">sprejeti osnutek zakona v dokumentu 19/26915 z naslednjimi sicer nespremenjenimi pogoji:</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Naslovu se doda naslednja opomba:</w:t>
      </w:r>
      <w:r>
        <w:t xml:space="preserve"> </w:t>
      </w:r>
    </w:p>
    <w:p w14:paraId="7CEDE7EC" w14:textId="725FED5E" w:rsidR="002F6967" w:rsidRPr="00693751" w:rsidRDefault="002F6967" w:rsidP="009B1298">
      <w:pPr>
        <w:pStyle w:val="RevisionNummerierungStufe1manuell"/>
        <w:tabs>
          <w:tab w:val="clear" w:pos="425"/>
          <w:tab w:val="left" w:pos="940"/>
        </w:tabs>
        <w:ind w:left="940" w:hanging="515"/>
      </w:pPr>
      <w:r>
        <w:rPr>
          <w:vertAlign w:val="superscript"/>
        </w:rPr>
        <w:t xml:space="preserve">*</w:t>
      </w:r>
      <w:r>
        <w:tab/>
      </w:r>
      <w:r>
        <w:t xml:space="preserve">Priglašeno v skladu z Direktivo (EU) 2015/1535 Evropskega parlamenta in Sveta z dne 9. septembra 2015 o določitvi postopka za zbiranje informacij na področju tehničnih predpisov in pravil za storitve informacijske družbe (UL L 241 z dne 17.9.2015, str. 1).</w:t>
      </w:r>
    </w:p>
    <w:p w14:paraId="321F69E0" w14:textId="6E4A4B30" w:rsidR="00826E52" w:rsidRDefault="00826E52" w:rsidP="00416421">
      <w:pPr>
        <w:pStyle w:val="EmpfehlungNummerierungStufe1"/>
      </w:pPr>
      <w:r>
        <w:t xml:space="preserve">Člen 1 se spremeni kot sledi:</w:t>
      </w:r>
    </w:p>
    <w:p w14:paraId="63EFF5B4" w14:textId="6CD7E956" w:rsidR="0021568B" w:rsidRPr="0021568B" w:rsidRDefault="0021568B" w:rsidP="00DA2D64">
      <w:pPr>
        <w:pStyle w:val="EmpfehlungNummerierungStufe2"/>
      </w:pPr>
      <w:r>
        <w:t xml:space="preserve">Za točko 3 se vstavijo naslednje točke od 4 do 6:</w:t>
      </w:r>
    </w:p>
    <w:p w14:paraId="07B1EF48" w14:textId="67DC30C7" w:rsidR="0021568B" w:rsidRDefault="0021568B" w:rsidP="009D590D">
      <w:pPr>
        <w:pStyle w:val="RevisionNummerierungStufe1manuell"/>
        <w:tabs>
          <w:tab w:val="clear" w:pos="425"/>
          <w:tab w:val="left" w:pos="1345"/>
        </w:tabs>
        <w:ind w:left="1345" w:hanging="495"/>
      </w:pPr>
      <w:r>
        <w:t xml:space="preserve">4.</w:t>
      </w:r>
      <w:r>
        <w:tab/>
      </w:r>
      <w:r>
        <w:t xml:space="preserve">V členu 312(7) se v stavku 1 besede „§ 312 l“ nadomestijo z besedami „§ 312 m“.</w:t>
      </w:r>
    </w:p>
    <w:p w14:paraId="50355E6B" w14:textId="6FBBEDCE" w:rsidR="00FC63C3" w:rsidRDefault="0021568B" w:rsidP="009D590D">
      <w:pPr>
        <w:pStyle w:val="RevisionNummerierungStufe1manuell"/>
        <w:tabs>
          <w:tab w:val="clear" w:pos="425"/>
          <w:tab w:val="left" w:pos="1345"/>
        </w:tabs>
        <w:ind w:left="1345"/>
      </w:pPr>
      <w:r>
        <w:t xml:space="preserve">5.</w:t>
      </w:r>
      <w:r>
        <w:tab/>
      </w:r>
      <w:r>
        <w:t xml:space="preserve">Za § 312j se vstavi naslednji odstavek § 312k:</w:t>
      </w:r>
    </w:p>
    <w:p w14:paraId="2A7410BB" w14:textId="77777777" w:rsidR="0075168F" w:rsidRPr="00E574A2" w:rsidRDefault="0075168F" w:rsidP="009D590D">
      <w:pPr>
        <w:pStyle w:val="RevisionParagraphBezeichnermanuell"/>
        <w:spacing w:after="120"/>
        <w:ind w:left="1345" w:hanging="90"/>
        <w:outlineLvl w:val="7"/>
      </w:pPr>
      <w:r>
        <w:t xml:space="preserve">‘§ 312k</w:t>
      </w:r>
    </w:p>
    <w:p w14:paraId="41B291F4" w14:textId="486B3F04" w:rsidR="0075168F" w:rsidRPr="00416421" w:rsidRDefault="0075168F" w:rsidP="009D590D">
      <w:pPr>
        <w:pStyle w:val="RevisionParagraphberschrift"/>
        <w:spacing w:before="120" w:after="120"/>
        <w:ind w:left="1345"/>
        <w:outlineLvl w:val="7"/>
      </w:pPr>
      <w:r>
        <w:t xml:space="preserve">Prekinitev potrošniških pogodb pri elektronskem poslovanju</w:t>
      </w:r>
    </w:p>
    <w:p w14:paraId="4B99D571" w14:textId="07F42C55" w:rsidR="00C10FA1" w:rsidRDefault="00DC3B1E" w:rsidP="009D590D">
      <w:pPr>
        <w:pStyle w:val="RevisionJuristischerAbsatz"/>
        <w:numPr>
          <w:ilvl w:val="2"/>
          <w:numId w:val="1"/>
        </w:numPr>
        <w:tabs>
          <w:tab w:val="clear" w:pos="850"/>
          <w:tab w:val="num" w:pos="2195"/>
        </w:tabs>
        <w:ind w:left="1345"/>
      </w:pPr>
      <w:r>
        <w:t xml:space="preserve">Kadar spletna stran potrošnikom omogoča, da sklenejo elektronsko pogodbo o poslovanju, katere cilj je vzpostavitev trajnega razmerja dolga in obveznost podjetja, da v zameno opravlja storitev, družba izpolnjuje obveznosti, določene v tej določbi.</w:t>
      </w:r>
      <w:r>
        <w:t xml:space="preserve"> </w:t>
      </w:r>
      <w:r>
        <w:t xml:space="preserve">To ne velja za</w:t>
      </w:r>
    </w:p>
    <w:p w14:paraId="2FF8D6A4" w14:textId="14FBFEC6" w:rsidR="00C10FA1" w:rsidRPr="0090252A" w:rsidRDefault="0052341C" w:rsidP="009D590D">
      <w:pPr>
        <w:pStyle w:val="RevisionNummerierungStufe1"/>
        <w:tabs>
          <w:tab w:val="clear" w:pos="425"/>
          <w:tab w:val="num" w:pos="1770"/>
        </w:tabs>
        <w:ind w:left="1770"/>
      </w:pPr>
      <w:r>
        <w:t xml:space="preserve">pogodbe, katerih odpoved je predvidena le v obliki, strožji od besedilne oblike; ter</w:t>
      </w:r>
    </w:p>
    <w:p w14:paraId="3F8AA9D7" w14:textId="7C181D21" w:rsidR="00E57275" w:rsidRPr="00AE662A" w:rsidRDefault="006F7B3A" w:rsidP="009D590D">
      <w:pPr>
        <w:pStyle w:val="RevisionNummerierungStufe1"/>
        <w:tabs>
          <w:tab w:val="clear" w:pos="425"/>
          <w:tab w:val="num" w:pos="1770"/>
        </w:tabs>
        <w:ind w:left="1770"/>
      </w:pPr>
      <w:r>
        <w:t xml:space="preserve">v zvezi s spletnimi stranmi, povezanimi s finančnimi storitvami ali za pogodbe v zvezi s finančnimi storitvami.</w:t>
      </w:r>
    </w:p>
    <w:p w14:paraId="45A2845B" w14:textId="6F37F124" w:rsidR="009E06E3" w:rsidRDefault="00AE3F1C" w:rsidP="009D590D">
      <w:pPr>
        <w:pStyle w:val="RevisionJuristischerAbsatz"/>
        <w:tabs>
          <w:tab w:val="clear" w:pos="850"/>
          <w:tab w:val="num" w:pos="2195"/>
        </w:tabs>
        <w:ind w:left="1345"/>
      </w:pPr>
      <w:r>
        <w:t xml:space="preserve">Družba mora zagotoviti, da ima potrošnik na spletni strani možnost, da z gumbom za prekinitev pogodbe, sklenjeno na spletni strani, poda izjavo o običajnem ali izrednem prenehanju pogodbe v skladu s stavkom iz odstavka 1, Stavek št. 1.</w:t>
      </w:r>
      <w:r>
        <w:t xml:space="preserve"> </w:t>
      </w:r>
      <w:r>
        <w:t xml:space="preserve">Gumb za prekinitev mora biti lahko berljiv, na njem pa ne sme biti drugega besedila razen besede „pogodbo prekinite tukaj“ oziroma mora biti označen z ustreznim nedvoumnim besedilom.</w:t>
      </w:r>
      <w:r>
        <w:t xml:space="preserve"> </w:t>
      </w:r>
      <w:r>
        <w:t xml:space="preserve">Potrošnika mora gumb voditi neposredno do potrditvene strani, ki</w:t>
      </w:r>
    </w:p>
    <w:p w14:paraId="63A70429" w14:textId="0658A2E9" w:rsidR="002A3FE5" w:rsidRDefault="006E2F12" w:rsidP="009D590D">
      <w:pPr>
        <w:pStyle w:val="RevisionNummerierungStufe1"/>
        <w:tabs>
          <w:tab w:val="clear" w:pos="425"/>
          <w:tab w:val="num" w:pos="1770"/>
        </w:tabs>
        <w:ind w:left="1770"/>
      </w:pPr>
      <w:r>
        <w:t xml:space="preserve">potrošnika nagovarja in mu omogoča, da navede informacije</w:t>
      </w:r>
    </w:p>
    <w:p w14:paraId="1A0A97F8" w14:textId="04EE9D94" w:rsidR="006E2F12" w:rsidRDefault="002A3FE5" w:rsidP="009D590D">
      <w:pPr>
        <w:pStyle w:val="RevisionNummerierungStufe2"/>
        <w:tabs>
          <w:tab w:val="clear" w:pos="850"/>
          <w:tab w:val="num" w:pos="2195"/>
        </w:tabs>
        <w:ind w:left="2195"/>
      </w:pPr>
      <w:r>
        <w:t xml:space="preserve">o naravi odpovedi in o razlogu za prekinitev v primeru izrednega prenehanja,</w:t>
      </w:r>
    </w:p>
    <w:p w14:paraId="459452DE" w14:textId="5BCFA0A2" w:rsidR="002A3FE5" w:rsidRDefault="002A3FE5" w:rsidP="009D590D">
      <w:pPr>
        <w:pStyle w:val="RevisionNummerierungStufe2"/>
        <w:tabs>
          <w:tab w:val="clear" w:pos="850"/>
          <w:tab w:val="num" w:pos="2195"/>
        </w:tabs>
        <w:ind w:left="2195"/>
      </w:pPr>
      <w:r>
        <w:t xml:space="preserve">glede njegove nedvoumne istovetnosti,</w:t>
      </w:r>
    </w:p>
    <w:p w14:paraId="0B7A6589" w14:textId="2A8E4FF6" w:rsidR="002A3FE5" w:rsidRDefault="002A3FE5" w:rsidP="009D590D">
      <w:pPr>
        <w:pStyle w:val="RevisionNummerierungStufe2"/>
        <w:tabs>
          <w:tab w:val="clear" w:pos="850"/>
          <w:tab w:val="num" w:pos="2195"/>
        </w:tabs>
        <w:ind w:left="2195"/>
      </w:pPr>
      <w:r>
        <w:t xml:space="preserve">glede nedvoumne opredelitve pogodbe,</w:t>
      </w:r>
    </w:p>
    <w:p w14:paraId="309E68B5" w14:textId="4790EC1D" w:rsidR="00846EFD" w:rsidRDefault="00846EFD" w:rsidP="009D590D">
      <w:pPr>
        <w:pStyle w:val="RevisionNummerierungStufe2"/>
        <w:tabs>
          <w:tab w:val="clear" w:pos="850"/>
          <w:tab w:val="num" w:pos="2195"/>
        </w:tabs>
        <w:ind w:left="2195"/>
      </w:pPr>
      <w:r>
        <w:t xml:space="preserve">v trenutku, ko se z odpovedjo prekine pogodbeno razmerje,</w:t>
      </w:r>
    </w:p>
    <w:p w14:paraId="1E1303B1" w14:textId="2C482F67" w:rsidR="002A3FE5" w:rsidRDefault="00AE3F1C" w:rsidP="00846EFD">
      <w:pPr>
        <w:pStyle w:val="RevisionNummerierungStufe2"/>
        <w:tabs>
          <w:tab w:val="clear" w:pos="850"/>
          <w:tab w:val="num" w:pos="2195"/>
        </w:tabs>
        <w:ind w:left="2195"/>
      </w:pPr>
      <w:r>
        <w:t xml:space="preserve">za hitro elektronsko posredovanje potrditve odpovedi potrošniku in</w:t>
      </w:r>
    </w:p>
    <w:p w14:paraId="4F18B29F" w14:textId="576EFA0F" w:rsidR="00222EE0" w:rsidRDefault="009E06E3" w:rsidP="009D590D">
      <w:pPr>
        <w:pStyle w:val="RevisionNummerierungStufe1"/>
        <w:tabs>
          <w:tab w:val="clear" w:pos="425"/>
          <w:tab w:val="num" w:pos="1770"/>
        </w:tabs>
        <w:ind w:left="1770"/>
      </w:pPr>
      <w:r>
        <w:t xml:space="preserve">vsebuje potrditveni gumb, s pomočjo katerega lahko potrošnik pošlje obvestilo o odpovedi in ki je lahko čitljiv, na njem pa ni drugega besedila razen besed „prekliči zdaj“ oziroma je označen z ustreznim nedvoumnim besedilom.</w:t>
      </w:r>
    </w:p>
    <w:p w14:paraId="41B87BA6" w14:textId="4412EB32" w:rsidR="00591E40" w:rsidRDefault="009F7F4E" w:rsidP="009D590D">
      <w:pPr>
        <w:pStyle w:val="RevisionJuristischerAbsatzFolgeabsatz"/>
        <w:ind w:left="1345"/>
      </w:pPr>
      <w:r>
        <w:t xml:space="preserve">Uporabniški vmesniki in potrditvene strani morajo biti vedno na voljo in takoj ter enostavno dostopni.</w:t>
      </w:r>
    </w:p>
    <w:p w14:paraId="01895F53" w14:textId="274AB82F" w:rsidR="00F15270" w:rsidRDefault="0075168F" w:rsidP="009D590D">
      <w:pPr>
        <w:pStyle w:val="RevisionJuristischerAbsatz"/>
        <w:tabs>
          <w:tab w:val="clear" w:pos="850"/>
          <w:tab w:val="num" w:pos="2195"/>
        </w:tabs>
        <w:ind w:left="1345"/>
      </w:pPr>
      <w:r>
        <w:t xml:space="preserve">Potrošnik mora imeti možnost, da na trajnem nosilcu podatkov shrani svojo izjavo o odpovedi, ki jo je poslal s pritiskom na potrditveni gumb z datumom in časom dostave, tako da je mogoče videti, da je bila izjava o odpovedi posredovana s pritiskom na potrditveni gumb.</w:t>
      </w:r>
    </w:p>
    <w:p w14:paraId="0E1A934D" w14:textId="79962F83" w:rsidR="0075168F" w:rsidRPr="004C591F" w:rsidRDefault="0075168F" w:rsidP="009D590D">
      <w:pPr>
        <w:pStyle w:val="RevisionJuristischerAbsatz"/>
        <w:tabs>
          <w:tab w:val="clear" w:pos="850"/>
          <w:tab w:val="num" w:pos="2195"/>
        </w:tabs>
        <w:ind w:left="1345"/>
      </w:pPr>
      <w:r>
        <w:t xml:space="preserve">Družba potrošniku nemudoma potrdi vsebino, datum in čas prejema obvestila o odpovedi ter datum, ko se pogodba prekine z odpovedjo, v elektronski besedilni obliki.</w:t>
      </w:r>
      <w:r>
        <w:t xml:space="preserve"> </w:t>
      </w:r>
      <w:r>
        <w:t xml:space="preserve">Predpostavlja se, da je bilo obvestilo o prekinitvi, predloženo s pritiskom na gumb za potrditev, poslano družbi takoj po posredovanju.</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t xml:space="preserve">Če potrošnik ob posredovanju obvestila o odpovedi ne navede časa, v katerem naj bi se z odpovedjo pogodbeno razmerjr prekinilo, se odpoved opravi v najkrajšem možnem času.</w:t>
      </w:r>
    </w:p>
    <w:p w14:paraId="0063AC95" w14:textId="2CD687CE" w:rsidR="0075168F" w:rsidRPr="000C76EB" w:rsidRDefault="003C1CD0" w:rsidP="009D590D">
      <w:pPr>
        <w:pStyle w:val="RevisionJuristischerAbsatz"/>
        <w:tabs>
          <w:tab w:val="clear" w:pos="850"/>
          <w:tab w:val="num" w:pos="2195"/>
        </w:tabs>
        <w:ind w:left="1345"/>
      </w:pPr>
      <w:r>
        <w:t xml:space="preserve">Če gumbi in potrditvena stran nista na voljo v skladu z odstavkoma 1 in 2, lahko, potrošnik prekine pogodbo, za katero morajo biti gumbi in potrditvena stran na voljo kadar koli in brez upoštevanja odpovednega roka.</w:t>
      </w:r>
      <w:r>
        <w:t xml:space="preserve"> </w:t>
      </w:r>
      <w:r>
        <w:t xml:space="preserve">To ne vpliva na možnost potrošnika, da izjemoma poda odpoved.</w:t>
      </w:r>
    </w:p>
    <w:p w14:paraId="0AE0901F" w14:textId="0375EB9F" w:rsidR="001B688F" w:rsidRDefault="0021568B" w:rsidP="009D590D">
      <w:pPr>
        <w:pStyle w:val="RevisionNummerierungStufe1manuell"/>
        <w:tabs>
          <w:tab w:val="clear" w:pos="425"/>
          <w:tab w:val="left" w:pos="1345"/>
        </w:tabs>
        <w:ind w:left="1345"/>
      </w:pPr>
      <w:r>
        <w:t xml:space="preserve">6.</w:t>
      </w:r>
      <w:r>
        <w:tab/>
      </w:r>
      <w:r>
        <w:t xml:space="preserve">Prejšnji §§ 312k in 312 l postaneta §§ 312 l in 312 m.</w:t>
      </w:r>
    </w:p>
    <w:p w14:paraId="6405AD62" w14:textId="2EED1D99" w:rsidR="0021568B" w:rsidRDefault="0021568B" w:rsidP="00DA2D64">
      <w:pPr>
        <w:pStyle w:val="EmpfehlungNummerierungStufe2"/>
      </w:pPr>
      <w:r>
        <w:t xml:space="preserve">Prejšnja številka 4 tako postane številka 7.</w:t>
      </w:r>
    </w:p>
    <w:p w14:paraId="2D9EE4F1" w14:textId="49ED0B65" w:rsidR="00D663F5" w:rsidRDefault="00D663F5" w:rsidP="008E21D5">
      <w:pPr>
        <w:pStyle w:val="EmpfehlungNummerierungStufe1"/>
      </w:pPr>
      <w:r>
        <w:t xml:space="preserve">Člen 2 se glasi:</w:t>
      </w:r>
    </w:p>
    <w:p w14:paraId="2A51C349" w14:textId="28141D5E" w:rsidR="008657B1" w:rsidRPr="008657B1" w:rsidRDefault="008657B1" w:rsidP="009D590D">
      <w:pPr>
        <w:pStyle w:val="RevisionArtikelBezeichnermanuell"/>
        <w:ind w:left="425" w:hanging="70"/>
      </w:pPr>
      <w:r>
        <w:t xml:space="preserve">Člen 2</w:t>
      </w:r>
    </w:p>
    <w:p w14:paraId="5837AD5B" w14:textId="0C0D5684" w:rsidR="008657B1" w:rsidRPr="008657B1" w:rsidRDefault="008657B1" w:rsidP="009D590D">
      <w:pPr>
        <w:pStyle w:val="RevisionArtikelberschrift"/>
        <w:ind w:left="425"/>
      </w:pPr>
      <w:r>
        <w:t xml:space="preserve">Sprememba uvodnega akta civilnega zakonika</w:t>
      </w:r>
    </w:p>
    <w:p w14:paraId="460ABE0F" w14:textId="5A512474" w:rsidR="008657B1" w:rsidRPr="004F1B81" w:rsidRDefault="007B6582" w:rsidP="009D590D">
      <w:pPr>
        <w:pStyle w:val="RevisionJuristischerAbsatzmanuell"/>
        <w:tabs>
          <w:tab w:val="clear" w:pos="850"/>
          <w:tab w:val="left" w:pos="1275"/>
        </w:tabs>
        <w:ind w:left="425"/>
      </w:pPr>
      <w:r>
        <w:t xml:space="preserve">Uvodni akt civilnega zakonika v različici, objavljeni 21. septembra 1994 (Uradni zvezni list I, str. 2494, 1997; I, str. 1061), kakor je bil nazadnje popravljen s členom 10 Akta z dne 22. decembra 2020 (Uradni zvezni list I, str. 3328), se spremeni:</w:t>
      </w:r>
    </w:p>
    <w:p w14:paraId="6B027298" w14:textId="034AC32F" w:rsidR="008657B1" w:rsidRPr="004F1B81" w:rsidRDefault="008657B1" w:rsidP="009D590D">
      <w:pPr>
        <w:pStyle w:val="RevisionNummerierungStufe1"/>
        <w:tabs>
          <w:tab w:val="clear" w:pos="425"/>
          <w:tab w:val="num" w:pos="850"/>
        </w:tabs>
        <w:ind w:left="850"/>
      </w:pPr>
      <w:r>
        <w:t xml:space="preserve">Člen 229 se nadomesti z naslednjim §...</w:t>
      </w:r>
      <w:r>
        <w:t xml:space="preserve"> </w:t>
      </w:r>
      <w:r>
        <w:t xml:space="preserve">[uvedeno: naslednja razpoložljiva oznaka štetja ob razglasitvi] dodano:</w:t>
      </w:r>
    </w:p>
    <w:p w14:paraId="57F318B2" w14:textId="77777777" w:rsidR="008657B1" w:rsidRPr="004F1B81" w:rsidRDefault="008657B1" w:rsidP="009D590D">
      <w:pPr>
        <w:pStyle w:val="RevisionParagraphBezeichnermanuell"/>
        <w:ind w:left="850" w:hanging="90"/>
      </w:pPr>
      <w:r>
        <w:t xml:space="preserve">‘§...</w:t>
      </w:r>
      <w:r>
        <w:t xml:space="preserve"> </w:t>
      </w:r>
      <w:r>
        <w:t xml:space="preserve">[vključeno: naslednja razpoložljiva oznaka štetja ob razglasitvi]</w:t>
      </w:r>
    </w:p>
    <w:p w14:paraId="240738A9" w14:textId="77777777" w:rsidR="008657B1" w:rsidRPr="004F1B81" w:rsidRDefault="008657B1" w:rsidP="009D590D">
      <w:pPr>
        <w:pStyle w:val="RevisionParagraphberschrift"/>
        <w:ind w:left="850"/>
      </w:pPr>
      <w:r>
        <w:t xml:space="preserve">Prehodna določba k zakonu o poštenih potrošniških pogodbah</w:t>
      </w:r>
    </w:p>
    <w:p w14:paraId="48E37EC8" w14:textId="49D04865" w:rsidR="008657B1" w:rsidRPr="008657B1" w:rsidRDefault="008657B1" w:rsidP="009D590D">
      <w:pPr>
        <w:pStyle w:val="RevisionJuristischerAbsatzmanuell"/>
        <w:tabs>
          <w:tab w:val="clear" w:pos="850"/>
          <w:tab w:val="left" w:pos="1700"/>
        </w:tabs>
        <w:ind w:left="850"/>
      </w:pPr>
      <w:r>
        <w:t xml:space="preserve">Do dolga z dne pred ...</w:t>
      </w:r>
      <w:r>
        <w:t xml:space="preserve"> </w:t>
      </w:r>
      <w:r>
        <w:t xml:space="preserve">[nastavitev:</w:t>
      </w:r>
      <w:r>
        <w:t xml:space="preserve"> </w:t>
      </w:r>
      <w:r>
        <w:t xml:space="preserve">Datum začetka veljavnosti se v skladu s stavkom člena 5(3) tega zakona] uporablja za določbe civilnega zakonika v obliki, v katero je bil spremenjen do tega datuma.</w:t>
      </w:r>
    </w:p>
    <w:p w14:paraId="28F84168" w14:textId="767BCDD5" w:rsidR="0062256C" w:rsidRPr="008657B1" w:rsidRDefault="00D663F5" w:rsidP="009D590D">
      <w:pPr>
        <w:pStyle w:val="RevisionNummerierungStufe1"/>
        <w:tabs>
          <w:tab w:val="clear" w:pos="425"/>
          <w:tab w:val="num" w:pos="850"/>
        </w:tabs>
        <w:ind w:left="850"/>
      </w:pPr>
      <w:r>
        <w:t xml:space="preserve">V členu 246e(1)(2), št. 10, se besede „§ 312k“ nadomestijo z besedami „§ 312 l“.</w:t>
      </w:r>
    </w:p>
    <w:p w14:paraId="7A235F18" w14:textId="116CF696" w:rsidR="008E21D5" w:rsidRDefault="007B6582" w:rsidP="004F1B81">
      <w:pPr>
        <w:pStyle w:val="EmpfehlungNummerierungStufe1"/>
      </w:pPr>
      <w:r>
        <w:t xml:space="preserve">Za členom 5, Stavkom 1 se vstavi naslednji stavek:</w:t>
      </w:r>
    </w:p>
    <w:p w14:paraId="0316D114" w14:textId="7AD83BCB" w:rsidR="008E21D5" w:rsidRDefault="0052608D" w:rsidP="009D590D">
      <w:pPr>
        <w:pStyle w:val="RevisionJuristischerAbsatzFolgeabsatz"/>
        <w:ind w:left="425"/>
      </w:pPr>
      <w:r>
        <w:t xml:space="preserve">„Členi 1(4) do (6) in člen 2(2) začnejo veljati s 1. julijem 2022.“</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t xml:space="preserve">Obrazložitev</w:t>
      </w:r>
    </w:p>
    <w:p w14:paraId="6FB976A8" w14:textId="1D90AF45" w:rsidR="00B56435" w:rsidRDefault="00B56435" w:rsidP="00910B03">
      <w:pPr>
        <w:pStyle w:val="Text"/>
        <w:spacing w:before="120" w:after="120"/>
        <w:rPr>
          <w:b/>
          <w:sz w:val="22"/>
          <w:rFonts w:ascii="Arial" w:hAnsi="Arial" w:cs="Arial"/>
        </w:rPr>
      </w:pPr>
      <w:r>
        <w:rPr>
          <w:b/>
          <w:sz w:val="22"/>
          <w:rFonts w:ascii="Arial" w:hAnsi="Arial"/>
        </w:rPr>
        <w:t xml:space="preserve">Veza (1)</w:t>
      </w:r>
    </w:p>
    <w:p w14:paraId="52A0ADE0" w14:textId="23FAA1FA" w:rsidR="00B358A3" w:rsidRPr="009B1298" w:rsidRDefault="00B358A3" w:rsidP="009B1298">
      <w:pPr>
        <w:pStyle w:val="Text"/>
        <w:rPr>
          <w:sz w:val="22"/>
        </w:rPr>
      </w:pPr>
      <w:r>
        <w:t xml:space="preserve">Dodatek je potreben, saj je o določbi iz številke 2(a) (člen 1(5)) treba uradno obvestiti v skladu z Direktivo (EU) 2015/1535 Evropskega parlamenta in Sveta z dne 9. septembra 2015 o določitvi postopka za zbiranje informacij na področju tehničnih predpisov in pravil za storitve informacijske družbe.</w:t>
      </w:r>
    </w:p>
    <w:p w14:paraId="53DCFDC3" w14:textId="7A9DE1EC" w:rsidR="00B358A3" w:rsidRDefault="00B358A3" w:rsidP="00910B03">
      <w:pPr>
        <w:pStyle w:val="Text"/>
        <w:spacing w:before="120" w:after="120"/>
        <w:rPr>
          <w:b/>
          <w:sz w:val="22"/>
          <w:rFonts w:ascii="Arial" w:hAnsi="Arial" w:cs="Arial"/>
        </w:rPr>
      </w:pPr>
      <w:r>
        <w:rPr>
          <w:b/>
          <w:sz w:val="22"/>
          <w:rFonts w:ascii="Arial" w:hAnsi="Arial"/>
        </w:rPr>
        <w:t xml:space="preserve">Veza (2)</w:t>
      </w:r>
    </w:p>
    <w:p w14:paraId="1CDBD418" w14:textId="66377B48" w:rsidR="00395EE9" w:rsidRPr="00DA2D64" w:rsidRDefault="000F009A" w:rsidP="00DA2D64">
      <w:pPr>
        <w:pStyle w:val="Text"/>
        <w:rPr>
          <w:sz w:val="22"/>
        </w:rPr>
      </w:pPr>
      <w:r>
        <w:rPr>
          <w:sz w:val="22"/>
        </w:rPr>
        <w:t xml:space="preserve">Številka 2 vsebuje spremembe 1. člena osnutka zakona, ki predvideva spremembe civilnega zakonika (BGB).</w:t>
      </w:r>
    </w:p>
    <w:p w14:paraId="5911C2A5" w14:textId="19E46F24" w:rsidR="00910B03" w:rsidRDefault="00910B03" w:rsidP="00910B03">
      <w:pPr>
        <w:pStyle w:val="Text"/>
        <w:spacing w:before="120" w:after="120"/>
        <w:rPr>
          <w:b/>
          <w:sz w:val="22"/>
          <w:rFonts w:ascii="Arial" w:hAnsi="Arial" w:cs="Arial"/>
        </w:rPr>
      </w:pPr>
      <w:r>
        <w:rPr>
          <w:b/>
          <w:sz w:val="22"/>
          <w:rFonts w:ascii="Arial" w:hAnsi="Arial"/>
        </w:rPr>
        <w:t xml:space="preserve">Veza (a)</w:t>
      </w:r>
    </w:p>
    <w:p w14:paraId="3BCE5677" w14:textId="7A163C5E" w:rsidR="000F009A" w:rsidRPr="00DA2D64" w:rsidRDefault="000F009A" w:rsidP="00DA2D64">
      <w:pPr>
        <w:pStyle w:val="Text"/>
        <w:rPr>
          <w:sz w:val="22"/>
        </w:rPr>
      </w:pPr>
      <w:r>
        <w:rPr>
          <w:sz w:val="22"/>
        </w:rPr>
        <w:t xml:space="preserve">Črka a vsebuje spremembe BGB, ki so potrebne zaradi vključitve člena 312k BGB v osnutek različice.</w:t>
      </w:r>
    </w:p>
    <w:p w14:paraId="7BAADA35" w14:textId="3DFF40F6" w:rsidR="009F2923" w:rsidRDefault="009F2923" w:rsidP="00910B03">
      <w:pPr>
        <w:pStyle w:val="Text"/>
        <w:spacing w:before="120" w:after="120"/>
        <w:rPr>
          <w:b/>
          <w:sz w:val="22"/>
          <w:rFonts w:ascii="Arial" w:hAnsi="Arial" w:cs="Arial"/>
        </w:rPr>
      </w:pPr>
      <w:r>
        <w:rPr>
          <w:b/>
          <w:sz w:val="22"/>
          <w:rFonts w:ascii="Arial" w:hAnsi="Arial"/>
        </w:rPr>
        <w:t xml:space="preserve">Člen 1, točka 4</w:t>
      </w:r>
    </w:p>
    <w:p w14:paraId="196525AF" w14:textId="07A1B367" w:rsidR="00910B03" w:rsidRDefault="00910B03" w:rsidP="0052608D">
      <w:pPr>
        <w:pStyle w:val="Text"/>
        <w:rPr>
          <w:sz w:val="22"/>
        </w:rPr>
      </w:pPr>
      <w:r>
        <w:rPr>
          <w:sz w:val="22"/>
        </w:rPr>
        <w:t xml:space="preserve">To je posledična sprememba, pogojena z vstavitvijo novega § 312k BGB v osnutek različice.</w:t>
      </w:r>
      <w:r>
        <w:rPr>
          <w:sz w:val="22"/>
        </w:rPr>
        <w:t xml:space="preserve"> </w:t>
      </w:r>
      <w:r>
        <w:rPr>
          <w:sz w:val="22"/>
        </w:rPr>
        <w:t xml:space="preserve">Pričakovano je, da se bo člen 312k nemškega civilnega zakonika izvajal z zgodnejšim datumom začetka veljavnosti z osnutkom zakona o spremembi civilnega zakonika in uvodnega zakona o civilnem zakoniku pri izvajanju Direktive EU za boljše izvrševanje in posodobitev zakonodaje Unije o varstvu potrošnikov ter razveljavitvi Odloka o prenosu odgovornosti za izvajanje Uredbe (ES) št. 2006/2004 na Zvezno ministrstvo za pravosodje in varstvo potrošnikov (Zvezni svet za tiskanje, zadeva 61/21, v nadaljnjem besedilu:</w:t>
      </w:r>
      <w:r>
        <w:rPr>
          <w:sz w:val="22"/>
        </w:rPr>
        <w:t xml:space="preserve"> </w:t>
      </w:r>
      <w:r>
        <w:rPr>
          <w:sz w:val="22"/>
        </w:rPr>
        <w:t xml:space="preserve">Osnutek akta o izvajanju direktive o modernizaciji).</w:t>
      </w:r>
    </w:p>
    <w:p w14:paraId="58637A12" w14:textId="3F86D1C5" w:rsidR="00910B03" w:rsidRDefault="00910B03" w:rsidP="00910B03">
      <w:pPr>
        <w:pStyle w:val="Text"/>
        <w:rPr>
          <w:b/>
          <w:sz w:val="22"/>
          <w:rFonts w:ascii="Arial" w:hAnsi="Arial" w:cs="Arial"/>
        </w:rPr>
      </w:pPr>
      <w:r>
        <w:rPr>
          <w:b/>
          <w:sz w:val="22"/>
          <w:rFonts w:ascii="Arial" w:hAnsi="Arial"/>
        </w:rPr>
        <w:t xml:space="preserve">Člen 1, točka 5</w:t>
      </w:r>
    </w:p>
    <w:p w14:paraId="29FC6254" w14:textId="01CF6BCB" w:rsidR="000F009A" w:rsidRDefault="000F009A" w:rsidP="00FF6FE5">
      <w:pPr>
        <w:pStyle w:val="Text"/>
        <w:rPr>
          <w:sz w:val="22"/>
        </w:rPr>
      </w:pPr>
      <w:r>
        <w:rPr>
          <w:sz w:val="22"/>
        </w:rPr>
        <w:t xml:space="preserve">Člen 1(5) v nemški civilni zakonik uvaja nov člen 312k BGB.</w:t>
      </w:r>
    </w:p>
    <w:p w14:paraId="7B4EFA06" w14:textId="328EC3DA" w:rsidR="00910D9D" w:rsidRDefault="00F24FDD" w:rsidP="00FF6FE5">
      <w:pPr>
        <w:pStyle w:val="Text"/>
        <w:rPr>
          <w:sz w:val="22"/>
        </w:rPr>
      </w:pPr>
      <w:r>
        <w:rPr>
          <w:sz w:val="22"/>
        </w:rPr>
        <w:t xml:space="preserve">Prekinitev pogodb, sklenjenih pri elektronskem poslovanju, za potrošnike pogosto predstavlja poseben izziv.</w:t>
      </w:r>
      <w:r>
        <w:rPr>
          <w:sz w:val="22"/>
        </w:rPr>
        <w:t xml:space="preserve"> </w:t>
      </w:r>
      <w:r>
        <w:rPr>
          <w:sz w:val="22"/>
        </w:rPr>
        <w:t xml:space="preserve">V primerjavi s preprosto sklenitvijo zadevne pogodbe njena odpoved neposredno prek spletne strani deloma ni mogoča, ali pa je zaradi zasnove spletne strani pogosto zapletena.</w:t>
      </w:r>
    </w:p>
    <w:p w14:paraId="1FDAB131" w14:textId="77777777" w:rsidR="00910D9D" w:rsidRDefault="00993AD2" w:rsidP="00FF6FE5">
      <w:pPr>
        <w:pStyle w:val="Text"/>
        <w:rPr>
          <w:sz w:val="22"/>
        </w:rPr>
      </w:pPr>
      <w:r>
        <w:rPr>
          <w:sz w:val="22"/>
        </w:rPr>
        <w:t xml:space="preserve">Obveznosti družbe, predlagane v osnutku § 312k BGBy, naj bi potrošnikom omogočale, da izjave o prenehanju v elektronskem poslovanju ob upoštevanju posebnosti izjav o odpovedi, posredujejo na način, primerljiv posredovanju izjav o sklenitvi ustreznih pogodb.</w:t>
      </w:r>
    </w:p>
    <w:p w14:paraId="23CC65C4" w14:textId="1A6BC79E" w:rsidR="009019C7" w:rsidRDefault="00C50448" w:rsidP="00FF6FE5">
      <w:pPr>
        <w:pStyle w:val="Text"/>
        <w:rPr>
          <w:sz w:val="22"/>
        </w:rPr>
      </w:pPr>
      <w:r>
        <w:rPr>
          <w:sz w:val="22"/>
        </w:rPr>
        <w:t xml:space="preserve">Področje uporabe določbe določa § 312k(1) nemškega civilnega zakonika (BGB) iz osnutka besedila.</w:t>
      </w:r>
      <w:r>
        <w:rPr>
          <w:sz w:val="22"/>
        </w:rPr>
        <w:t xml:space="preserve"> </w:t>
      </w:r>
      <w:r>
        <w:rPr>
          <w:sz w:val="22"/>
        </w:rPr>
        <w:t xml:space="preserve">§ 312k Odstavek 2 nemškega civilnega zakonika (BGB) v osnutku opisuje obveznost družbe, da zagotavlja gumb za prekinitev, in določa dodatne specifikacije za oblikovanje tehničnih sredstev, ki jih mora družba dati na voljo za posredovanje obvestila o prenehanju.</w:t>
      </w:r>
      <w:r>
        <w:rPr>
          <w:sz w:val="22"/>
        </w:rPr>
        <w:t xml:space="preserve"> </w:t>
      </w:r>
      <w:r>
        <w:rPr>
          <w:sz w:val="22"/>
        </w:rPr>
        <w:t xml:space="preserve">§ 312k odstavek 3 nemškega civilnega zakonika (BGB) v osnutku uredbe ureja možnosti potrošnika, da shrani izjavo o odpovedi, ki jo je posredoval.</w:t>
      </w:r>
      <w:r>
        <w:rPr>
          <w:sz w:val="22"/>
        </w:rPr>
        <w:t xml:space="preserve"> </w:t>
      </w:r>
      <w:r>
        <w:rPr>
          <w:sz w:val="22"/>
        </w:rPr>
        <w:t xml:space="preserve">§ 312k(4) nemškega civilnega zakonika (BGB) v osnutku besedila določa obveznost družbe, da potrdi prejem obvestila o odpovedi, ter domnevo glede dostopa do obvestila o odpovedi.</w:t>
      </w:r>
      <w:r>
        <w:rPr>
          <w:sz w:val="22"/>
        </w:rPr>
        <w:t xml:space="preserve"> </w:t>
      </w:r>
      <w:r>
        <w:rPr>
          <w:sz w:val="22"/>
        </w:rPr>
        <w:t xml:space="preserve">§ 312k Odstavek 5 BGB v osnutku besedila vsebuje določbo o dvomu glede datuma prekinitve.</w:t>
      </w:r>
      <w:r>
        <w:rPr>
          <w:sz w:val="22"/>
        </w:rPr>
        <w:t xml:space="preserve"> </w:t>
      </w:r>
      <w:r>
        <w:rPr>
          <w:sz w:val="22"/>
        </w:rPr>
        <w:t xml:space="preserve">§ 312k Odstavek 6 BGB v osnutku določa, da se lahko pogodba prekine kadar koli in brez upoštevanja odpovednega roka, če družba ne izpolnjuje obveznosti iz člena 1 in 2 BGB v osnutku.</w:t>
      </w:r>
    </w:p>
    <w:p w14:paraId="7368D62F" w14:textId="77777777" w:rsidR="00EA1D8C" w:rsidRPr="00623468" w:rsidRDefault="00EA1D8C" w:rsidP="00FC63C3">
      <w:pPr>
        <w:pStyle w:val="Text"/>
        <w:spacing w:before="120" w:after="120"/>
        <w:rPr>
          <w:b/>
          <w:sz w:val="22"/>
          <w:rFonts w:ascii="Arial" w:hAnsi="Arial" w:cs="Arial"/>
        </w:rPr>
      </w:pPr>
      <w:r>
        <w:rPr>
          <w:b/>
          <w:sz w:val="22"/>
          <w:rFonts w:ascii="Arial" w:hAnsi="Arial"/>
        </w:rPr>
        <w:t xml:space="preserve">V zvezi s § 312k, odstavek 1, BGB-E:</w:t>
      </w:r>
    </w:p>
    <w:p w14:paraId="17EDBBF1" w14:textId="7D78ECB9" w:rsidR="007E1EA0" w:rsidRPr="00FF6FE5" w:rsidRDefault="007E1EA0" w:rsidP="00FF6FE5">
      <w:pPr>
        <w:pStyle w:val="Text"/>
        <w:rPr>
          <w:sz w:val="22"/>
        </w:rPr>
      </w:pPr>
      <w:r>
        <w:rPr>
          <w:sz w:val="22"/>
        </w:rPr>
        <w:t xml:space="preserve">§ 312k Odstavek 1 BGB v osnutku vsebuje zahteve za obveznosti družbe iz § 312k BGB v osnutku, prav tako tudi številne izjeme.</w:t>
      </w:r>
    </w:p>
    <w:p w14:paraId="79AB8D0A" w14:textId="6D12DF24" w:rsidR="005E1C0F" w:rsidRDefault="00297295" w:rsidP="005E1C0F">
      <w:pPr>
        <w:pStyle w:val="Text"/>
        <w:rPr>
          <w:sz w:val="22"/>
        </w:rPr>
      </w:pPr>
      <w:r>
        <w:rPr>
          <w:sz w:val="22"/>
        </w:rPr>
        <w:t xml:space="preserve">Obveznost iz § 312k(1) nemškega civilnega zakonika (BGB) v osnutku velja za podjetje, kadar je potrošnikom omogočeno sklepanje pogodb, kot je to opredeljeno v § 312k, odstavek 1, stavek 1 nemškega civilnega zakonika (BGB) v osnutku.</w:t>
      </w:r>
    </w:p>
    <w:p w14:paraId="14C929D8" w14:textId="579E8842" w:rsidR="005E1C0F" w:rsidRDefault="005E1C0F" w:rsidP="005E1C0F">
      <w:pPr>
        <w:pStyle w:val="Text"/>
        <w:rPr>
          <w:sz w:val="22"/>
        </w:rPr>
      </w:pPr>
      <w:r>
        <w:rPr>
          <w:sz w:val="22"/>
        </w:rPr>
        <w:t xml:space="preserve"> § 312k Odstavek 1, stavek 1 BGB v osnutku uporablja izraz „pogodba v elektronskem poslovanju“, ki je pravno opredeljen v § 312i, odstavek 1, stavek 1 nemškega civilnega zakonika.</w:t>
      </w:r>
    </w:p>
    <w:p w14:paraId="2230FA64" w14:textId="64CB3F4D" w:rsidR="004025EB" w:rsidRDefault="005E1C0F" w:rsidP="005E1C0F">
      <w:pPr>
        <w:pStyle w:val="Text"/>
        <w:rPr>
          <w:sz w:val="22"/>
        </w:rPr>
      </w:pPr>
      <w:r>
        <w:rPr>
          <w:sz w:val="22"/>
        </w:rPr>
        <w:t xml:space="preserve">Sklenitev osnutka teh pogodb mora biti omogočena prek „spletne strani“ v skladu s § 312k(1), Odločbo 1 BGB.</w:t>
      </w:r>
      <w:r>
        <w:rPr>
          <w:sz w:val="22"/>
        </w:rPr>
        <w:t xml:space="preserve"> </w:t>
      </w:r>
      <w:r>
        <w:rPr>
          <w:sz w:val="22"/>
        </w:rPr>
        <w:t xml:space="preserve">Za razlago izraza „spletna stran“ se lahko v zvezi z enakim izrazom v oddelku 312j(1) nemškega civilnega zakonika uporabi sodna praksa.</w:t>
      </w:r>
    </w:p>
    <w:p w14:paraId="6AA292BC" w14:textId="470333E1" w:rsidR="005E1C0F" w:rsidRDefault="005E1C0F" w:rsidP="005E1C0F">
      <w:pPr>
        <w:pStyle w:val="Text"/>
        <w:rPr>
          <w:sz w:val="22"/>
        </w:rPr>
      </w:pPr>
      <w:r>
        <w:rPr>
          <w:sz w:val="22"/>
        </w:rPr>
        <w:t xml:space="preserve">Obveznost podjetja iz § 312k BGB v osnutku je upravičena tako, da ni nobene razlike med dejstvoma, ali sklepanje pogodbe prek spletne strani upravlja podjetje samo, ali pa - na primer v primeru posredniških platform - prek spletne strani, ki jo upravlja tretja oseba.</w:t>
      </w:r>
      <w:r>
        <w:rPr>
          <w:sz w:val="22"/>
        </w:rPr>
        <w:t xml:space="preserve"> </w:t>
      </w:r>
      <w:r>
        <w:rPr>
          <w:sz w:val="22"/>
        </w:rPr>
        <w:t xml:space="preserve">Družba mora v obeh primerih zagotoviti, da lahko potrošnik v skladu z zahtevami iz § 312k BGB v osnutku vloži odpoved.</w:t>
      </w:r>
      <w:r>
        <w:rPr>
          <w:sz w:val="22"/>
        </w:rPr>
        <w:t xml:space="preserve"> </w:t>
      </w:r>
      <w:r>
        <w:rPr>
          <w:sz w:val="22"/>
        </w:rPr>
        <w:t xml:space="preserve">Če sklenitev pogodbe poteka na spletni strani, ki je družba sama ne upravlja, potem mora družba tretjo osebo pogodbeno obvezati kot upravljavca spletne strani tretje osebe.</w:t>
      </w:r>
    </w:p>
    <w:p w14:paraId="16B2E46F" w14:textId="04A80DFB" w:rsidR="005E1C0F" w:rsidRDefault="005E1C0F" w:rsidP="005E1C0F">
      <w:pPr>
        <w:pStyle w:val="Text"/>
        <w:rPr>
          <w:sz w:val="22"/>
        </w:rPr>
      </w:pPr>
      <w:r>
        <w:rPr>
          <w:sz w:val="22"/>
        </w:rPr>
        <w:t xml:space="preserve">Obveznost družbe v skladu s stavkom 1 § 312k 1 BGB je omejena na pogodbe med podjetji in potrošniki za vzpostavitev trajnih dolžniških razmerij, ki podjetje zavezujejo k plačilu.</w:t>
      </w:r>
      <w:r>
        <w:rPr>
          <w:sz w:val="22"/>
        </w:rPr>
        <w:t xml:space="preserve"> </w:t>
      </w:r>
      <w:r>
        <w:rPr>
          <w:sz w:val="22"/>
        </w:rPr>
        <w:t xml:space="preserve">Omejitev na trajni dolg je določena z vidika varstva potrošnikov, ker imajo ti posebno potrebo po olajšanju možnosti prekinitve.</w:t>
      </w:r>
      <w:r>
        <w:rPr>
          <w:sz w:val="22"/>
        </w:rPr>
        <w:t xml:space="preserve"> </w:t>
      </w:r>
      <w:r>
        <w:rPr>
          <w:sz w:val="22"/>
        </w:rPr>
        <w:t xml:space="preserve">Dolgoročna dolžniška razmerja se lahko zaradi dolgoročne zavezanosti potrošnikom pogosto izkažejo za „stroškovne pasti“.</w:t>
      </w:r>
      <w:r>
        <w:rPr>
          <w:sz w:val="22"/>
        </w:rPr>
        <w:t xml:space="preserve"> </w:t>
      </w:r>
      <w:r>
        <w:rPr>
          <w:sz w:val="22"/>
        </w:rPr>
        <w:t xml:space="preserve">Po drugi strani pa ima lahko prenehanje drugih obveznosti kot trajnih dolgov v nekaterih primerih za potrošnika pravne posledice, ki se z vidika potrošnika zdijo nepričakovane (npr. stalna obveznost plačevanja kupcu v primeru pravice do odpovedi v skladu s § 648 BGB).</w:t>
      </w:r>
      <w:r>
        <w:rPr>
          <w:sz w:val="22"/>
        </w:rPr>
        <w:t xml:space="preserve"> </w:t>
      </w:r>
      <w:r>
        <w:rPr>
          <w:sz w:val="22"/>
        </w:rPr>
        <w:t xml:space="preserve">Zaradi teh pravnih posledic bi bilo zlasti standardizirano izpolnjevanje obveznosti podjetja, da zagotovi informacije v skladu s stavkom 3 točko 2 § 312k(2) nemškega civilnega zakonika, v osnutku precej težje.</w:t>
      </w:r>
      <w:r>
        <w:rPr>
          <w:sz w:val="22"/>
        </w:rPr>
        <w:t xml:space="preserve"> </w:t>
      </w:r>
      <w:r>
        <w:rPr>
          <w:sz w:val="22"/>
        </w:rPr>
        <w:t xml:space="preserve">Zato § 312k BGB v osnutku ne bi smel zajemati drugih pogodb, razen tistih, ki se nanašajo na trajni dolg zaradi posebnih posledic prenehanja v posameznih primerih.</w:t>
      </w:r>
    </w:p>
    <w:p w14:paraId="7CBE89AF" w14:textId="39C4CA64" w:rsidR="00021CCF" w:rsidRDefault="00AA0FD6" w:rsidP="00FF6FE5">
      <w:pPr>
        <w:pStyle w:val="Text"/>
        <w:rPr>
          <w:sz w:val="22"/>
        </w:rPr>
      </w:pPr>
      <w:r>
        <w:rPr>
          <w:sz w:val="22"/>
        </w:rPr>
        <w:t xml:space="preserve">V skladu s § 312k Odstavek 1, stavek 2, točka 1 nemškega civilnega zakonika (BGB) v osnutku se § 312k BGB v osnutku ne uporablja, če je treba odpoved zadevne pogodbe na podlagi pravnih formalnih zahtev predložiti izključno v obliki, strožji od besedilne oblike.</w:t>
      </w:r>
      <w:r>
        <w:rPr>
          <w:sz w:val="22"/>
        </w:rPr>
        <w:t xml:space="preserve"> </w:t>
      </w:r>
      <w:r>
        <w:rPr>
          <w:sz w:val="22"/>
        </w:rPr>
        <w:t xml:space="preserve">To torej vključuje tudi formalno zahtevo - v primerjavi z obliko, strožjo od besedilne - elektronskega obrazca v skladu s § 126a nemškega civilnega zakonika, ali pisnega obrazca.</w:t>
      </w:r>
      <w:r>
        <w:rPr>
          <w:sz w:val="22"/>
        </w:rPr>
        <w:t xml:space="preserve"> </w:t>
      </w:r>
      <w:r>
        <w:rPr>
          <w:sz w:val="22"/>
        </w:rPr>
        <w:t xml:space="preserve">To prav tako izključuje izjave o odpovedi, izdane v overjeni notarski obliki.</w:t>
      </w:r>
    </w:p>
    <w:p w14:paraId="5AC9F0DA" w14:textId="10D6BCB1" w:rsidR="00FF6FE5" w:rsidRDefault="00FF6FE5" w:rsidP="00FF6FE5">
      <w:pPr>
        <w:pStyle w:val="Text"/>
        <w:rPr>
          <w:sz w:val="22"/>
        </w:rPr>
      </w:pPr>
      <w:r>
        <w:rPr>
          <w:sz w:val="22"/>
        </w:rPr>
        <w:t xml:space="preserve">§ člena 312k BGB v osnutku je razširiti potrošnikove možnosti odpovedi, pri tem pa ne omejiti ali izključiti posredovanja obvestil o odpovedi z drugimi sredstvi.</w:t>
      </w:r>
      <w:r>
        <w:rPr>
          <w:sz w:val="22"/>
        </w:rPr>
        <w:t xml:space="preserve"> </w:t>
      </w:r>
      <w:r>
        <w:rPr>
          <w:sz w:val="22"/>
        </w:rPr>
        <w:t xml:space="preserve">Zlasti sporazum s predhodno oblikovanimi pogodbenimi pogoji ostaja neveljaven v skladu s točko 13(c) </w:t>
      </w:r>
      <w:r>
        <w:rPr>
          <w:sz w:val="22"/>
          <w:b/>
          <w:bCs/>
        </w:rPr>
        <w:t xml:space="preserve">§</w:t>
      </w:r>
      <w:r>
        <w:rPr>
          <w:sz w:val="22"/>
        </w:rPr>
        <w:t xml:space="preserve"> 309 nemškega civilnega zakonika (BGB) samo s pomočjo gumba, ki je na voljo v osnutku z gumbom, ki se zagotovi v skladu s §312k BGB.</w:t>
      </w:r>
    </w:p>
    <w:p w14:paraId="31DAAE9B" w14:textId="75A60568" w:rsidR="00D663F5" w:rsidRDefault="0020302D" w:rsidP="00FF6FE5">
      <w:pPr>
        <w:pStyle w:val="Text"/>
        <w:rPr>
          <w:sz w:val="22"/>
        </w:rPr>
      </w:pPr>
      <w:r>
        <w:rPr>
          <w:sz w:val="22"/>
        </w:rPr>
        <w:t xml:space="preserve">§ 312k Odstavek 1, stavek 2, točka 2 BGB v osnutku določa, da so podjetja iz obveznosti iz člena 312k BGB v osnutku izvzeta, če se spletna stran nanaša na finančne storitve ali zadevne pogodbe predstavljajo pogodbe za finančne storitve.</w:t>
      </w:r>
      <w:r>
        <w:rPr>
          <w:sz w:val="22"/>
        </w:rPr>
        <w:t xml:space="preserve"> </w:t>
      </w:r>
      <w:r>
        <w:rPr>
          <w:sz w:val="22"/>
        </w:rPr>
        <w:t xml:space="preserve">Vzorec za to določbo je odstavek 5 odstavka 2 § 312j BGB; izraz „finančne storitve“ je pravno opredeljen v § 312(5), stavek 1, BGB.</w:t>
      </w:r>
    </w:p>
    <w:p w14:paraId="1029C765" w14:textId="77777777" w:rsidR="00157A5E" w:rsidRPr="00623468" w:rsidRDefault="00157A5E" w:rsidP="00157A5E">
      <w:pPr>
        <w:pStyle w:val="Text"/>
        <w:spacing w:before="120" w:after="120"/>
        <w:rPr>
          <w:b/>
          <w:sz w:val="22"/>
          <w:rFonts w:ascii="Arial" w:hAnsi="Arial" w:cs="Arial"/>
        </w:rPr>
      </w:pPr>
      <w:r>
        <w:rPr>
          <w:b/>
          <w:sz w:val="22"/>
          <w:rFonts w:ascii="Arial" w:hAnsi="Arial"/>
        </w:rPr>
        <w:t xml:space="preserve">V zvezi s § 312k, odstavek 2, BGB-E:</w:t>
      </w:r>
    </w:p>
    <w:p w14:paraId="2DD32C42" w14:textId="0A95DE40" w:rsidR="006F0DAE" w:rsidRDefault="006F0DAE" w:rsidP="006F0DAE">
      <w:pPr>
        <w:pStyle w:val="Text"/>
        <w:rPr>
          <w:sz w:val="22"/>
        </w:rPr>
      </w:pPr>
      <w:r>
        <w:rPr>
          <w:sz w:val="22"/>
        </w:rPr>
        <w:t xml:space="preserve">§ 312k Člen 2 nemškega civilnega zakonika (BGB) v osnutku določa obveznost družbe in določa dvostopenjski postopek za posredovanje obvestila o odpovedi.</w:t>
      </w:r>
    </w:p>
    <w:p w14:paraId="180E6231" w14:textId="20BA4C93" w:rsidR="006257ED" w:rsidRDefault="006257ED" w:rsidP="006257ED">
      <w:pPr>
        <w:pStyle w:val="Text"/>
        <w:rPr>
          <w:sz w:val="22"/>
        </w:rPr>
      </w:pPr>
      <w:r>
        <w:rPr>
          <w:sz w:val="22"/>
        </w:rPr>
        <w:t xml:space="preserve">§ 312k Odstavek 2 stavka 1 nemškega civilnega zakonika (BGB) v osnutku obveznost družbe v osnutku omejuje na običajne in izredne prekinitve v skladu s § 312k BGB.</w:t>
      </w:r>
      <w:r>
        <w:rPr>
          <w:sz w:val="22"/>
        </w:rPr>
        <w:t xml:space="preserve"> </w:t>
      </w:r>
      <w:r>
        <w:rPr>
          <w:sz w:val="22"/>
        </w:rPr>
        <w:t xml:space="preserve">Obvestila o garanciji in druge pravice do prekinitve trajnih dolžniških razmerij (vključno z odstopom in prenehanjem pogodbe zaradi neizpolnjevanja, napake ali neugodne spremembe digitalnih izdelkov v skladu z osnutkom zakona o izvajanju direktive o nekaterih pogodbenih vidikih zagotavljanja digitalnih vsebin in digitalnih storitev - tiskani material Zveznega sveta 60/21) v tej uredbi niso zajeta.</w:t>
      </w:r>
    </w:p>
    <w:p w14:paraId="7AD9A1FA" w14:textId="77777777" w:rsidR="006257ED" w:rsidRDefault="006257ED" w:rsidP="006257ED">
      <w:pPr>
        <w:pStyle w:val="Text"/>
        <w:rPr>
          <w:sz w:val="22"/>
        </w:rPr>
      </w:pPr>
      <w:r>
        <w:rPr>
          <w:sz w:val="22"/>
        </w:rPr>
        <w:t xml:space="preserve">Prekinitev pogodb, ki vzpostavljajo pravne pravice, ni zajeta v področje uporabe, ker pogodbe niso sklenjene v elektronskem poslovanju.</w:t>
      </w:r>
      <w:r>
        <w:rPr>
          <w:sz w:val="22"/>
        </w:rPr>
        <w:t xml:space="preserve"> </w:t>
      </w:r>
      <w:r>
        <w:rPr>
          <w:sz w:val="22"/>
        </w:rPr>
        <w:t xml:space="preserve">Čeprav se hipoteke ali storitve lahko uradno prekinejo, pa ne predstavljajo pogodb o elektronskem poslovanju med podjetji in potrošniki.</w:t>
      </w:r>
    </w:p>
    <w:p w14:paraId="0A27EC29" w14:textId="7090A24C" w:rsidR="006257ED" w:rsidRDefault="006257ED" w:rsidP="006257ED">
      <w:pPr>
        <w:pStyle w:val="Text"/>
        <w:rPr>
          <w:sz w:val="22"/>
        </w:rPr>
      </w:pPr>
      <w:r>
        <w:rPr>
          <w:sz w:val="22"/>
        </w:rPr>
        <w:t xml:space="preserve">Upravičenost obveznosti družbe ni odvisna od tega, ali je bila pogodba, ki jo je treba objaviti, sklenjena tudi v okviru elektronskega poslovanja.</w:t>
      </w:r>
      <w:r>
        <w:rPr>
          <w:sz w:val="22"/>
        </w:rPr>
        <w:t xml:space="preserve"> </w:t>
      </w:r>
      <w:r>
        <w:rPr>
          <w:sz w:val="22"/>
        </w:rPr>
        <w:t xml:space="preserve">Bistveno je, ali družba ob prenehanju pogodbe omogoča sklepanje elektronskega poslovanja.</w:t>
      </w:r>
    </w:p>
    <w:p w14:paraId="327BEF9A" w14:textId="482C4A2C" w:rsidR="006257ED" w:rsidRDefault="006257ED" w:rsidP="006F0DAE">
      <w:pPr>
        <w:pStyle w:val="Text"/>
        <w:rPr>
          <w:sz w:val="22"/>
        </w:rPr>
      </w:pPr>
      <w:r>
        <w:rPr>
          <w:sz w:val="22"/>
        </w:rPr>
        <w:t xml:space="preserve">Obveznost družbe je neodvisna od obsega, v katerem je potrošnik v posameznih primerih dejansko upravičen do pravice do odstopa od pogodbe.</w:t>
      </w:r>
      <w:r>
        <w:rPr>
          <w:sz w:val="22"/>
        </w:rPr>
        <w:t xml:space="preserve"> </w:t>
      </w:r>
      <w:r>
        <w:rPr>
          <w:sz w:val="22"/>
        </w:rPr>
        <w:t xml:space="preserve">Namen gumba je zgolj ustvariti drugo možnost, da potrošnik poda odpoved.</w:t>
      </w:r>
      <w:r>
        <w:rPr>
          <w:sz w:val="22"/>
        </w:rPr>
        <w:t xml:space="preserve"> </w:t>
      </w:r>
      <w:r>
        <w:rPr>
          <w:sz w:val="22"/>
        </w:rPr>
        <w:t xml:space="preserve">Bistveno dovoljenje potrošnika za prekinitev ne predstavlja zahteve za uporabo gumba v skladu s § 312k BGB v osnutku.</w:t>
      </w:r>
    </w:p>
    <w:p w14:paraId="1955AD28" w14:textId="3F43B095" w:rsidR="006F0DAE" w:rsidRDefault="006F0DAE" w:rsidP="006F0DAE">
      <w:pPr>
        <w:pStyle w:val="Text"/>
        <w:rPr>
          <w:sz w:val="22"/>
        </w:rPr>
      </w:pPr>
      <w:r>
        <w:rPr>
          <w:sz w:val="22"/>
        </w:rPr>
        <w:t xml:space="preserve">V skladu s § 312k, odstavek 2, stavek 2 nemškega civilnega zakonika (BGB) v osnutku mora podjetje najprej zagotoviti gumb, označen z besedilom „pogodbo prekinite tukaj“, ki potrošnika vodi do druge strani, imenovane „potrditvena stran“.</w:t>
      </w:r>
      <w:r>
        <w:rPr>
          <w:sz w:val="22"/>
        </w:rPr>
        <w:t xml:space="preserve"> </w:t>
      </w:r>
      <w:r>
        <w:rPr>
          <w:sz w:val="22"/>
        </w:rPr>
        <w:t xml:space="preserve">Navedbe, ki ne predstavljajo ‚preklica pogodbe‘, so dovoljene le, če so enako jasne.</w:t>
      </w:r>
      <w:r>
        <w:rPr>
          <w:sz w:val="22"/>
        </w:rPr>
        <w:t xml:space="preserve"> </w:t>
      </w:r>
      <w:r>
        <w:rPr>
          <w:sz w:val="22"/>
        </w:rPr>
        <w:t xml:space="preserve">Opozoriti je treba, da mora biti po potrebi tudi iz drugačne navedbe razvidno, da gumb za prekinitev še ni naveden, temveč se začenja samo postopek prekinitve.</w:t>
      </w:r>
      <w:r>
        <w:rPr>
          <w:sz w:val="22"/>
        </w:rPr>
        <w:t xml:space="preserve"> </w:t>
      </w:r>
      <w:r>
        <w:rPr>
          <w:sz w:val="22"/>
        </w:rPr>
        <w:t xml:space="preserve">V vsakem primeru je namen besedila pojasniti potrošnikom, da lahko ob pritisku na gumb zagotovijo dodatne informacije, preden se lahko predloži izjava o prekinitvi.</w:t>
      </w:r>
    </w:p>
    <w:p w14:paraId="33C9D851" w14:textId="2B1CF4CC" w:rsidR="00035D26" w:rsidRDefault="00AF7B14" w:rsidP="006F0DAE">
      <w:pPr>
        <w:pStyle w:val="Text"/>
        <w:rPr>
          <w:sz w:val="22"/>
        </w:rPr>
      </w:pPr>
      <w:r>
        <w:rPr>
          <w:sz w:val="22"/>
        </w:rPr>
        <w:t xml:space="preserve">Da bi se pogodba prekinila z obvestilom o odpovedi, mora biti obvestilo zasnovano tako, da lahko prejemnik razbere, kdo razglaša prekinitev in katera pogodba se prekinja.</w:t>
      </w:r>
      <w:r>
        <w:rPr>
          <w:sz w:val="22"/>
        </w:rPr>
        <w:t xml:space="preserve"> </w:t>
      </w:r>
      <w:r>
        <w:rPr>
          <w:sz w:val="22"/>
        </w:rPr>
        <w:t xml:space="preserve">Potrditvena stran mora zato od potrošnika zahtevati, da v osnutek vnese potrebne informacije v skladu s točko 1(a) do (e) stavka 3 § 312k(2) BGB, in mu to omogočiti.</w:t>
      </w:r>
      <w:r>
        <w:rPr>
          <w:sz w:val="22"/>
        </w:rPr>
        <w:t xml:space="preserve"> </w:t>
      </w:r>
      <w:r>
        <w:rPr>
          <w:sz w:val="22"/>
        </w:rPr>
        <w:t xml:space="preserve">V ta namen bi moral potrošnik imeti možnost, da najprej navede naravo prekinitve, v primeru izredne prekinitve pa tudi osnovni razlog za prekinitev (črka a).</w:t>
      </w:r>
      <w:r>
        <w:rPr>
          <w:sz w:val="22"/>
        </w:rPr>
        <w:t xml:space="preserve"> </w:t>
      </w:r>
      <w:r>
        <w:rPr>
          <w:sz w:val="22"/>
        </w:rPr>
        <w:t xml:space="preserve">Poleg tega mora biti potrošnik sposoben navesti informacije, potrebne za njegovo identifikacijo (črka b) in za nedvoumen opis pogodbe (črka c).</w:t>
      </w:r>
      <w:r>
        <w:rPr>
          <w:sz w:val="22"/>
        </w:rPr>
        <w:t xml:space="preserve"> </w:t>
      </w:r>
      <w:r>
        <w:rPr>
          <w:sz w:val="22"/>
        </w:rPr>
        <w:t xml:space="preserve">Za identifikacijo so običajno potrebni ime in priimek ter naslov.</w:t>
      </w:r>
      <w:r>
        <w:rPr>
          <w:sz w:val="22"/>
        </w:rPr>
        <w:t xml:space="preserve"> </w:t>
      </w:r>
      <w:r>
        <w:rPr>
          <w:sz w:val="22"/>
        </w:rPr>
        <w:t xml:space="preserve">Za opredelitev pogodbe lahko podjetje poizveduje o strankah, naročilu ali številkah pogodbe.</w:t>
      </w:r>
      <w:r>
        <w:rPr>
          <w:sz w:val="22"/>
        </w:rPr>
        <w:t xml:space="preserve"> </w:t>
      </w:r>
      <w:r>
        <w:rPr>
          <w:sz w:val="22"/>
        </w:rPr>
        <w:t xml:space="preserve">V skladu s črko d bi bilo treba potrošniku dovoliti, da navede datum začetka veljavnosti prekinitve.</w:t>
      </w:r>
      <w:r>
        <w:rPr>
          <w:sz w:val="22"/>
        </w:rPr>
        <w:t xml:space="preserve"> </w:t>
      </w:r>
      <w:r>
        <w:rPr>
          <w:sz w:val="22"/>
        </w:rPr>
        <w:t xml:space="preserve">Vendar pa tega ni mogoče zahtevati kot obveznost, brez katere prekinitve prek spletne strani ni mogoče razložiti.</w:t>
      </w:r>
      <w:r>
        <w:rPr>
          <w:sz w:val="22"/>
        </w:rPr>
        <w:t xml:space="preserve"> </w:t>
      </w:r>
      <w:r>
        <w:rPr>
          <w:sz w:val="22"/>
        </w:rPr>
        <w:t xml:space="preserve">To izhaja že iz § 312k odstavka 5 nemškega civilnega zakonika (BGB) v osnutku, v skladu s katerim obvestilo o prekinitve v primeru, ko datum prekinitve ni naveden, začne veljati čim prej.</w:t>
      </w:r>
      <w:r>
        <w:rPr>
          <w:sz w:val="22"/>
        </w:rPr>
        <w:t xml:space="preserve"> </w:t>
      </w:r>
      <w:r>
        <w:rPr>
          <w:sz w:val="22"/>
        </w:rPr>
        <w:t xml:space="preserve">V zvezi s tem bi bilo treba poleg možnosti za vpis določenega datuma omogočiti izbirno možnost „čim prej“ ali podobno besedilo, ki izraža ustrezno željo po prekinitvi v najkrajšem možnem času.</w:t>
      </w:r>
      <w:r>
        <w:rPr>
          <w:sz w:val="22"/>
        </w:rPr>
        <w:t xml:space="preserve"> </w:t>
      </w:r>
      <w:r>
        <w:rPr>
          <w:sz w:val="22"/>
        </w:rPr>
        <w:t xml:space="preserve">Poleg tega mora biti potrošniku v skladu s črko e omogočeno, da podjetju zagotovi informacije, ki podjetju omogočajo, da v skladu s § 312k(4) stavkom 1 nemškega civilnega zakonika potrošniku pošlje osnutek potrdila o prekinitvi (običajno na elektronski naslov).</w:t>
      </w:r>
    </w:p>
    <w:p w14:paraId="6FC5D772" w14:textId="10CA55D4" w:rsidR="00AF7B14" w:rsidRDefault="00BF30DD" w:rsidP="006F0DAE">
      <w:pPr>
        <w:pStyle w:val="Text"/>
        <w:rPr>
          <w:sz w:val="22"/>
        </w:rPr>
      </w:pPr>
      <w:r>
        <w:rPr>
          <w:sz w:val="22"/>
        </w:rPr>
        <w:t xml:space="preserve">§ 312k Odstavek 2, stavek 3, št. 1 nemškega civilnega zakonika (BGB) v osnutku zato zagotavlja, da lahko potrošnik poda informacije, potrebne za dovolj natančno navedbo izjave o prekinitvi, zlasti v zvezi s pogodbo, ki jo želi prekiniti.</w:t>
      </w:r>
      <w:r>
        <w:rPr>
          <w:sz w:val="22"/>
        </w:rPr>
        <w:t xml:space="preserve"> </w:t>
      </w:r>
      <w:r>
        <w:rPr>
          <w:sz w:val="22"/>
        </w:rPr>
        <w:t xml:space="preserve">Namen omejitve obsega informacij, ki jih je treba zahtevati, je preprečitev oblikovanja potrditvenih strani, na katerih družba zahteva dodatne podatke, ki potrošniku niso takoj na voljo in za nesporno določitev niso potrebni, zaradi česar bi bilo pogodbo težko prekiniti na preprost in nezapleten način.</w:t>
      </w:r>
      <w:r>
        <w:rPr>
          <w:sz w:val="22"/>
        </w:rPr>
        <w:t xml:space="preserve"> </w:t>
      </w:r>
      <w:r>
        <w:rPr>
          <w:sz w:val="22"/>
        </w:rPr>
        <w:t xml:space="preserve">Hkrati bi moralo svetovanje potekati v skladu z načelom podatkovne ekonomije iz člena 5(1)(c) Uredbe (EU) 2016/679 Evropskega parlamenta in Sveta z dne 27. aprila 2016 o varstvu posameznikov pri obdelavi osebnih podatkov, o prostem pretoku takih podatkov in razveljavitvi Direktive 95/46/ES.</w:t>
      </w:r>
    </w:p>
    <w:p w14:paraId="52C9326B" w14:textId="5C0D9C17" w:rsidR="009F726F" w:rsidRPr="006F0DAE" w:rsidRDefault="00060631" w:rsidP="009F726F">
      <w:pPr>
        <w:pStyle w:val="Text"/>
        <w:rPr>
          <w:sz w:val="22"/>
        </w:rPr>
      </w:pPr>
      <w:r>
        <w:rPr>
          <w:sz w:val="22"/>
        </w:rPr>
        <w:t xml:space="preserve">V skladu s točko 2 BGB § 312k, odstavek 2, stavek 3, točka 2 BGB v osnutku, mora biti na potrditveni strani na voljo gumb, imenovan „gumb za potrditev“, s katerim lahko potrošnik predloži izjavo o prekinitvi.</w:t>
      </w:r>
      <w:r>
        <w:rPr>
          <w:sz w:val="22"/>
        </w:rPr>
        <w:t xml:space="preserve"> </w:t>
      </w:r>
      <w:r>
        <w:rPr>
          <w:sz w:val="22"/>
        </w:rPr>
        <w:t xml:space="preserve">Ta potrditveni gumb mora biti označen z besedilom „prekličite zdaj“.</w:t>
      </w:r>
      <w:r>
        <w:rPr>
          <w:sz w:val="22"/>
        </w:rPr>
        <w:t xml:space="preserve"> </w:t>
      </w:r>
      <w:r>
        <w:rPr>
          <w:sz w:val="22"/>
        </w:rPr>
        <w:t xml:space="preserve">Druge navedbe so dovoljene le, če so do enake mere nedvoumne.</w:t>
      </w:r>
    </w:p>
    <w:p w14:paraId="2785EC0B" w14:textId="576F478D" w:rsidR="00285780" w:rsidRDefault="006F0DAE" w:rsidP="00285780">
      <w:pPr>
        <w:pStyle w:val="Text"/>
        <w:rPr>
          <w:sz w:val="22"/>
        </w:rPr>
      </w:pPr>
      <w:r>
        <w:rPr>
          <w:sz w:val="22"/>
        </w:rPr>
        <w:t xml:space="preserve">Oba gumba in potrditvena stran morata biti „stalno dostopna in neposredno in enostavno dostopna“ v osnutku v skladu s stavkom 4 nemškega civilnega zakonika § 312k(2).</w:t>
      </w:r>
      <w:r>
        <w:rPr>
          <w:sz w:val="22"/>
        </w:rPr>
        <w:t xml:space="preserve"> </w:t>
      </w:r>
      <w:r>
        <w:rPr>
          <w:sz w:val="22"/>
        </w:rPr>
        <w:t xml:space="preserve">Kar zadeva zahtevo „stalno dostopno“, ta uredba temelji na ustrezni zahtevi iz § 5(1) Zakona o telekomunikacijah.</w:t>
      </w:r>
      <w:r>
        <w:rPr>
          <w:sz w:val="22"/>
        </w:rPr>
        <w:t xml:space="preserve"> </w:t>
      </w:r>
      <w:r>
        <w:rPr>
          <w:sz w:val="22"/>
        </w:rPr>
        <w:t xml:space="preserve">Potrošniki morajo imeti zato kadar koli možnost dostopa do obeh gumbov in potrditvene strani in se jim v ta namen na spletni strani ni treba predhodno registrirati.</w:t>
      </w:r>
      <w:r>
        <w:rPr>
          <w:sz w:val="22"/>
        </w:rPr>
        <w:t xml:space="preserve"> </w:t>
      </w:r>
      <w:r>
        <w:rPr>
          <w:sz w:val="22"/>
        </w:rPr>
        <w:t xml:space="preserve">Po drugi strani pa je začasna tehnična nedostopnost zaradi vzdrževalnih del neškodljiva (glej sodbo višjega regionalnega sodišča v Düsseldorfu z dne 4. novembra 2008, številka spisa:</w:t>
      </w:r>
      <w:r>
        <w:rPr>
          <w:sz w:val="22"/>
        </w:rPr>
        <w:t xml:space="preserve"> </w:t>
      </w:r>
      <w:r>
        <w:rPr>
          <w:sz w:val="22"/>
        </w:rPr>
        <w:t xml:space="preserve">I-20 U 125/08).</w:t>
      </w:r>
      <w:r>
        <w:rPr>
          <w:sz w:val="22"/>
        </w:rPr>
        <w:t xml:space="preserve"> </w:t>
      </w:r>
      <w:r>
        <w:rPr>
          <w:sz w:val="22"/>
        </w:rPr>
        <w:t xml:space="preserve">Zahteva „neposredno in lahko dostopna“ temelji na členu 246d(2)(2) Uvodnega zakona k civilnem zakoniku (EGBGB), kakor je bil spremenjen z osnutkom zakona o izvajanju direktive o modernizaciji; sklicuje se na ustrezna pojasnila (tiskovine Zveznega sveta 61/21, str. 37 f.).</w:t>
      </w:r>
    </w:p>
    <w:p w14:paraId="584AC89F" w14:textId="77777777" w:rsidR="00306B62" w:rsidRDefault="00306B62" w:rsidP="006F0DAE">
      <w:pPr>
        <w:pStyle w:val="Text"/>
        <w:rPr>
          <w:b/>
          <w:sz w:val="22"/>
          <w:rFonts w:ascii="Arial" w:hAnsi="Arial" w:cs="Arial"/>
        </w:rPr>
      </w:pPr>
      <w:r>
        <w:rPr>
          <w:b/>
          <w:sz w:val="22"/>
          <w:rFonts w:ascii="Arial" w:hAnsi="Arial"/>
        </w:rPr>
        <w:t xml:space="preserve">V zvezi s § 312k odstavek 3 BGB-E:</w:t>
      </w:r>
    </w:p>
    <w:p w14:paraId="0F548D72" w14:textId="7AAA2D18" w:rsidR="00D528F9" w:rsidRPr="006F0DAE" w:rsidRDefault="00D528F9" w:rsidP="006F0DAE">
      <w:pPr>
        <w:pStyle w:val="Text"/>
        <w:rPr>
          <w:sz w:val="22"/>
        </w:rPr>
      </w:pPr>
      <w:r>
        <w:rPr>
          <w:sz w:val="22"/>
        </w:rPr>
        <w:t xml:space="preserve">Namen §312k(3) nemškega civilnega zakonika (BGB) v osnutku je zagotoviti, da lahko potrošnik že dokumentira predložitev obvestila o prekinitvi.</w:t>
      </w:r>
      <w:r>
        <w:rPr>
          <w:sz w:val="22"/>
        </w:rPr>
        <w:t xml:space="preserve"> </w:t>
      </w:r>
      <w:r>
        <w:rPr>
          <w:sz w:val="22"/>
        </w:rPr>
        <w:t xml:space="preserve">To se lahko izvede na primer s povzetkom vsebine deklaracije o prekinitvi, ki ga je mogoče prenesti in ki se predloži z gumbom za prekinitev, ki dokumentira zlasti datum in uro pritiska na gumb.</w:t>
      </w:r>
      <w:r>
        <w:rPr>
          <w:sz w:val="22"/>
        </w:rPr>
        <w:t xml:space="preserve"> </w:t>
      </w:r>
      <w:r>
        <w:rPr>
          <w:sz w:val="22"/>
        </w:rPr>
        <w:t xml:space="preserve">Ta dokumentacija varuje možnost shranjevanja izjave potrošnika, kot je to določeno v § 126b stavek 2 točka 1 BGB.</w:t>
      </w:r>
    </w:p>
    <w:p w14:paraId="5BEA629B"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V zvezi s § 312k odstavek 4 BGB-E:</w:t>
      </w:r>
    </w:p>
    <w:p w14:paraId="0BB31C68" w14:textId="009FC109" w:rsidR="00956726" w:rsidRDefault="00956726" w:rsidP="00DA2D64">
      <w:pPr>
        <w:pStyle w:val="Text"/>
        <w:spacing w:before="120" w:after="120"/>
        <w:rPr>
          <w:sz w:val="22"/>
        </w:rPr>
      </w:pPr>
      <w:r>
        <w:rPr>
          <w:sz w:val="22"/>
        </w:rPr>
        <w:t xml:space="preserve">Obveznost družbe, da poda potrditev v skladu s stavkom 1 BGB odstavka 4 § 312k, v osnutku zadeva dostop do izjave o prekinitve s strani podjetja.</w:t>
      </w:r>
      <w:r>
        <w:rPr>
          <w:sz w:val="22"/>
        </w:rPr>
        <w:t xml:space="preserve"> </w:t>
      </w:r>
      <w:r>
        <w:rPr>
          <w:sz w:val="22"/>
        </w:rPr>
        <w:t xml:space="preserve">Takojšnja potrditev v besedilni obliki je lahko v elektronskem poslovanju avtomatizirana.</w:t>
      </w:r>
    </w:p>
    <w:p w14:paraId="71556E49" w14:textId="6DB1B010" w:rsidR="00623468" w:rsidRPr="006F0DAE" w:rsidRDefault="00D00DD2" w:rsidP="006F0DAE">
      <w:pPr>
        <w:pStyle w:val="Text"/>
        <w:rPr>
          <w:sz w:val="22"/>
        </w:rPr>
      </w:pPr>
      <w:r>
        <w:rPr>
          <w:sz w:val="22"/>
        </w:rPr>
        <w:t xml:space="preserve">Namen protislovne domneve iz § 312k(4) stavka 2 nemškega civilnega zakonika (BGB) v osnutku je olajšati položaj potrošnika, ki nima vpogleda v tehnične postopke, povezane s posredovanjem obvestila o prekinitvi, ki predstavljajo dokaze v zvezi z dostopom do obvestila o prekinitvi s strani podjetja.</w:t>
      </w:r>
    </w:p>
    <w:p w14:paraId="1B056C12"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V zvezi s § 312k odstavek 5 BGB-E:</w:t>
      </w:r>
    </w:p>
    <w:p w14:paraId="2028DFF1" w14:textId="02BEE66D" w:rsidR="009B3F4B" w:rsidRDefault="00D528F9" w:rsidP="006F0DAE">
      <w:pPr>
        <w:pStyle w:val="Text"/>
        <w:rPr>
          <w:sz w:val="22"/>
        </w:rPr>
      </w:pPr>
      <w:r>
        <w:rPr>
          <w:sz w:val="22"/>
        </w:rPr>
        <w:t xml:space="preserve">Namen odstavka 5 iz § 312k nemškega civilnega zakonika (BGB) v osnutku je zagotoviti, da je prekinitev veljavna, če potrošnik v najkrajšem možnem času po obvestilu ne predloži nobenih drugih informacij.</w:t>
      </w:r>
      <w:r>
        <w:rPr>
          <w:sz w:val="22"/>
        </w:rPr>
        <w:t xml:space="preserve"> </w:t>
      </w:r>
      <w:r>
        <w:rPr>
          <w:sz w:val="22"/>
        </w:rPr>
        <w:t xml:space="preserve">Vendar pa lahko potrošniki in podjetja z ustreznimi izjavami ali z iskanjem po času prekinitve zagotovijo tudi, da v zvezi s tem ni nobenih dvomov.</w:t>
      </w:r>
    </w:p>
    <w:p w14:paraId="326A689B" w14:textId="6FD0D69C" w:rsidR="00306B62" w:rsidRDefault="00306B62" w:rsidP="00DA2D64">
      <w:pPr>
        <w:pStyle w:val="Text"/>
        <w:spacing w:before="120" w:after="120"/>
        <w:rPr>
          <w:b/>
          <w:sz w:val="22"/>
          <w:rFonts w:ascii="Arial" w:hAnsi="Arial" w:cs="Arial"/>
        </w:rPr>
      </w:pPr>
      <w:r>
        <w:rPr>
          <w:b/>
          <w:sz w:val="22"/>
          <w:rFonts w:ascii="Arial" w:hAnsi="Arial"/>
        </w:rPr>
        <w:t xml:space="preserve">V zvezi s § 312k odstavek 6 BGB-E:</w:t>
      </w:r>
    </w:p>
    <w:p w14:paraId="231F3872" w14:textId="6E37B134" w:rsidR="00481CA0" w:rsidRDefault="000C76EB" w:rsidP="006F0DAE">
      <w:pPr>
        <w:pStyle w:val="Text"/>
        <w:rPr>
          <w:sz w:val="22"/>
        </w:rPr>
      </w:pPr>
      <w:r>
        <w:rPr>
          <w:sz w:val="22"/>
        </w:rPr>
        <w:t xml:space="preserve">§ 312k odstavek 6 osnutka besedila vsebuje standard sankcije v tovrstnem primeru.</w:t>
      </w:r>
      <w:r>
        <w:rPr>
          <w:sz w:val="22"/>
        </w:rPr>
        <w:t xml:space="preserve"> </w:t>
      </w:r>
      <w:r>
        <w:rPr>
          <w:sz w:val="22"/>
        </w:rPr>
        <w:t xml:space="preserve">Če gumbi in potrditvene stran niso na voljo v skladu z odstavkoma 1 in 2, lahko potrošnik prekine pogodbo, za katero morajo biti ti gumbi na voljo kadar koli in brez upoštevanja odpovednega roka.</w:t>
      </w:r>
      <w:r>
        <w:rPr>
          <w:sz w:val="22"/>
        </w:rPr>
        <w:t xml:space="preserve"> </w:t>
      </w:r>
      <w:r>
        <w:rPr>
          <w:sz w:val="22"/>
        </w:rPr>
        <w:t xml:space="preserve">Podjetja, ki ne upoštevajo previdnostnih ukrepov iz odstavkov 1 in 2 § 312k v osnutku, morajo biti predmet ustreznega prenehanja pogodbenega razmerja s strani potrošnika.</w:t>
      </w:r>
      <w:r>
        <w:rPr>
          <w:sz w:val="22"/>
        </w:rPr>
        <w:t xml:space="preserve"> </w:t>
      </w:r>
      <w:r>
        <w:rPr>
          <w:sz w:val="22"/>
        </w:rPr>
        <w:t xml:space="preserve">Milejša oblika sankcij se ne zdi enakovredno učinkovita.</w:t>
      </w:r>
      <w:r>
        <w:rPr>
          <w:sz w:val="22"/>
        </w:rPr>
        <w:t xml:space="preserve"> </w:t>
      </w:r>
      <w:r>
        <w:rPr>
          <w:sz w:val="22"/>
        </w:rPr>
        <w:t xml:space="preserve">Če ima družba v primeru odstavka 3 § 312j BGB spodbudo za zagotovitev tam opisanega gumba za potrditev sklenitve pogodbe, ker v nasprotnem primeru pogodba s potrošnikom na podlagi odstavka 4 člena 312j BGB ne začne veljati, potem tovrstna spodbuda v nasprotnem primeru prekinitve pogodbe tu ni prisotna.</w:t>
      </w:r>
      <w:r>
        <w:rPr>
          <w:sz w:val="22"/>
        </w:rPr>
        <w:t xml:space="preserve"> </w:t>
      </w:r>
      <w:r>
        <w:rPr>
          <w:sz w:val="22"/>
        </w:rPr>
        <w:t xml:space="preserve">Zato bi se moralo podjetje, ki potrošniku odvzame preprosto in nezapleteno možnost odpovedi, ki jo določa zakon, sankcionirati tako, da se potrošniku zagotovi možnost, da kadar koli prekine pogodbo, ne da bi pri tem upošteval odpovedni rok.</w:t>
      </w:r>
      <w:r>
        <w:rPr>
          <w:sz w:val="22"/>
        </w:rPr>
        <w:t xml:space="preserve"> </w:t>
      </w:r>
      <w:r>
        <w:rPr>
          <w:sz w:val="22"/>
        </w:rPr>
        <w:t xml:space="preserve">Kratkoročne tehnične prekinitve zaradi vzdrževalnih del so, glede na pojasnila v obrazložitvenem memorandumu k § 312k, odstavek 2, stavek 4, BGB v osnutku, neškodljive.</w:t>
      </w:r>
    </w:p>
    <w:p w14:paraId="544C65C8" w14:textId="7048DB19" w:rsidR="00481CA0" w:rsidRDefault="00021C4F" w:rsidP="006F0DAE">
      <w:pPr>
        <w:pStyle w:val="Text"/>
        <w:rPr>
          <w:sz w:val="22"/>
        </w:rPr>
      </w:pPr>
      <w:r>
        <w:rPr>
          <w:sz w:val="22"/>
        </w:rPr>
        <w:t xml:space="preserve">Za obstoj predpogojev iz § 312k, odstavek 6, stavek 1 nemškega civilnega zakonika (BGB) v osnutku mora potrošnik predložiti informacije in dokazila.</w:t>
      </w:r>
    </w:p>
    <w:p w14:paraId="0861A407" w14:textId="595606B6" w:rsidR="00285780" w:rsidRPr="006F0DAE" w:rsidRDefault="001C5507" w:rsidP="006F0DAE">
      <w:pPr>
        <w:pStyle w:val="Text"/>
        <w:rPr>
          <w:sz w:val="22"/>
        </w:rPr>
      </w:pPr>
      <w:r>
        <w:rPr>
          <w:sz w:val="22"/>
        </w:rPr>
        <w:t xml:space="preserve">§ 312k odstavek 6 stavek 2 nemškega civilnega zakonika (BGB) pojasnjuje, da možnost odstopa potrošnika od pogodbe ostane nespremenjena.</w:t>
      </w:r>
    </w:p>
    <w:p w14:paraId="24DE66E7" w14:textId="63FE02DC" w:rsidR="009B3F4B" w:rsidRPr="00416421" w:rsidRDefault="00910B03" w:rsidP="00FC63C3">
      <w:pPr>
        <w:pStyle w:val="Text"/>
        <w:spacing w:before="120" w:after="120"/>
        <w:rPr>
          <w:b/>
          <w:sz w:val="22"/>
          <w:rFonts w:ascii="Arial" w:hAnsi="Arial" w:cs="Arial"/>
        </w:rPr>
      </w:pPr>
      <w:r>
        <w:rPr>
          <w:b/>
          <w:sz w:val="22"/>
          <w:rFonts w:ascii="Arial" w:hAnsi="Arial"/>
        </w:rPr>
        <w:t xml:space="preserve">V zvezi s členom 1, številka 6</w:t>
      </w:r>
    </w:p>
    <w:p w14:paraId="031E74E7" w14:textId="1D6D2F7A" w:rsidR="00D528F9" w:rsidRDefault="00910B03" w:rsidP="00910B03">
      <w:pPr>
        <w:pStyle w:val="Text"/>
        <w:rPr>
          <w:sz w:val="22"/>
        </w:rPr>
      </w:pPr>
      <w:r>
        <w:rPr>
          <w:sz w:val="22"/>
        </w:rPr>
        <w:t xml:space="preserve">Z vključitvijo § 312k BGB v osnutek v obliki nadaljnjih sprememb,§ 312k BGB k § 312 l BGB, kot je opisano v obrazložitvenem memorandumu k členu 1(4), se pričakuje, da se bo ta vstavil ob začetku veljavnosti predlagane uredbe.</w:t>
      </w:r>
      <w:r>
        <w:rPr>
          <w:sz w:val="22"/>
        </w:rPr>
        <w:t xml:space="preserve"> </w:t>
      </w:r>
      <w:r>
        <w:rPr>
          <w:sz w:val="22"/>
        </w:rPr>
        <w:t xml:space="preserve"> § 312 l BGB, ki naj bi bil prav tako vključen v osnutek zakona o izvajanju direktive o posodobitvi, tako postane § 312 m nemškega civilnega zakonika.</w:t>
      </w:r>
    </w:p>
    <w:p w14:paraId="217F3C46" w14:textId="1EA645AE" w:rsidR="009F2923" w:rsidRDefault="009F2923" w:rsidP="00DA2D64">
      <w:pPr>
        <w:pStyle w:val="Text"/>
        <w:spacing w:before="120" w:after="120"/>
        <w:rPr>
          <w:b/>
          <w:sz w:val="22"/>
          <w:rFonts w:ascii="Arial" w:hAnsi="Arial" w:cs="Arial"/>
        </w:rPr>
      </w:pPr>
      <w:r>
        <w:rPr>
          <w:b/>
          <w:sz w:val="22"/>
          <w:rFonts w:ascii="Arial" w:hAnsi="Arial"/>
        </w:rPr>
        <w:t xml:space="preserve">V zvezi s črko (b)</w:t>
      </w:r>
    </w:p>
    <w:p w14:paraId="6BCBE8EB" w14:textId="55DABD77" w:rsidR="000F009A" w:rsidRPr="000F009A" w:rsidRDefault="000F009A" w:rsidP="00DA2D64">
      <w:pPr>
        <w:pStyle w:val="Text"/>
        <w:spacing w:before="120" w:after="120"/>
        <w:rPr>
          <w:sz w:val="22"/>
        </w:rPr>
      </w:pPr>
      <w:r>
        <w:rPr>
          <w:sz w:val="22"/>
        </w:rPr>
        <w:t xml:space="preserve">Črka (b) vsebuje naknadno spremembo glede oštevilčenja členov v osnutku zakona.</w:t>
      </w:r>
    </w:p>
    <w:p w14:paraId="6273D65D" w14:textId="0B9BE9D8" w:rsidR="00B56435" w:rsidRDefault="00B56435" w:rsidP="00DA2D64">
      <w:pPr>
        <w:pStyle w:val="Text"/>
        <w:spacing w:before="120" w:after="120"/>
        <w:rPr>
          <w:b/>
          <w:sz w:val="22"/>
          <w:rFonts w:ascii="Arial" w:hAnsi="Arial" w:cs="Arial"/>
        </w:rPr>
      </w:pPr>
      <w:r>
        <w:rPr>
          <w:b/>
          <w:sz w:val="22"/>
          <w:rFonts w:ascii="Arial" w:hAnsi="Arial"/>
        </w:rPr>
        <w:t xml:space="preserve">V zvezi s številko 3</w:t>
      </w:r>
    </w:p>
    <w:p w14:paraId="4A814002" w14:textId="6AF38C59" w:rsidR="00A7355E" w:rsidRDefault="000F009A" w:rsidP="000F009A">
      <w:pPr>
        <w:pStyle w:val="Text"/>
        <w:rPr>
          <w:sz w:val="22"/>
        </w:rPr>
      </w:pPr>
      <w:r>
        <w:rPr>
          <w:sz w:val="22"/>
        </w:rPr>
        <w:t xml:space="preserve">Številka 3 uvaja naknadno spremembo ETUC s prenovitvijo člena 2 v osnutku zakona.</w:t>
      </w:r>
    </w:p>
    <w:p w14:paraId="51AC3A1B" w14:textId="150ECB80" w:rsidR="009F2923" w:rsidRDefault="00A7355E" w:rsidP="002E70FE">
      <w:pPr>
        <w:pStyle w:val="Text"/>
        <w:rPr>
          <w:b/>
          <w:sz w:val="22"/>
          <w:rFonts w:ascii="Arial" w:hAnsi="Arial" w:cs="Arial"/>
        </w:rPr>
      </w:pPr>
      <w:r>
        <w:rPr>
          <w:sz w:val="22"/>
        </w:rPr>
        <w:t xml:space="preserve">Osnutek zakona o izvajanju direktive o modernizaciji naj bi v EGBGB vključil nov člen 246e, ki v točki 10 odstavka 2 osnutka besedila vsebuje sklicevanje na § 312k BGB, kot je opisano v obrazložitvenem memorandumu k točki 1(a) (člen 1, točka 4).</w:t>
      </w:r>
      <w:r>
        <w:rPr>
          <w:sz w:val="22"/>
        </w:rPr>
        <w:t xml:space="preserve"> </w:t>
      </w:r>
      <w:r>
        <w:rPr>
          <w:sz w:val="22"/>
        </w:rPr>
        <w:t xml:space="preserve">To sklicevanje je treba prilagoditi.</w:t>
      </w:r>
    </w:p>
    <w:p w14:paraId="03B474E7" w14:textId="4ACD06E1" w:rsidR="009F2923" w:rsidRPr="00DA2D64" w:rsidRDefault="009F2923" w:rsidP="00DA2D64">
      <w:pPr>
        <w:pStyle w:val="Text"/>
        <w:spacing w:before="120" w:after="120"/>
        <w:rPr>
          <w:b/>
          <w:sz w:val="22"/>
          <w:rFonts w:ascii="Arial" w:hAnsi="Arial" w:cs="Arial"/>
        </w:rPr>
      </w:pPr>
      <w:r>
        <w:rPr>
          <w:b/>
          <w:sz w:val="22"/>
          <w:rFonts w:ascii="Arial" w:hAnsi="Arial"/>
        </w:rPr>
        <w:t xml:space="preserve">V zvezi s številko 4</w:t>
      </w:r>
    </w:p>
    <w:p w14:paraId="5DE9D023" w14:textId="63527F64" w:rsidR="00EE546D" w:rsidRPr="00EE546D" w:rsidRDefault="00EE546D" w:rsidP="00EE546D">
      <w:pPr>
        <w:pStyle w:val="Text"/>
        <w:rPr>
          <w:sz w:val="22"/>
        </w:rPr>
      </w:pPr>
      <w:r>
        <w:rPr>
          <w:sz w:val="22"/>
        </w:rPr>
        <w:t xml:space="preserve">Izvajanje zahtev za izpolnitev obveznosti v skladu s § 312k BGB v osnutku bo v nekaterih primerih za podjetja pomenilo precejšnjo organizacijsko in časovno zahtevno nalogo.</w:t>
      </w:r>
      <w:r>
        <w:rPr>
          <w:sz w:val="22"/>
        </w:rPr>
        <w:t xml:space="preserve"> </w:t>
      </w:r>
      <w:r>
        <w:rPr>
          <w:sz w:val="22"/>
        </w:rPr>
        <w:t xml:space="preserve">Družbe zato do 1. julija 2022 ne bi smele biti obvezane, da to storijo.</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2C0" w14:textId="77777777" w:rsidR="00FA5BE1" w:rsidRDefault="00FA5BE1" w:rsidP="00FF4465">
      <w:pPr>
        <w:spacing w:before="0" w:after="0"/>
      </w:pPr>
      <w:r>
        <w:separator/>
      </w:r>
    </w:p>
  </w:endnote>
  <w:endnote w:type="continuationSeparator" w:id="0">
    <w:p w14:paraId="2B8FD7A9" w14:textId="77777777" w:rsidR="00FA5BE1" w:rsidRDefault="00FA5BE1"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01F6" w14:textId="77777777" w:rsidR="00FA5BE1" w:rsidRDefault="00FA5BE1" w:rsidP="00FF4465">
      <w:pPr>
        <w:spacing w:before="0" w:after="0"/>
      </w:pPr>
      <w:r>
        <w:separator/>
      </w:r>
    </w:p>
  </w:footnote>
  <w:footnote w:type="continuationSeparator" w:id="0">
    <w:p w14:paraId="73BC5E22" w14:textId="77777777" w:rsidR="00FA5BE1" w:rsidRDefault="00FA5BE1"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F337" w14:textId="460795E0"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10</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C72C" w14:textId="4C5DDFEE"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9</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kumentkopfTitel">
    <w:name w:val="Dokumentkopf Titel"/>
    <w:basedOn w:val="Standard"/>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Standard"/>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Standard"/>
    <w:rsid w:val="00FC63C3"/>
    <w:pPr>
      <w:spacing w:before="120" w:after="120"/>
      <w:outlineLvl w:val="5"/>
    </w:pPr>
    <w:rPr>
      <w:rFonts w:ascii="Arial" w:hAnsi="Arial" w:cs="Arial"/>
      <w:sz w:val="22"/>
    </w:rPr>
  </w:style>
  <w:style w:type="character" w:styleId="Kommentarzeichen">
    <w:name w:val="annotation reference"/>
    <w:basedOn w:val="Absatz-Standardschriftart"/>
    <w:uiPriority w:val="99"/>
    <w:semiHidden/>
    <w:unhideWhenUsed/>
    <w:rsid w:val="00EA1D8C"/>
    <w:rPr>
      <w:sz w:val="16"/>
      <w:szCs w:val="16"/>
    </w:rPr>
  </w:style>
  <w:style w:type="paragraph" w:styleId="Kommentartext">
    <w:name w:val="annotation text"/>
    <w:basedOn w:val="Standard"/>
    <w:link w:val="KommentartextZchn"/>
    <w:uiPriority w:val="99"/>
    <w:unhideWhenUsed/>
    <w:rsid w:val="00EA1D8C"/>
    <w:rPr>
      <w:sz w:val="20"/>
      <w:szCs w:val="20"/>
    </w:rPr>
  </w:style>
  <w:style w:type="character" w:customStyle="1" w:styleId="KommentartextZchn">
    <w:name w:val="Kommentartext Zchn"/>
    <w:basedOn w:val="Absatz-Standardschriftart"/>
    <w:link w:val="Kommentartext"/>
    <w:uiPriority w:val="99"/>
    <w:rsid w:val="00EA1D8C"/>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A1D8C"/>
    <w:rPr>
      <w:b/>
      <w:bCs/>
    </w:rPr>
  </w:style>
  <w:style w:type="character" w:customStyle="1" w:styleId="KommentarthemaZchn">
    <w:name w:val="Kommentarthema Zchn"/>
    <w:basedOn w:val="KommentartextZchn"/>
    <w:link w:val="Kommentarthema"/>
    <w:uiPriority w:val="99"/>
    <w:semiHidden/>
    <w:rsid w:val="00EA1D8C"/>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EA1D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D8C"/>
    <w:rPr>
      <w:rFonts w:ascii="Segoe UI" w:hAnsi="Segoe UI" w:cs="Segoe UI"/>
      <w:sz w:val="18"/>
      <w:szCs w:val="18"/>
    </w:rPr>
  </w:style>
  <w:style w:type="character" w:styleId="Hyperlink">
    <w:name w:val="Hyperlink"/>
    <w:basedOn w:val="Absatz-Standardschriftart"/>
    <w:uiPriority w:val="99"/>
    <w:unhideWhenUsed/>
    <w:rsid w:val="00FC39E2"/>
    <w:rPr>
      <w:color w:val="0000FF" w:themeColor="hyperlink"/>
      <w:u w:val="single"/>
    </w:rPr>
  </w:style>
  <w:style w:type="paragraph" w:styleId="berarbeitung">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19"/>
      </w:numPr>
      <w:tabs>
        <w:tab w:val="left" w:pos="0"/>
      </w:tabs>
    </w:pPr>
  </w:style>
  <w:style w:type="paragraph" w:customStyle="1" w:styleId="ListeFolgeabsatzStufe1">
    <w:name w:val="Liste Folgeabsatz (Stufe 1)"/>
    <w:basedOn w:val="Standard"/>
    <w:rsid w:val="0098296B"/>
    <w:pPr>
      <w:numPr>
        <w:ilvl w:val="1"/>
        <w:numId w:val="19"/>
      </w:numPr>
    </w:pPr>
  </w:style>
  <w:style w:type="paragraph" w:customStyle="1" w:styleId="ListeStufe2">
    <w:name w:val="Liste (Stufe 2)"/>
    <w:basedOn w:val="Standard"/>
    <w:rsid w:val="0098296B"/>
    <w:pPr>
      <w:numPr>
        <w:ilvl w:val="2"/>
        <w:numId w:val="19"/>
      </w:numPr>
    </w:pPr>
  </w:style>
  <w:style w:type="paragraph" w:customStyle="1" w:styleId="ListeFolgeabsatzStufe2">
    <w:name w:val="Liste Folgeabsatz (Stufe 2)"/>
    <w:basedOn w:val="Standard"/>
    <w:rsid w:val="0098296B"/>
    <w:pPr>
      <w:numPr>
        <w:ilvl w:val="3"/>
        <w:numId w:val="19"/>
      </w:numPr>
    </w:pPr>
  </w:style>
  <w:style w:type="paragraph" w:customStyle="1" w:styleId="ListeStufe3">
    <w:name w:val="Liste (Stufe 3)"/>
    <w:basedOn w:val="Standard"/>
    <w:rsid w:val="0098296B"/>
    <w:pPr>
      <w:numPr>
        <w:ilvl w:val="4"/>
        <w:numId w:val="19"/>
      </w:numPr>
    </w:pPr>
  </w:style>
  <w:style w:type="paragraph" w:customStyle="1" w:styleId="ListeFolgeabsatzStufe3">
    <w:name w:val="Liste Folgeabsatz (Stufe 3)"/>
    <w:basedOn w:val="Standard"/>
    <w:rsid w:val="0098296B"/>
    <w:pPr>
      <w:numPr>
        <w:ilvl w:val="5"/>
        <w:numId w:val="19"/>
      </w:numPr>
    </w:pPr>
  </w:style>
  <w:style w:type="paragraph" w:customStyle="1" w:styleId="ListeStufe4">
    <w:name w:val="Liste (Stufe 4)"/>
    <w:basedOn w:val="Standard"/>
    <w:rsid w:val="0098296B"/>
    <w:pPr>
      <w:numPr>
        <w:ilvl w:val="6"/>
        <w:numId w:val="19"/>
      </w:numPr>
    </w:pPr>
  </w:style>
  <w:style w:type="paragraph" w:customStyle="1" w:styleId="ListeFolgeabsatzStufe4">
    <w:name w:val="Liste Folgeabsatz (Stufe 4)"/>
    <w:basedOn w:val="Standard"/>
    <w:rsid w:val="0098296B"/>
    <w:pPr>
      <w:numPr>
        <w:ilvl w:val="7"/>
        <w:numId w:val="19"/>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0"/>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1"/>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2"/>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3"/>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4"/>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5"/>
      </w:numPr>
    </w:pPr>
    <w:rPr>
      <w:sz w:val="16"/>
    </w:rPr>
  </w:style>
  <w:style w:type="paragraph" w:customStyle="1" w:styleId="TabelleListe">
    <w:name w:val="Tabelle Liste"/>
    <w:basedOn w:val="Standard"/>
    <w:rsid w:val="0098296B"/>
    <w:pPr>
      <w:numPr>
        <w:numId w:val="26"/>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semiHidden/>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7"/>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7"/>
      </w:numPr>
    </w:pPr>
    <w:rPr>
      <w:color w:val="800000"/>
    </w:rPr>
  </w:style>
  <w:style w:type="paragraph" w:customStyle="1" w:styleId="RevisionNummerierungStufe2">
    <w:name w:val="Revision Nummerierung (Stufe 2)"/>
    <w:basedOn w:val="Standard"/>
    <w:rsid w:val="0098296B"/>
    <w:pPr>
      <w:numPr>
        <w:ilvl w:val="4"/>
        <w:numId w:val="27"/>
      </w:numPr>
    </w:pPr>
    <w:rPr>
      <w:color w:val="800000"/>
    </w:rPr>
  </w:style>
  <w:style w:type="paragraph" w:customStyle="1" w:styleId="RevisionNummerierungStufe3">
    <w:name w:val="Revision Nummerierung (Stufe 3)"/>
    <w:basedOn w:val="Standard"/>
    <w:rsid w:val="0098296B"/>
    <w:pPr>
      <w:numPr>
        <w:ilvl w:val="5"/>
        <w:numId w:val="27"/>
      </w:numPr>
    </w:pPr>
    <w:rPr>
      <w:color w:val="800000"/>
    </w:rPr>
  </w:style>
  <w:style w:type="paragraph" w:customStyle="1" w:styleId="RevisionNummerierungStufe4">
    <w:name w:val="Revision Nummerierung (Stufe 4)"/>
    <w:basedOn w:val="Standard"/>
    <w:rsid w:val="0098296B"/>
    <w:pPr>
      <w:numPr>
        <w:ilvl w:val="6"/>
        <w:numId w:val="27"/>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4"/>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28"/>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28"/>
      </w:numPr>
    </w:pPr>
    <w:rPr>
      <w:color w:val="800000"/>
    </w:rPr>
  </w:style>
  <w:style w:type="paragraph" w:customStyle="1" w:styleId="RevisionListeStufe2">
    <w:name w:val="Revision Liste (Stufe 2)"/>
    <w:basedOn w:val="Standard"/>
    <w:rsid w:val="0098296B"/>
    <w:pPr>
      <w:numPr>
        <w:ilvl w:val="2"/>
        <w:numId w:val="28"/>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28"/>
      </w:numPr>
    </w:pPr>
    <w:rPr>
      <w:color w:val="800000"/>
    </w:rPr>
  </w:style>
  <w:style w:type="paragraph" w:customStyle="1" w:styleId="RevisionListeStufe3">
    <w:name w:val="Revision Liste (Stufe 3)"/>
    <w:basedOn w:val="Standard"/>
    <w:rsid w:val="0098296B"/>
    <w:pPr>
      <w:numPr>
        <w:ilvl w:val="4"/>
        <w:numId w:val="28"/>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28"/>
      </w:numPr>
    </w:pPr>
    <w:rPr>
      <w:color w:val="800000"/>
    </w:rPr>
  </w:style>
  <w:style w:type="paragraph" w:customStyle="1" w:styleId="RevisionListeStufe4">
    <w:name w:val="Revision Liste (Stufe 4)"/>
    <w:basedOn w:val="Standard"/>
    <w:rsid w:val="0098296B"/>
    <w:pPr>
      <w:numPr>
        <w:ilvl w:val="6"/>
        <w:numId w:val="28"/>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28"/>
      </w:numPr>
    </w:pPr>
    <w:rPr>
      <w:color w:val="800000"/>
    </w:rPr>
  </w:style>
  <w:style w:type="paragraph" w:customStyle="1" w:styleId="RevisionAufzhlungStufe1">
    <w:name w:val="Revision Aufzählung (Stufe 1)"/>
    <w:basedOn w:val="Standard"/>
    <w:rsid w:val="0098296B"/>
    <w:pPr>
      <w:numPr>
        <w:numId w:val="29"/>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0"/>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1"/>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2"/>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3"/>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5"/>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5"/>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5"/>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5"/>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5"/>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10</Pages>
  <Words>3439</Words>
  <Characters>21668</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L'Hoest, Agata, EC2</cp:lastModifiedBy>
  <cp:revision>2</cp:revision>
  <cp:lastPrinted>2021-03-19T10:29:00Z</cp:lastPrinted>
  <dcterms:created xsi:type="dcterms:W3CDTF">2021-03-19T16:31:00Z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