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32F3" w14:textId="77777777" w:rsidR="00320DD3" w:rsidRDefault="00945D70" w:rsidP="00C846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53A555C4" w14:textId="77777777" w:rsidR="00320DD3" w:rsidRDefault="00945D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08D8109B" w14:textId="77777777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240" w:after="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Građanski zakonik</w:t>
      </w:r>
    </w:p>
    <w:p w14:paraId="6401B9F6" w14:textId="77777777" w:rsidR="00320DD3" w:rsidRDefault="00945D70">
      <w:pPr>
        <w:widowControl w:val="0"/>
        <w:tabs>
          <w:tab w:val="left" w:pos="150"/>
        </w:tabs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 </w:t>
      </w:r>
    </w:p>
    <w:p w14:paraId="3148004A" w14:textId="036D83AE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60" w:after="24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Članak 312.k</w:t>
      </w:r>
      <w:r>
        <w:rPr>
          <w:rFonts w:ascii="DejaVuSansCondensed,DejaVuSansC" w:hAnsi="DejaVuSansCondensed,DejaVuSansC"/>
          <w:b/>
          <w:sz w:val="19"/>
        </w:rPr>
        <w:br/>
        <w:t>Raskid potrošačkih ugovora u elektroničkoj trgovini</w:t>
      </w:r>
    </w:p>
    <w:p w14:paraId="323FDC45" w14:textId="77777777" w:rsidR="00320DD3" w:rsidRPr="002E1307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 xml:space="preserve">(1) </w:t>
      </w:r>
      <w:r w:rsidRPr="002E1307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2E1307">
        <w:rPr>
          <w:rFonts w:ascii="DejaVuSansCondensed,DejaVuSansC" w:hAnsi="DejaVuSansCondensed,DejaVuSansC"/>
          <w:sz w:val="19"/>
          <w:szCs w:val="19"/>
        </w:rPr>
        <w:t xml:space="preserve">Kada internetska stranica potrošačima omogućuje sklapanje ugovora o elektroničkoj trgovini čiji je cilj uspostava trajnog dužničkog odnosa i obvezivanje trgovačkih društava da zauzvrat pruža uslugu, društvo mora ispuniti obveze propisane ovom odredbom. </w:t>
      </w:r>
      <w:r w:rsidRPr="002E1307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2E1307">
        <w:rPr>
          <w:rFonts w:ascii="DejaVuSansCondensed,DejaVuSansC" w:hAnsi="DejaVuSansCondensed,DejaVuSansC"/>
          <w:sz w:val="19"/>
          <w:szCs w:val="19"/>
        </w:rPr>
        <w:t>Ovo se ne primjenjuje na</w:t>
      </w:r>
    </w:p>
    <w:p w14:paraId="56F1FE2F" w14:textId="77777777" w:rsidR="00320DD3" w:rsidRPr="002E1307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2E1307">
        <w:rPr>
          <w:rFonts w:ascii="DejaVuSansCondensed,DejaVuSansC" w:hAnsi="DejaVuSansCondensed,DejaVuSansC"/>
          <w:sz w:val="19"/>
          <w:szCs w:val="19"/>
        </w:rPr>
        <w:t>1.</w:t>
      </w:r>
      <w:r w:rsidRPr="002E1307">
        <w:rPr>
          <w:rFonts w:ascii="DejaVuSansCondensed,DejaVuSansC" w:hAnsi="DejaVuSansCondensed,DejaVuSansC"/>
          <w:sz w:val="19"/>
          <w:szCs w:val="19"/>
        </w:rPr>
        <w:tab/>
        <w:t>ugovore čiji je raskid predviđen samo u strožem obliku nego u tekstualnom obliku; i</w:t>
      </w:r>
    </w:p>
    <w:p w14:paraId="1CB136FB" w14:textId="77777777" w:rsidR="00320DD3" w:rsidRPr="002E1307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2E1307">
        <w:rPr>
          <w:rFonts w:ascii="DejaVuSansCondensed,DejaVuSansC" w:hAnsi="DejaVuSansCondensed,DejaVuSansC"/>
          <w:sz w:val="19"/>
          <w:szCs w:val="19"/>
        </w:rPr>
        <w:t>2.</w:t>
      </w:r>
      <w:r w:rsidRPr="002E1307">
        <w:rPr>
          <w:rFonts w:ascii="DejaVuSansCondensed,DejaVuSansC" w:hAnsi="DejaVuSansCondensed,DejaVuSansC"/>
          <w:sz w:val="19"/>
          <w:szCs w:val="19"/>
        </w:rPr>
        <w:tab/>
        <w:t>u vezi s internetskim stranicama koje se odnose na financijske usluge ili na ugovore koji se odnose na financijske usluge.</w:t>
      </w:r>
    </w:p>
    <w:p w14:paraId="5596EFDB" w14:textId="77777777" w:rsidR="00320DD3" w:rsidRPr="002E1307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2E1307">
        <w:rPr>
          <w:rFonts w:ascii="DejaVuSansCondensed,DejaVuSansC" w:hAnsi="DejaVuSansCondensed,DejaVuSansC"/>
          <w:sz w:val="19"/>
          <w:szCs w:val="19"/>
        </w:rPr>
        <w:t xml:space="preserve">(2) Društvo mora jamčiti da potrošač na internetskoj stranici može dati izjavu o redovnom ili izvanrednom raskidu ugovora koji se može sklopiti na internetskoj stranici u skladu sa stavkom 1. rečenicom 1. pomoću gumba za raskid ugovora. Gumb za raskid mora biti čitljiv, a na njemu trebaju biti samo riječi „raskini ugovore ovdje” ili mora biti označen odgovarajućim nedvosmislenim tekstom. Mora izravno navesti potrošača na stranicu za potvrdu koja </w:t>
      </w:r>
    </w:p>
    <w:p w14:paraId="1A7C9900" w14:textId="77777777" w:rsidR="00320DD3" w:rsidRPr="002E1307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0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2E1307">
        <w:rPr>
          <w:rFonts w:ascii="DejaVuSansCondensed,DejaVuSansC" w:hAnsi="DejaVuSansCondensed,DejaVuSansC"/>
          <w:sz w:val="19"/>
          <w:szCs w:val="19"/>
        </w:rPr>
        <w:t>1.</w:t>
      </w:r>
      <w:r w:rsidRPr="002E1307">
        <w:rPr>
          <w:rFonts w:ascii="DejaVuSansCondensed,DejaVuSansC" w:hAnsi="DejaVuSansCondensed,DejaVuSansC"/>
          <w:sz w:val="19"/>
          <w:szCs w:val="19"/>
        </w:rPr>
        <w:tab/>
        <w:t>poziva potrošača i omogućuje mu da pruži informacije</w:t>
      </w:r>
    </w:p>
    <w:p w14:paraId="390652D1" w14:textId="77777777" w:rsidR="00320DD3" w:rsidRPr="002E1307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before="192"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2E1307">
        <w:rPr>
          <w:rFonts w:ascii="DejaVuSansCondensed,DejaVuSansC" w:hAnsi="DejaVuSansCondensed,DejaVuSansC"/>
          <w:sz w:val="19"/>
          <w:szCs w:val="19"/>
        </w:rPr>
        <w:t>(a)</w:t>
      </w:r>
      <w:r w:rsidRPr="002E1307">
        <w:rPr>
          <w:rFonts w:ascii="DejaVuSansCondensed,DejaVuSansC" w:hAnsi="DejaVuSansCondensed,DejaVuSansC"/>
          <w:sz w:val="19"/>
          <w:szCs w:val="19"/>
        </w:rPr>
        <w:tab/>
        <w:t>o naravi raskida ugovora i, u slučaju izvanrednog raskida, o razlogu raskida,</w:t>
      </w:r>
    </w:p>
    <w:p w14:paraId="42A3F025" w14:textId="77777777" w:rsidR="00320DD3" w:rsidRPr="002E1307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2E1307">
        <w:rPr>
          <w:rFonts w:ascii="DejaVuSansCondensed,DejaVuSansC" w:hAnsi="DejaVuSansCondensed,DejaVuSansC"/>
          <w:sz w:val="19"/>
          <w:szCs w:val="19"/>
        </w:rPr>
        <w:t>(b)</w:t>
      </w:r>
      <w:r w:rsidRPr="002E1307">
        <w:rPr>
          <w:rFonts w:ascii="DejaVuSansCondensed,DejaVuSansC" w:hAnsi="DejaVuSansCondensed,DejaVuSansC"/>
          <w:sz w:val="19"/>
          <w:szCs w:val="19"/>
        </w:rPr>
        <w:tab/>
        <w:t>o mogućnosti nedvojbenog utvrđivanja njegova identiteta,</w:t>
      </w:r>
    </w:p>
    <w:p w14:paraId="26409B94" w14:textId="77777777" w:rsidR="00320DD3" w:rsidRPr="002E1307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2E1307">
        <w:rPr>
          <w:rFonts w:ascii="DejaVuSansCondensed,DejaVuSansC" w:hAnsi="DejaVuSansCondensed,DejaVuSansC"/>
          <w:sz w:val="19"/>
          <w:szCs w:val="19"/>
        </w:rPr>
        <w:t>(c)</w:t>
      </w:r>
      <w:r w:rsidRPr="002E1307">
        <w:rPr>
          <w:rFonts w:ascii="DejaVuSansCondensed,DejaVuSansC" w:hAnsi="DejaVuSansCondensed,DejaVuSansC"/>
          <w:sz w:val="19"/>
          <w:szCs w:val="19"/>
        </w:rPr>
        <w:tab/>
        <w:t>o nedvosmislenom nazivu Ugovora,</w:t>
      </w:r>
    </w:p>
    <w:p w14:paraId="179D31F8" w14:textId="77777777" w:rsidR="00320DD3" w:rsidRPr="002E1307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2E1307">
        <w:rPr>
          <w:rFonts w:ascii="DejaVuSansCondensed,DejaVuSansC" w:hAnsi="DejaVuSansCondensed,DejaVuSansC"/>
          <w:sz w:val="19"/>
          <w:szCs w:val="19"/>
        </w:rPr>
        <w:t>(d)</w:t>
      </w:r>
      <w:r w:rsidRPr="002E1307">
        <w:rPr>
          <w:rFonts w:ascii="DejaVuSansCondensed,DejaVuSansC" w:hAnsi="DejaVuSansCondensed,DejaVuSansC"/>
          <w:sz w:val="19"/>
          <w:szCs w:val="19"/>
        </w:rPr>
        <w:tab/>
        <w:t>o trenutku raskida ugovornog odnosa,</w:t>
      </w:r>
    </w:p>
    <w:p w14:paraId="0492A93A" w14:textId="77777777" w:rsidR="00320DD3" w:rsidRPr="002E1307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2E1307">
        <w:rPr>
          <w:rFonts w:ascii="DejaVuSansCondensed,DejaVuSansC" w:hAnsi="DejaVuSansCondensed,DejaVuSansC"/>
          <w:sz w:val="19"/>
          <w:szCs w:val="19"/>
        </w:rPr>
        <w:t>(d)</w:t>
      </w:r>
      <w:r w:rsidRPr="002E1307">
        <w:rPr>
          <w:rFonts w:ascii="DejaVuSansCondensed,DejaVuSansC" w:hAnsi="DejaVuSansCondensed,DejaVuSansC"/>
          <w:sz w:val="19"/>
          <w:szCs w:val="19"/>
        </w:rPr>
        <w:tab/>
        <w:t>omogućava brzi elektronički prijenos potvrde o raskidu i</w:t>
      </w:r>
    </w:p>
    <w:p w14:paraId="0972B70B" w14:textId="77777777" w:rsidR="00320DD3" w:rsidRPr="002E1307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2E1307">
        <w:rPr>
          <w:rFonts w:ascii="DejaVuSansCondensed,DejaVuSansC" w:hAnsi="DejaVuSansCondensed,DejaVuSansC"/>
          <w:sz w:val="19"/>
          <w:szCs w:val="19"/>
        </w:rPr>
        <w:t>2.</w:t>
      </w:r>
      <w:r w:rsidRPr="002E1307">
        <w:rPr>
          <w:rFonts w:ascii="DejaVuSansCondensed,DejaVuSansC" w:hAnsi="DejaVuSansCondensed,DejaVuSansC"/>
          <w:sz w:val="19"/>
          <w:szCs w:val="19"/>
        </w:rPr>
        <w:tab/>
        <w:t>sadrži gumb za potvrdu pomoću kojeg potrošač može dostaviti obavijest o raskidu i koji je lako čitljiv te sadrži samo riječi „otkaži sada” ili je označen odgovarajućim nedvosmislenim tekstom.</w:t>
      </w:r>
    </w:p>
    <w:p w14:paraId="10E4D17A" w14:textId="77777777" w:rsidR="00320DD3" w:rsidRPr="002E1307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/>
          <w:sz w:val="19"/>
          <w:szCs w:val="19"/>
        </w:rPr>
      </w:pPr>
      <w:r w:rsidRPr="002E1307">
        <w:rPr>
          <w:rFonts w:ascii="DejaVuSansCondensed,DejaVuSansC" w:hAnsi="DejaVuSansCondensed,DejaVuSansC"/>
          <w:sz w:val="19"/>
          <w:szCs w:val="19"/>
        </w:rPr>
        <w:t>(3) Potrošač mora imati mogućnost pohranjivanja, na trajnom nosaču podataka, svoje podnesene izjave o raskidu pritiskom gumba za potvrdu s datumom i vremenom podnošenja na takav način da se može smatrati da je izjava o raskidu podnesena pritiskom gumba za potvrdu.</w:t>
      </w:r>
    </w:p>
    <w:p w14:paraId="3544FCCE" w14:textId="77777777" w:rsidR="00320DD3" w:rsidRPr="002E1307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2E1307">
        <w:rPr>
          <w:rFonts w:ascii="DejaVuSansCondensed,DejaVuSansC" w:hAnsi="DejaVuSansCondensed,DejaVuSansC"/>
          <w:sz w:val="19"/>
          <w:szCs w:val="19"/>
        </w:rPr>
        <w:t xml:space="preserve">(4) </w:t>
      </w:r>
      <w:r w:rsidRPr="002E1307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2E1307">
        <w:rPr>
          <w:rFonts w:ascii="DejaVuSansCondensed,DejaVuSansC" w:hAnsi="DejaVuSansCondensed,DejaVuSansC"/>
          <w:sz w:val="19"/>
          <w:szCs w:val="19"/>
        </w:rPr>
        <w:t xml:space="preserve">Trgovačko društvo odmah elektroničkim putem potvrđuje potrošaču sadržaj, datum i vrijeme primitka obavijesti o raskidu ugovora, kao i datum raskida ugovora u pisanom obliku elektroničkim putem. </w:t>
      </w:r>
      <w:r w:rsidRPr="002E1307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2E1307">
        <w:rPr>
          <w:rFonts w:ascii="DejaVuSansCondensed,DejaVuSansC" w:hAnsi="DejaVuSansCondensed,DejaVuSansC"/>
          <w:sz w:val="19"/>
          <w:szCs w:val="19"/>
        </w:rPr>
        <w:t>Smatra se da je obavijest o raskidu, podnesena pritiskom gumba za potvrdu, poslana trgovačkom društvu odmah nakon podnošenja.</w:t>
      </w:r>
    </w:p>
    <w:p w14:paraId="32A32941" w14:textId="77777777" w:rsidR="00320DD3" w:rsidRPr="002E1307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2E1307">
        <w:rPr>
          <w:rFonts w:ascii="DejaVuSansCondensed,DejaVuSansC" w:hAnsi="DejaVuSansCondensed,DejaVuSansC"/>
          <w:sz w:val="19"/>
          <w:szCs w:val="19"/>
        </w:rPr>
        <w:t>(5) Ako prilikom podnošenja obavijesti o raskidu potrošač ne navede točan trenutak u kojem raskid ugovornog odnosa treba nastupiti, raskid će stupiti na snagu u najkraćem mogućem roku.</w:t>
      </w:r>
    </w:p>
    <w:p w14:paraId="387261DB" w14:textId="77777777" w:rsidR="00320DD3" w:rsidRPr="002E1307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2E1307">
        <w:rPr>
          <w:rFonts w:ascii="DejaVuSansCondensed,DejaVuSansC" w:hAnsi="DejaVuSansCondensed,DejaVuSansC"/>
          <w:sz w:val="19"/>
          <w:szCs w:val="19"/>
        </w:rPr>
        <w:t xml:space="preserve">(6) </w:t>
      </w:r>
      <w:r w:rsidRPr="002E1307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2E1307">
        <w:rPr>
          <w:rFonts w:ascii="DejaVuSansCondensed,DejaVuSansC" w:hAnsi="DejaVuSansCondensed,DejaVuSansC"/>
          <w:sz w:val="19"/>
          <w:szCs w:val="19"/>
        </w:rPr>
        <w:t xml:space="preserve">Ako gumbi i stranica za potvrdu nisu dostupni u skladu sa stavcima 1. i 2., potrošač može raskinuti ugovor za čiji raskid gumbi i stranica za potvrdu moraju biti dostupni u svakom trenutku i bez poštovanja otkaznog roka. </w:t>
      </w:r>
      <w:r w:rsidRPr="002E1307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2E1307">
        <w:rPr>
          <w:rFonts w:ascii="DejaVuSansCondensed,DejaVuSansC" w:hAnsi="DejaVuSansCondensed,DejaVuSansC"/>
          <w:sz w:val="19"/>
          <w:szCs w:val="19"/>
        </w:rPr>
        <w:t>To ne utječe na mogućnost potrošača da izvanredno raskine ugovor.</w:t>
      </w:r>
    </w:p>
    <w:p w14:paraId="1720CDBA" w14:textId="77777777" w:rsidR="00320DD3" w:rsidRPr="002E1307" w:rsidRDefault="00320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sectPr w:rsidR="00320DD3" w:rsidRPr="002E1307">
      <w:headerReference w:type="even" r:id="rId6"/>
      <w:headerReference w:type="default" r:id="rId7"/>
      <w:footerReference w:type="default" r:id="rId8"/>
      <w:pgSz w:w="11900" w:h="16840"/>
      <w:pgMar w:top="1280" w:right="1020" w:bottom="560" w:left="114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11F5E" w14:textId="77777777" w:rsidR="0059760A" w:rsidRDefault="0059760A">
      <w:pPr>
        <w:spacing w:after="0" w:line="240" w:lineRule="auto"/>
      </w:pPr>
      <w:r>
        <w:separator/>
      </w:r>
    </w:p>
  </w:endnote>
  <w:endnote w:type="continuationSeparator" w:id="0">
    <w:p w14:paraId="3ADB7BD4" w14:textId="77777777" w:rsidR="0059760A" w:rsidRDefault="0059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Condensed,DejaVuSans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1AAE" w14:textId="493F72D3" w:rsidR="00320DD3" w:rsidRDefault="00945D70">
    <w:pPr>
      <w:widowControl w:val="0"/>
      <w:tabs>
        <w:tab w:val="left" w:pos="283"/>
      </w:tabs>
      <w:autoSpaceDE w:val="0"/>
      <w:autoSpaceDN w:val="0"/>
      <w:adjustRightInd w:val="0"/>
      <w:spacing w:before="283" w:after="283" w:line="240" w:lineRule="auto"/>
      <w:ind w:left="283"/>
      <w:jc w:val="center"/>
      <w:rPr>
        <w:rFonts w:ascii="DejaVuSansCondensed" w:hAnsi="DejaVuSansCondensed" w:cs="DejaVuSansCondensed"/>
        <w:sz w:val="20"/>
        <w:szCs w:val="20"/>
      </w:rPr>
    </w:pPr>
    <w:r>
      <w:rPr>
        <w:rFonts w:ascii="DejaVuSansCondensed" w:hAnsi="DejaVuSansCondensed"/>
        <w:sz w:val="20"/>
      </w:rPr>
      <w:t xml:space="preserve">- Stranica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 xml:space="preserve">PAGE 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od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>NUMPAGES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A14B" w14:textId="77777777" w:rsidR="0059760A" w:rsidRDefault="0059760A">
      <w:pPr>
        <w:spacing w:after="0" w:line="240" w:lineRule="auto"/>
      </w:pPr>
      <w:r>
        <w:separator/>
      </w:r>
    </w:p>
  </w:footnote>
  <w:footnote w:type="continuationSeparator" w:id="0">
    <w:p w14:paraId="48DD00B4" w14:textId="77777777" w:rsidR="0059760A" w:rsidRDefault="00597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053D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9E26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70"/>
    <w:rsid w:val="002E1307"/>
    <w:rsid w:val="00320DD3"/>
    <w:rsid w:val="0059760A"/>
    <w:rsid w:val="008A574F"/>
    <w:rsid w:val="008B4ECE"/>
    <w:rsid w:val="00945D70"/>
    <w:rsid w:val="009F13EB"/>
    <w:rsid w:val="00C8463D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F0867"/>
  <w14:defaultImageDpi w14:val="0"/>
  <w15:docId w15:val="{2DAE4D7D-D186-4D6E-9CA0-0F7010C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4F"/>
  </w:style>
  <w:style w:type="paragraph" w:styleId="Header">
    <w:name w:val="header"/>
    <w:basedOn w:val="Normal"/>
    <w:link w:val="Head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2258</Characters>
  <Application>Microsoft Office Word</Application>
  <DocSecurity>0</DocSecurity>
  <Lines>38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Witzmann</dc:creator>
  <cp:keywords/>
  <dc:description/>
  <cp:lastModifiedBy>Ines Varvodic</cp:lastModifiedBy>
  <cp:revision>2</cp:revision>
  <dcterms:created xsi:type="dcterms:W3CDTF">2022-02-04T12:15:00Z</dcterms:created>
  <dcterms:modified xsi:type="dcterms:W3CDTF">2022-02-04T12:15:00Z</dcterms:modified>
</cp:coreProperties>
</file>