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Kodiċi Ċivili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1899FE4A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312k</w:t>
      </w:r>
      <w:r>
        <w:rPr>
          <w:rFonts w:ascii="DejaVuSansCondensed,DejaVuSansC" w:hAnsi="DejaVuSansCondensed,DejaVuSansC"/>
          <w:b/>
          <w:sz w:val="19"/>
        </w:rPr>
        <w:br/>
        <w:t>Kanċellazzjoni tal-kuntratti tal-konsumatur fil-kummerċ elettroniku</w:t>
      </w:r>
    </w:p>
    <w:p w14:paraId="323FDC45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FB0C9A">
        <w:rPr>
          <w:rFonts w:ascii="DejaVuSansCondensed,DejaVuSansC" w:hAnsi="DejaVuSansCondensed,DejaVuSansC"/>
          <w:sz w:val="19"/>
          <w:szCs w:val="19"/>
        </w:rPr>
        <w:t xml:space="preserve">Meta sit web jippermetti lill-konsumaturi jikkonkludu kuntratt ta’ kummerċ elettroniku li għandu l-għan li jistabbilixxi relazzjoni permanenti ta’ dejn u li jobbliga lil kumpanija tipprovdi servizz għal dan il-ħlas, il-kumpanija għandha tissodisfa l-obbligi stabbiliti f’din id-dispożizzjoni.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FB0C9A">
        <w:rPr>
          <w:rFonts w:ascii="DejaVuSansCondensed,DejaVuSansC" w:hAnsi="DejaVuSansCondensed,DejaVuSansC"/>
          <w:sz w:val="19"/>
          <w:szCs w:val="19"/>
        </w:rPr>
        <w:t>Dan m’għandux japplika għal</w:t>
      </w:r>
    </w:p>
    <w:p w14:paraId="56F1FE2F" w14:textId="77777777" w:rsidR="00320DD3" w:rsidRPr="00FB0C9A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1.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kuntratti li l-kanċellazzjoni tagħhom hija prevista biss f’forma aktar stretta mill-formola testwali; u</w:t>
      </w:r>
    </w:p>
    <w:p w14:paraId="1CB136FB" w14:textId="77777777" w:rsidR="00320DD3" w:rsidRPr="00FB0C9A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2.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fir-rigward ta’ siti web relatati mas-servizzi finanzjarji jew għal kuntratti relatati mas-servizzi finanzjarji.</w:t>
      </w:r>
    </w:p>
    <w:p w14:paraId="5596EFDB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 xml:space="preserve">(2) Il-kumpanija trid tiżgura li l-konsumatur fuq is-sit web ikun jista’ jagħmel dikjarazzjoni tal-kanċellazzjoni ordinarja jew straordinarja ta’ kuntratt li jista’ jiġi konkluż fuq is-sit web skont is-Sentenza 1 tal-Paragrafu 1 permezz ta’ buttuna ta’ kanċellazzjoni. Il-buttuna ta’ kanċellazzjoni għandha tkun tista’ tinqara faċilment b’xejn ħlief il-kliem “ikkanċella l-kuntratti hawnhekk” jew għandha tkun immarkata bi kliem xieraq mhux ambigwu. Din għandha tieħu lill-konsumatur direttament għal paġna ta’ konferma li </w:t>
      </w:r>
    </w:p>
    <w:p w14:paraId="1A7C9900" w14:textId="77777777" w:rsidR="00320DD3" w:rsidRPr="00FB0C9A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1.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tiggwida lill-konsumatur u tippermettilu jipprovdi informazzjoni</w:t>
      </w:r>
    </w:p>
    <w:p w14:paraId="390652D1" w14:textId="77777777" w:rsidR="00320DD3" w:rsidRPr="00FB0C9A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a)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dwar in-natura tal-kanċellazzjoni u, fil-każ ta’ kanċellazzjoni straordinarja, ir-raġuni tal-kanċellazzjoni,</w:t>
      </w:r>
    </w:p>
    <w:p w14:paraId="42A3F025" w14:textId="77777777" w:rsidR="00320DD3" w:rsidRPr="00FB0C9A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b)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dwar l-identifikazzjoni mhux ambigwa tagħha,</w:t>
      </w:r>
    </w:p>
    <w:p w14:paraId="26409B94" w14:textId="77777777" w:rsidR="00320DD3" w:rsidRPr="00FB0C9A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c)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dwar id-deżinjazzjoni mhux ambigwa tat-Trattat,</w:t>
      </w:r>
    </w:p>
    <w:p w14:paraId="179D31F8" w14:textId="77777777" w:rsidR="00320DD3" w:rsidRPr="00FB0C9A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d)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fil-mument meta l-kanċellazzjoni għandha tikkanċella r-relazzjoni kuntrattwali,</w:t>
      </w:r>
    </w:p>
    <w:p w14:paraId="0492A93A" w14:textId="77777777" w:rsidR="00320DD3" w:rsidRPr="00FB0C9A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d)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għat-trażmissjoni elettronika rapida tal-konferma tal-kanċellazzjoni lilu u</w:t>
      </w:r>
    </w:p>
    <w:p w14:paraId="0972B70B" w14:textId="77777777" w:rsidR="00320DD3" w:rsidRPr="00FB0C9A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2.</w:t>
      </w:r>
      <w:r w:rsidRPr="00FB0C9A">
        <w:rPr>
          <w:rFonts w:ascii="DejaVuSansCondensed,DejaVuSansC" w:hAnsi="DejaVuSansCondensed,DejaVuSansC"/>
          <w:sz w:val="19"/>
          <w:szCs w:val="19"/>
        </w:rPr>
        <w:tab/>
        <w:t>ikun fiha buttuna ta’ konferma li permezz tagħha l-konsumatur jista’ jissottometti n-notifika ta’ kanċellazzjoni u li tista’ tinqara faċilment b’xejn ħlief il-kliem “ikkanċella issa” jew immarkata bi kliem xieraq mhux ambigwu.</w:t>
      </w:r>
    </w:p>
    <w:p w14:paraId="10E4D17A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(3) Il-konsumatur għandu jkun jista’ jaħżen, fuq mezz durabbli, id-dikjarazzjoni tiegħu tal-kanċellazzjoni sottomessa billi jagħfas il-buttuna ta’ konferma bid-data u l-ħin tas-sottomissjoni b’tali mod li wieħed ikun jista’ jara li d-dikjarazzjoni tal-kanċellazzjoni tkun ġiet sottomessa billi jagħfas il-buttuna ta’ konferma.</w:t>
      </w:r>
    </w:p>
    <w:p w14:paraId="3544FCCE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 xml:space="preserve">(4)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FB0C9A">
        <w:rPr>
          <w:rFonts w:ascii="DejaVuSansCondensed,DejaVuSansC" w:hAnsi="DejaVuSansCondensed,DejaVuSansC"/>
          <w:sz w:val="19"/>
          <w:szCs w:val="19"/>
        </w:rPr>
        <w:t xml:space="preserve">Il-kumpanija għandha tikkonferma immedjatament lill-konsumatur il-kontenut u d-data u l-ħin li fihom irċeviet in-notifika ta’ kanċellazzjoni, kif ukoll id-data li fiha l-kuntratt għandu jiġi kkanċellat permezz tal-kanċellazzjoni, f’forma bil-miktub b’mezzi elettroniċi.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FB0C9A">
        <w:rPr>
          <w:rFonts w:ascii="DejaVuSansCondensed,DejaVuSansC" w:hAnsi="DejaVuSansCondensed,DejaVuSansC"/>
          <w:sz w:val="19"/>
          <w:szCs w:val="19"/>
        </w:rPr>
        <w:t>Huwa preżunt li notifika ta’ kanċellazzjoni sottomessa billi tingħafas il-buttuna ta’ konferma tkun intbagħtet lill-kumpanija immedjatament wara li ġiet sottomessa.</w:t>
      </w:r>
    </w:p>
    <w:p w14:paraId="32A32941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>(5) Jekk, wara li tkun ġiet sottomessa notifika ta’ kanċellazzjoni, il-konsumatur ma jispeċifikax ħin li fih il-kanċellazzjoni għandha ttemm ir-relazzjoni kuntrattwali, il-kanċellazzjoni tibda tapplika mill-aktar fis possibbli.</w:t>
      </w:r>
    </w:p>
    <w:p w14:paraId="387261DB" w14:textId="77777777" w:rsidR="00320DD3" w:rsidRPr="00FB0C9A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FB0C9A">
        <w:rPr>
          <w:rFonts w:ascii="DejaVuSansCondensed,DejaVuSansC" w:hAnsi="DejaVuSansCondensed,DejaVuSansC"/>
          <w:sz w:val="19"/>
          <w:szCs w:val="19"/>
        </w:rPr>
        <w:t xml:space="preserve">(6)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FB0C9A">
        <w:rPr>
          <w:rFonts w:ascii="DejaVuSansCondensed,DejaVuSansC" w:hAnsi="DejaVuSansCondensed,DejaVuSansC"/>
          <w:sz w:val="19"/>
          <w:szCs w:val="19"/>
        </w:rPr>
        <w:t xml:space="preserve">Jekk il-buttuni u l-paġna ta’ konferma ma jkunux disponibbli skont il-Paragrafi 1 u 2, il-konsumatur jista’ jikkanċella kuntratt li għall-kanċellazzjoni tiegħu l-buttuni u l-paġna ta’ konferma għandhom ikunu disponibbli f’kull mument u mingħajr ma jiġi osservat perjodu ta’ notifika. </w:t>
      </w:r>
      <w:r w:rsidRPr="00FB0C9A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FB0C9A">
        <w:rPr>
          <w:rFonts w:ascii="DejaVuSansCondensed,DejaVuSansC" w:hAnsi="DejaVuSansCondensed,DejaVuSansC"/>
          <w:sz w:val="19"/>
          <w:szCs w:val="19"/>
        </w:rPr>
        <w:t>Dan ma jaffettwax il-kapaċità tal-konsumatur li jikkanċella b’mod eċċezzjonali.</w:t>
      </w:r>
    </w:p>
    <w:p w14:paraId="1720CDBA" w14:textId="77777777" w:rsidR="00320DD3" w:rsidRPr="00FB0C9A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FB0C9A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4B3A" w14:textId="77777777" w:rsidR="005E5896" w:rsidRDefault="005E5896">
      <w:pPr>
        <w:spacing w:after="0" w:line="240" w:lineRule="auto"/>
      </w:pPr>
      <w:r>
        <w:separator/>
      </w:r>
    </w:p>
  </w:endnote>
  <w:endnote w:type="continuationSeparator" w:id="0">
    <w:p w14:paraId="586DF32A" w14:textId="77777777" w:rsidR="005E5896" w:rsidRDefault="005E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77777777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Paġna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minn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E8A8" w14:textId="77777777" w:rsidR="005E5896" w:rsidRDefault="005E5896">
      <w:pPr>
        <w:spacing w:after="0" w:line="240" w:lineRule="auto"/>
      </w:pPr>
      <w:r>
        <w:separator/>
      </w:r>
    </w:p>
  </w:footnote>
  <w:footnote w:type="continuationSeparator" w:id="0">
    <w:p w14:paraId="60225FEE" w14:textId="77777777" w:rsidR="005E5896" w:rsidRDefault="005E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320DD3"/>
    <w:rsid w:val="005E5896"/>
    <w:rsid w:val="008A574F"/>
    <w:rsid w:val="008B4ECE"/>
    <w:rsid w:val="00945D70"/>
    <w:rsid w:val="009F13EB"/>
    <w:rsid w:val="00C8463D"/>
    <w:rsid w:val="00FA289E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t-M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2814</Characters>
  <Application>Microsoft Office Word</Application>
  <DocSecurity>0</DocSecurity>
  <Lines>41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2</cp:revision>
  <dcterms:created xsi:type="dcterms:W3CDTF">2022-02-04T12:18:00Z</dcterms:created>
  <dcterms:modified xsi:type="dcterms:W3CDTF">2022-02-04T12:18:00Z</dcterms:modified>
</cp:coreProperties>
</file>