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E496" w14:textId="77777777" w:rsidR="001C0183" w:rsidRPr="001C0183" w:rsidRDefault="001C0183" w:rsidP="001C0183">
      <w:pPr>
        <w:rPr>
          <w:b/>
          <w:bCs/>
        </w:rPr>
      </w:pPr>
      <w:r>
        <w:rPr>
          <w:b/>
        </w:rPr>
        <w:t xml:space="preserve">Folgenabschätzung</w:t>
      </w:r>
    </w:p>
    <w:p w14:paraId="43D13239" w14:textId="62E3FCCE" w:rsidR="001C0183" w:rsidRDefault="001C0183" w:rsidP="001C0183">
      <w:r>
        <w:t xml:space="preserve">Der Entwurf des Gesetzes über tabakfreie nikotinhaltige Produkte legt rechtsverbindliche Anforderungen für jeden fest, der in Schweden tabakfreie nikotinhaltige Produkte, Tabakerzeugnisse, E-Zigaretten, Nachfüllbehälter, nikotinfreie Flüssigkeiten für den Konsum durch E-Zigaretten und schnupftabakähnliche Produkte vermarkten möchte.</w:t>
      </w:r>
      <w:r>
        <w:t xml:space="preserve"> </w:t>
      </w:r>
      <w:r>
        <w:t xml:space="preserve">Es wird daher davon ausgegangen, dass der Entwurf erhebliche Auswirkungen auf den Handel mit diesen Produkten hat.</w:t>
      </w:r>
      <w:r>
        <w:t xml:space="preserve"> </w:t>
      </w:r>
    </w:p>
    <w:p w14:paraId="4B80857B" w14:textId="77777777" w:rsidR="001C0183" w:rsidRDefault="001C0183" w:rsidP="001C0183">
      <w:r>
        <w:t xml:space="preserve">Der Entwurf zielt insbesondere darauf ab, den zunehmenden Gebrauch neuer nikotinhaltiger Produkte einzudämmen, vor allem bei jungen Menschen und solchen, die bisher kein Nikotin konsumiert haben.</w:t>
      </w:r>
      <w:r>
        <w:t xml:space="preserve"> </w:t>
      </w:r>
      <w:r>
        <w:t xml:space="preserve">Der Entwurf des Gesetzes über tabakfreie nikotinhaltige Produkte soll auch nikotinhaltige Produkte für den Konsum abdecken, die noch nicht entwickelt wurden.</w:t>
      </w:r>
      <w:r>
        <w:t xml:space="preserve"> </w:t>
      </w:r>
      <w:r>
        <w:t xml:space="preserve">Der Entwurf verhindert, dass die positiven Auswirkungen der langjährigen Anti-Tabak-Arbeit zunichte gemacht werden.</w:t>
      </w:r>
      <w:r>
        <w:t xml:space="preserve"> </w:t>
      </w:r>
      <w:r>
        <w:t xml:space="preserve">Der Entwurf zielt auch darauf ab, einen Regulierungsrahmen einzuführen, der im Großen und Ganzen mit dem des übrigen Tabaksektors vergleichbar ist.</w:t>
      </w:r>
      <w:r>
        <w:t xml:space="preserve"> </w:t>
      </w:r>
    </w:p>
    <w:p w14:paraId="4A4CA6BA" w14:textId="1C8D922F" w:rsidR="001C0183" w:rsidRDefault="001C0183" w:rsidP="001C0183">
      <w:r>
        <w:t xml:space="preserve">Die Entwurfsbestimmungen sind nicht diskriminierend und werden aufgrund des Ziels des Schutzes der öffentlichen Gesundheit und der Gesundheit des Einzelnen, insbesondere von Kindern und Jugendlichen, als verhältnismäßig und gerechtfertigt angesehen</w:t>
      </w:r>
      <w:r>
        <w:t xml:space="preserve"> </w:t>
      </w:r>
      <w:r>
        <w:t xml:space="preserve">Die menschliche Gesundheit und das menschliche Leben können nicht so wirksam durch Maßnahmen geschützt werden, die ein geringeres Handelshemmnis darstellen.</w:t>
      </w:r>
    </w:p>
    <w:sectPr w:rsidR="001C0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83"/>
    <w:rsid w:val="001C0183"/>
    <w:rsid w:val="0041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FEF3"/>
  <w15:chartTrackingRefBased/>
  <w15:docId w15:val="{39A45F29-0365-4DDD-B0B9-170C95D4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Nyman</dc:creator>
  <cp:keywords/>
  <dc:description/>
  <cp:lastModifiedBy>Johanna Nyman</cp:lastModifiedBy>
  <cp:revision>2</cp:revision>
  <dcterms:created xsi:type="dcterms:W3CDTF">2022-03-17T13:08:00Z</dcterms:created>
  <dcterms:modified xsi:type="dcterms:W3CDTF">2022-03-17T13:08:00Z</dcterms:modified>
</cp:coreProperties>
</file>