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861F7" w14:textId="77777777" w:rsidR="00B767EF" w:rsidRPr="00DB04C5" w:rsidRDefault="00B767EF" w:rsidP="00B76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B04C5">
        <w:rPr>
          <w:rFonts w:ascii="Times New Roman" w:hAnsi="Times New Roman"/>
          <w:b/>
          <w:sz w:val="36"/>
        </w:rPr>
        <w:t>2019. május 10-i rendelet a tűz és pánik kockázatának a közönséget fogadó létesítményekben való kiküszöböléséről szóló biztonsági szabályzat általános rendelkezéseinek jóváhagyásáról szóló, 1980. június 25-i rendelet módosításáról</w:t>
      </w:r>
    </w:p>
    <w:p w14:paraId="07833EEA" w14:textId="77777777" w:rsidR="00B767EF" w:rsidRPr="00DB04C5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 xml:space="preserve">Az érintettek köre: a közönséget fogadó létesítmények üzemeltetői és tulajdonosai, beruházók, fővállalkozók, építészek, a biztonsági bizottságok tagjai, műszaki ellenőrök, a hűtőközegeket használó berendezések gyártói és telepítői. </w:t>
      </w:r>
      <w:r w:rsidRPr="00DB04C5">
        <w:rPr>
          <w:rFonts w:ascii="Times New Roman" w:hAnsi="Times New Roman"/>
          <w:sz w:val="24"/>
        </w:rPr>
        <w:br/>
        <w:t xml:space="preserve">Tárgy: a hűtőközegek közönséget fogadó helyiségekben való használatára vonatkozó rendelkezés módosítása. </w:t>
      </w:r>
      <w:r w:rsidRPr="00DB04C5">
        <w:rPr>
          <w:rFonts w:ascii="Times New Roman" w:hAnsi="Times New Roman"/>
          <w:sz w:val="24"/>
        </w:rPr>
        <w:br/>
        <w:t xml:space="preserve">Hatálybalépés: a Francia Köztársaság Hivatalos Lapjában történő közzétételt követő napon. </w:t>
      </w:r>
      <w:r w:rsidRPr="00DB04C5">
        <w:rPr>
          <w:rFonts w:ascii="Times New Roman" w:hAnsi="Times New Roman"/>
          <w:sz w:val="24"/>
        </w:rPr>
        <w:br/>
        <w:t xml:space="preserve">Megjegyzés: a fluortartalmú üvegházhatású gázokról szóló, 2014. április 16-i 517/2014/EU európai parlamenti és tanácsi rendelet e gázok kibocsátásának, és különösen a hidro-fluor-szénhidrogének (HFC) mennyiségének csökkentését írja elő.  A közönséget fogadó létesítményekben a fűtő-, a légkondicionáló, a klimatizáló és a használati meleg vizet előállító -felszerelésekben vagy -berendezésekben használnak bizonyos HFC-ket. A közönséget fogadó létesítményekben klimatizálásra/hűtésre használt HFC-k helyettesítő anyagai a leggyakrabban gyúlékonyak. E rendelet célja e helyettesítő anyagok közönséget fogadó létesítményekben való használatának engedélyezése, bizonyos kockázatkezelési intézkedések betartása mellett. Az e rendeletben szereplő kockázatkezelési módok az Ökológiai és Szolidáris Átmenetért Felelős Minisztérium (MTES) Kockázat-megelőzési Főigazgatóságának (DGPR) véleményén, valamint az INERIS (az ipari környezetért és a kockázatokért felelős nemzeti intézet) által végzett kockázatelemzésen alapulnak. </w:t>
      </w:r>
      <w:r w:rsidRPr="00DB04C5">
        <w:rPr>
          <w:rFonts w:ascii="Times New Roman" w:hAnsi="Times New Roman"/>
          <w:sz w:val="24"/>
        </w:rPr>
        <w:br/>
        <w:t xml:space="preserve">Hivatkozások: az e rendelet által módosított jogszabály – a módosítás szerinti változatában – megtekinthető a Légifrance honlapján (http://legifrance.gouv.fr). </w:t>
      </w:r>
    </w:p>
    <w:p w14:paraId="511145FD" w14:textId="77777777" w:rsidR="00B767EF" w:rsidRPr="00DB04C5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>A belügyminiszter,</w:t>
      </w:r>
      <w:r w:rsidRPr="00DB04C5">
        <w:rPr>
          <w:rFonts w:ascii="Times New Roman" w:hAnsi="Times New Roman"/>
          <w:sz w:val="24"/>
        </w:rPr>
        <w:br/>
        <w:t>tekintettel a műszaki szabályokkal és az információs társadalom szolgáltatásaira vonatkozó szabályokkal kapcsolatos információszolgáltatási eljárás megállapításáról szóló, 2015. szeptember 9-i (EU) 2015/1535 európai parlamenti és tanácsi irányelvre, különösen a 2018/467/F sz. értesítésre;</w:t>
      </w:r>
      <w:r w:rsidRPr="00DB04C5">
        <w:rPr>
          <w:rFonts w:ascii="Times New Roman" w:hAnsi="Times New Roman"/>
          <w:sz w:val="24"/>
        </w:rPr>
        <w:br/>
        <w:t>tekintettel az építési és lakásügyi törvénykönyvre, különösen annak R. 123-12. cikkére,</w:t>
      </w:r>
      <w:r w:rsidRPr="00DB04C5">
        <w:rPr>
          <w:rFonts w:ascii="Times New Roman" w:hAnsi="Times New Roman"/>
          <w:sz w:val="24"/>
        </w:rPr>
        <w:br/>
        <w:t>tekintettel a tűz és pánik kockázatának a közönséget fogadó létesítményekben való kiküszöböléséről szóló biztonsági szabályzat általános rendelkezéseinek jóváhagyásáról szóló, 1980. június 25-i módosított rendeletre;</w:t>
      </w:r>
      <w:r w:rsidRPr="00DB04C5">
        <w:rPr>
          <w:rFonts w:ascii="Times New Roman" w:hAnsi="Times New Roman"/>
          <w:sz w:val="24"/>
        </w:rPr>
        <w:br/>
        <w:t>tekintettel az építésügyi és energiahatékonysági legfelsőbb tanács 2018. október 16-i véleményére;</w:t>
      </w:r>
      <w:r w:rsidRPr="00DB04C5">
        <w:rPr>
          <w:rFonts w:ascii="Times New Roman" w:hAnsi="Times New Roman"/>
          <w:sz w:val="24"/>
        </w:rPr>
        <w:br/>
        <w:t>tekintettel a nemzeti szabványértékelő tanács 2018. október 11-i véleményére,</w:t>
      </w:r>
      <w:r w:rsidRPr="00DB04C5">
        <w:rPr>
          <w:rFonts w:ascii="Times New Roman" w:hAnsi="Times New Roman"/>
          <w:sz w:val="24"/>
        </w:rPr>
        <w:br/>
        <w:t>az alábbiakat rendeli el:</w:t>
      </w:r>
    </w:p>
    <w:p w14:paraId="1EB6D07B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04C5">
        <w:rPr>
          <w:rFonts w:ascii="Times New Roman" w:hAnsi="Times New Roman"/>
          <w:b/>
          <w:sz w:val="24"/>
        </w:rPr>
        <w:t>1. cikk</w:t>
      </w:r>
    </w:p>
    <w:p w14:paraId="6668C2CB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 xml:space="preserve">A tűz és pánik kockázatának a közönséget fogadó létesítményekben való kiküszöböléséről szóló, a fentiekben említett 1980. június 25-i rendelettel jóváhagyott </w:t>
      </w:r>
      <w:r w:rsidRPr="00DB04C5">
        <w:rPr>
          <w:rFonts w:ascii="Times New Roman" w:hAnsi="Times New Roman"/>
          <w:sz w:val="24"/>
        </w:rPr>
        <w:lastRenderedPageBreak/>
        <w:t>biztonsági szabályzat II. könyve I. címének V. fejezete a 2–3. cikkeknek megfelelően módosul.</w:t>
      </w:r>
    </w:p>
    <w:p w14:paraId="5C05C3DB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04C5">
        <w:rPr>
          <w:rFonts w:ascii="Times New Roman" w:hAnsi="Times New Roman"/>
          <w:b/>
          <w:sz w:val="24"/>
        </w:rPr>
        <w:t>2. cikk</w:t>
      </w:r>
    </w:p>
    <w:p w14:paraId="643787CA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 xml:space="preserve">A CH 35. cikk helyébe a következő rendelkezések lépnek: </w:t>
      </w:r>
      <w:r w:rsidRPr="00DB04C5">
        <w:rPr>
          <w:rFonts w:ascii="Times New Roman" w:hAnsi="Times New Roman"/>
          <w:sz w:val="24"/>
        </w:rPr>
        <w:br/>
        <w:t>„Hűtőközegeket használó felszerelések vagy berendezések</w:t>
      </w:r>
      <w:r w:rsidRPr="00DB04C5">
        <w:rPr>
          <w:rFonts w:ascii="Times New Roman" w:hAnsi="Times New Roman"/>
          <w:sz w:val="24"/>
        </w:rPr>
        <w:br/>
        <w:t xml:space="preserve">1. § E cikk alkalmazása tekintetében a következő fogalommeghatározások érvényesek: </w:t>
      </w:r>
    </w:p>
    <w:p w14:paraId="41614B6A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 xml:space="preserve">– »gyúlékony hűtőközegek«: olyan folyadékok, amelyek 60 °C-on és 101,3 kPA nyomáson lángterjedéssel reagálnak; </w:t>
      </w:r>
      <w:r w:rsidRPr="00DB04C5">
        <w:rPr>
          <w:rFonts w:ascii="Times New Roman" w:hAnsi="Times New Roman"/>
          <w:sz w:val="24"/>
        </w:rPr>
        <w:br/>
        <w:t xml:space="preserve">– »mérgező hűtőközegek«: olyan folyadékok, amelyek 400 ppm koncentráció felett bizonyítottan mérgező hatást mutatnak. </w:t>
      </w:r>
    </w:p>
    <w:p w14:paraId="4C970516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 xml:space="preserve">A fűtésre, légkondicionálásra, klimatizálásra vagy használati melegvíz előállítására szolgáló termodinamikus felszereléseknek és berendezéseknek meg kell felelniük az alábbi rendelkezéseknek. </w:t>
      </w:r>
      <w:r w:rsidRPr="00DB04C5">
        <w:rPr>
          <w:rFonts w:ascii="Times New Roman" w:hAnsi="Times New Roman"/>
          <w:sz w:val="24"/>
        </w:rPr>
        <w:br/>
        <w:t xml:space="preserve">2. § A használt hűtőközegtől függetlenül alkalmazandó rendelkezések. </w:t>
      </w:r>
      <w:r w:rsidRPr="00DB04C5">
        <w:rPr>
          <w:rFonts w:ascii="Times New Roman" w:hAnsi="Times New Roman"/>
          <w:sz w:val="24"/>
        </w:rPr>
        <w:br/>
        <w:t xml:space="preserve">Ha a közönség számára elérhető helyiségekben beépített kompresszoros berendezéseket helyeznek el, a kompresszoroknak hermetikusnak vagy félhermetikusnak kell lenniük. </w:t>
      </w:r>
      <w:r w:rsidRPr="00DB04C5">
        <w:rPr>
          <w:rFonts w:ascii="Times New Roman" w:hAnsi="Times New Roman"/>
          <w:sz w:val="24"/>
        </w:rPr>
        <w:br/>
        <w:t xml:space="preserve">Ha a felszerelést gépteremben helyezik el, annak legalább két, a létesítményen kívülre vezető, különböző magasságokban elhelyezkedő szellőzőnyílást kell tartalmaznia. El kell különülnie a kazánháztól és nem kapcsolódhat közvetlenül a közönség számára elérhető helyiségekhez. </w:t>
      </w:r>
      <w:r w:rsidRPr="00DB04C5">
        <w:rPr>
          <w:rFonts w:ascii="Times New Roman" w:hAnsi="Times New Roman"/>
          <w:sz w:val="24"/>
        </w:rPr>
        <w:br/>
        <w:t xml:space="preserve">A hűtőközeget szállító csövezeteknek fémnek kell lenniük. </w:t>
      </w:r>
      <w:r w:rsidRPr="00DB04C5">
        <w:rPr>
          <w:rFonts w:ascii="Times New Roman" w:hAnsi="Times New Roman"/>
          <w:sz w:val="24"/>
        </w:rPr>
        <w:br/>
        <w:t xml:space="preserve">A csövezetek szigeteléséhez használt hőszigetelőknek M1 vagy CL-s3, d0 osztályú anyagból kell készülniük a közönség számára elérhető helyiségek és közlekedők esetében, és M3 vagy DL-s3, d0 osztályú anyagból a létesítmény többi része esetében. </w:t>
      </w:r>
      <w:r w:rsidRPr="00DB04C5">
        <w:rPr>
          <w:rFonts w:ascii="Times New Roman" w:hAnsi="Times New Roman"/>
          <w:sz w:val="24"/>
        </w:rPr>
        <w:br/>
        <w:t xml:space="preserve">A hideg szállítására használt folyadékokat (ún. „hűtőfolyadékokat”) tartalmazó csőrendszereknek és tartályoknak meg kell felelniük a CH 25. cikk 3. §-ban szereplő rendelkezéseknek. </w:t>
      </w:r>
      <w:r w:rsidRPr="00DB04C5">
        <w:rPr>
          <w:rFonts w:ascii="Times New Roman" w:hAnsi="Times New Roman"/>
          <w:sz w:val="24"/>
        </w:rPr>
        <w:br/>
        <w:t xml:space="preserve">A hűtőközegeket és hűtőfolyadékokat tartalmazó tartályokhoz használt hőszigetelőknek M1 vagy CL-s3, d0 osztályú anyagból kell készülniük a közönség számára elérhető helyiségek és közlekedők esetében, és M3 vagy DL-s3, d0 osztályú anyagból a létesítmény többi része esetében. </w:t>
      </w:r>
      <w:r w:rsidRPr="00DB04C5">
        <w:rPr>
          <w:rFonts w:ascii="Times New Roman" w:hAnsi="Times New Roman"/>
          <w:sz w:val="24"/>
        </w:rPr>
        <w:br/>
        <w:t xml:space="preserve">3. § A gyúlékony hűtőközegek használatakor alkalmazandó rendelkezések. </w:t>
      </w:r>
      <w:r w:rsidRPr="00DB04C5">
        <w:rPr>
          <w:rFonts w:ascii="Times New Roman" w:hAnsi="Times New Roman"/>
          <w:sz w:val="24"/>
        </w:rPr>
        <w:br/>
        <w:t xml:space="preserve">A 3. § rendelkezései nem alkalmazandók a hermetikusan zárt felszerelésekre, amelyeket CE jelöléssel kell ellátni. </w:t>
      </w:r>
      <w:r w:rsidRPr="00DB04C5">
        <w:rPr>
          <w:rFonts w:ascii="Times New Roman" w:hAnsi="Times New Roman"/>
          <w:sz w:val="24"/>
        </w:rPr>
        <w:br/>
        <w:t xml:space="preserve">A gyúlékony hűtőközegeket szállító csövezetek szétszedhető csatlakozásainak felszerelése tilos az egységek csatlakozásainak kivételével. </w:t>
      </w:r>
      <w:r w:rsidRPr="00DB04C5">
        <w:rPr>
          <w:rFonts w:ascii="Times New Roman" w:hAnsi="Times New Roman"/>
          <w:sz w:val="24"/>
        </w:rPr>
        <w:br/>
        <w:t xml:space="preserve">A gyúlékony hűtőközegeket szállító csövezeteket védeni kell a nyílt törések mindennemű kockázata ellen. A csövezeteket a talajtól legalább két méteres magasságban kell elhelyezni, vagy az e követelménynek megfelelő mechanikus védelemmel kell ellátni. </w:t>
      </w:r>
      <w:r w:rsidRPr="00DB04C5">
        <w:rPr>
          <w:rFonts w:ascii="Times New Roman" w:hAnsi="Times New Roman"/>
          <w:sz w:val="24"/>
        </w:rPr>
        <w:br/>
        <w:t>A cseppfolyósított formájú gyúlékony hűtőközegeket szállító csövezetek belső átmérőjének kisebbnek kell lennie, mint 50 mm.</w:t>
      </w:r>
      <w:r w:rsidRPr="00DB04C5">
        <w:rPr>
          <w:rFonts w:ascii="Times New Roman" w:hAnsi="Times New Roman"/>
          <w:sz w:val="24"/>
        </w:rPr>
        <w:br/>
        <w:t xml:space="preserve">A 2. §-ban szereplő feltételeken kívül a gyúlékony hűtőközegeket tartalmazó belső egységek szigeteléséhez használt hőszigetelőknek M1 vagy B-s3, d0 osztályú anyagból </w:t>
      </w:r>
      <w:r w:rsidRPr="00DB04C5">
        <w:rPr>
          <w:rFonts w:ascii="Times New Roman" w:hAnsi="Times New Roman"/>
          <w:sz w:val="24"/>
        </w:rPr>
        <w:lastRenderedPageBreak/>
        <w:t xml:space="preserve">kell készülniük. </w:t>
      </w:r>
      <w:r w:rsidRPr="00DB04C5">
        <w:rPr>
          <w:rFonts w:ascii="Times New Roman" w:hAnsi="Times New Roman"/>
          <w:sz w:val="24"/>
        </w:rPr>
        <w:br/>
        <w:t xml:space="preserve">A géptermeknek a CO 28. cikk 2. §-a szerinti közepes kockázatú helyiségeknek kell lenniük. </w:t>
      </w:r>
      <w:r w:rsidRPr="00DB04C5">
        <w:rPr>
          <w:rFonts w:ascii="Times New Roman" w:hAnsi="Times New Roman"/>
          <w:sz w:val="24"/>
        </w:rPr>
        <w:br/>
        <w:t xml:space="preserve">a) Tilalmi zóna. </w:t>
      </w:r>
      <w:r w:rsidRPr="00DB04C5">
        <w:rPr>
          <w:rFonts w:ascii="Times New Roman" w:hAnsi="Times New Roman"/>
          <w:sz w:val="24"/>
        </w:rPr>
        <w:br/>
        <w:t xml:space="preserve">A gyúlékony hűtőközegeket tartalmazó egységek szétszedhető csatlakozásai körül tilalmi zónát kell létrehozni, amelyen belül tilos minden gyújtóforrás használata, különös tekintettel a lángokra és a valószínűsíthetően szikrát gyújtó készülékekre, hogy szivárgás esetén elkerülhető legyen a gyulladásveszély. </w:t>
      </w:r>
      <w:r w:rsidRPr="00DB04C5">
        <w:rPr>
          <w:rFonts w:ascii="Times New Roman" w:hAnsi="Times New Roman"/>
          <w:sz w:val="24"/>
        </w:rPr>
        <w:br/>
        <w:t xml:space="preserve">Aszerint, hogy a berendezések a létesítményen belül vagy kívül találhatók, valamint a folyadék égési jellemzői szerint ennek a zónának a sugara az alábbi táblázatnak megfelelően került meghatározásra: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1894"/>
        <w:gridCol w:w="1871"/>
        <w:gridCol w:w="1886"/>
      </w:tblGrid>
      <w:tr w:rsidR="00B767EF" w:rsidRPr="00DB04C5" w14:paraId="4C9966B3" w14:textId="77777777" w:rsidTr="00B767E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B0631" w14:textId="0DD82B3C" w:rsidR="00B767EF" w:rsidRPr="00DB04C5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4C5">
              <w:rPr>
                <w:rFonts w:ascii="Times New Roman" w:hAnsi="Times New Roman"/>
                <w:b/>
                <w:sz w:val="24"/>
              </w:rPr>
              <w:br/>
              <w:t xml:space="preserve">A folyékony fázist keringető csövezet belső átmérője (D) (mm)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9608A" w14:textId="77777777" w:rsidR="00B767EF" w:rsidRPr="00DB04C5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4C5">
              <w:rPr>
                <w:rFonts w:ascii="Times New Roman" w:hAnsi="Times New Roman"/>
                <w:b/>
                <w:sz w:val="24"/>
              </w:rPr>
              <w:br/>
              <w:t xml:space="preserve">Sugár (m) </w:t>
            </w:r>
          </w:p>
        </w:tc>
      </w:tr>
      <w:tr w:rsidR="00B767EF" w:rsidRPr="00DB04C5" w14:paraId="052FA11E" w14:textId="77777777" w:rsidTr="00B767E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5AF54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FC3C" w14:textId="022CACD5" w:rsidR="00B767EF" w:rsidRPr="00DB04C5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4C5">
              <w:rPr>
                <w:rFonts w:ascii="Times New Roman" w:hAnsi="Times New Roman"/>
                <w:b/>
                <w:sz w:val="24"/>
              </w:rPr>
              <w:br/>
              <w:t>Külső berendezések</w:t>
            </w:r>
            <w:r w:rsidR="00DB04C5" w:rsidRPr="00DB04C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B04C5">
              <w:rPr>
                <w:rFonts w:ascii="Times New Roman" w:hAnsi="Times New Roman"/>
                <w:b/>
                <w:sz w:val="24"/>
              </w:rPr>
              <w:t xml:space="preserve">(1)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7804" w14:textId="06EF0BDF" w:rsidR="00B767EF" w:rsidRPr="00DB04C5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4C5">
              <w:rPr>
                <w:rFonts w:ascii="Times New Roman" w:hAnsi="Times New Roman"/>
                <w:b/>
                <w:sz w:val="24"/>
              </w:rPr>
              <w:br/>
              <w:t>Belső berendezések</w:t>
            </w:r>
            <w:r w:rsidR="00DB04C5" w:rsidRPr="00DB04C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B04C5">
              <w:rPr>
                <w:rFonts w:ascii="Times New Roman" w:hAnsi="Times New Roman"/>
                <w:b/>
                <w:sz w:val="24"/>
              </w:rPr>
              <w:t>(2)</w:t>
            </w:r>
            <w:r w:rsidRPr="00DB04C5">
              <w:rPr>
                <w:rFonts w:ascii="Times New Roman" w:hAnsi="Times New Roman"/>
                <w:b/>
                <w:sz w:val="24"/>
              </w:rPr>
              <w:br/>
              <w:t xml:space="preserve">LII ≥ 0,10 kg/m3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912B6" w14:textId="1BA72F1A" w:rsidR="00B767EF" w:rsidRPr="00DB04C5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4C5">
              <w:rPr>
                <w:rFonts w:ascii="Times New Roman" w:hAnsi="Times New Roman"/>
                <w:b/>
                <w:sz w:val="24"/>
              </w:rPr>
              <w:br/>
              <w:t>Belső berendezések</w:t>
            </w:r>
            <w:r w:rsidR="00DB04C5" w:rsidRPr="00DB04C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B04C5">
              <w:rPr>
                <w:rFonts w:ascii="Times New Roman" w:hAnsi="Times New Roman"/>
                <w:b/>
                <w:sz w:val="24"/>
              </w:rPr>
              <w:t>(3)</w:t>
            </w:r>
            <w:r w:rsidRPr="00DB04C5">
              <w:rPr>
                <w:rFonts w:ascii="Times New Roman" w:hAnsi="Times New Roman"/>
                <w:b/>
                <w:sz w:val="24"/>
              </w:rPr>
              <w:br/>
              <w:t xml:space="preserve">LII &lt; 0,10 kg/m3 </w:t>
            </w:r>
          </w:p>
        </w:tc>
      </w:tr>
      <w:tr w:rsidR="00B767EF" w:rsidRPr="00DB04C5" w14:paraId="05AF61DD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BCF1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D ≤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11023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FD76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C5D2D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</w:tr>
      <w:tr w:rsidR="00B767EF" w:rsidRPr="00DB04C5" w14:paraId="3650889A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A1EF2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10 &lt; D ≤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0494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735C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48935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</w:tr>
      <w:tr w:rsidR="00B767EF" w:rsidRPr="00DB04C5" w14:paraId="1020D8A8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4753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20 &lt; D ≤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E0AA6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B77CA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F7965" w14:textId="77777777" w:rsidR="00B767EF" w:rsidRPr="00DB04C5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4C5">
              <w:rPr>
                <w:rFonts w:ascii="Times New Roman" w:hAnsi="Times New Roman"/>
                <w:sz w:val="24"/>
              </w:rPr>
              <w:br/>
              <w:t xml:space="preserve">10 </w:t>
            </w:r>
          </w:p>
        </w:tc>
      </w:tr>
    </w:tbl>
    <w:p w14:paraId="57246B03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 xml:space="preserve">b) Maximális engedélyezett áramlási kapacitás. </w:t>
      </w:r>
      <w:r w:rsidRPr="00DB04C5">
        <w:rPr>
          <w:rFonts w:ascii="Times New Roman" w:hAnsi="Times New Roman"/>
          <w:sz w:val="24"/>
        </w:rPr>
        <w:br/>
        <w:t xml:space="preserve">A hűtőkörben keringő gyúlékony hűtőközegek teljes maximális mennyiségét korlátozni kell annak érdekében, hogy a helyiségben való szivárgás esetén elkerülhető legyen a kigyulladás alsó határértékénél jelentkező veszély. </w:t>
      </w:r>
      <w:r w:rsidRPr="00DB04C5">
        <w:rPr>
          <w:rFonts w:ascii="Times New Roman" w:hAnsi="Times New Roman"/>
          <w:sz w:val="24"/>
        </w:rPr>
        <w:br/>
        <w:t xml:space="preserve">Ezt a következő képlettel számítják ki: </w:t>
      </w:r>
      <w:r w:rsidRPr="00DB04C5">
        <w:rPr>
          <w:rFonts w:ascii="Times New Roman" w:hAnsi="Times New Roman"/>
          <w:sz w:val="24"/>
        </w:rPr>
        <w:br/>
        <w:t>mmax= 2,5 x LII5/4 x h0 x A1/2</w:t>
      </w:r>
      <w:r w:rsidRPr="00DB04C5">
        <w:rPr>
          <w:rFonts w:ascii="Times New Roman" w:hAnsi="Times New Roman"/>
          <w:sz w:val="24"/>
        </w:rPr>
        <w:br/>
        <w:t xml:space="preserve">Amelyben: </w:t>
      </w:r>
      <w:r w:rsidRPr="00DB04C5">
        <w:rPr>
          <w:rFonts w:ascii="Times New Roman" w:hAnsi="Times New Roman"/>
          <w:sz w:val="24"/>
        </w:rPr>
        <w:br/>
        <w:t xml:space="preserve">mmax (kg): a gyúlékony hűtőközeg teljes maximális mennyisége. </w:t>
      </w:r>
      <w:r w:rsidRPr="00DB04C5">
        <w:rPr>
          <w:rFonts w:ascii="Times New Roman" w:hAnsi="Times New Roman"/>
          <w:sz w:val="24"/>
        </w:rPr>
        <w:br/>
        <w:t xml:space="preserve">LII (kg/m3): a gyúlékonyság alsó határértéke. </w:t>
      </w:r>
      <w:r w:rsidRPr="00DB04C5">
        <w:rPr>
          <w:rFonts w:ascii="Times New Roman" w:hAnsi="Times New Roman"/>
          <w:sz w:val="24"/>
        </w:rPr>
        <w:br/>
        <w:t xml:space="preserve">h0: a helyiségben a legalacsonyabban található felszerelés magasságához tartozó együttható, melynek értéke: </w:t>
      </w:r>
      <w:r w:rsidRPr="00DB04C5">
        <w:rPr>
          <w:rFonts w:ascii="Times New Roman" w:hAnsi="Times New Roman"/>
          <w:sz w:val="24"/>
        </w:rPr>
        <w:br/>
        <w:t>0,6 a talajon való elhelyezés esetén,</w:t>
      </w:r>
      <w:r w:rsidRPr="00DB04C5">
        <w:rPr>
          <w:rFonts w:ascii="Times New Roman" w:hAnsi="Times New Roman"/>
          <w:sz w:val="24"/>
        </w:rPr>
        <w:br/>
        <w:t>1,1 ablakra való felszerelés esetén,</w:t>
      </w:r>
      <w:r w:rsidRPr="00DB04C5">
        <w:rPr>
          <w:rFonts w:ascii="Times New Roman" w:hAnsi="Times New Roman"/>
          <w:sz w:val="24"/>
        </w:rPr>
        <w:br/>
        <w:t>1,8 a falon való elhelyezés esetén,</w:t>
      </w:r>
      <w:r w:rsidRPr="00DB04C5">
        <w:rPr>
          <w:rFonts w:ascii="Times New Roman" w:hAnsi="Times New Roman"/>
          <w:sz w:val="24"/>
        </w:rPr>
        <w:br/>
        <w:t>2,2 a plafonra való felszerelés esetén,</w:t>
      </w:r>
      <w:r w:rsidRPr="00DB04C5">
        <w:rPr>
          <w:rFonts w:ascii="Times New Roman" w:hAnsi="Times New Roman"/>
          <w:sz w:val="24"/>
        </w:rPr>
        <w:br/>
        <w:t>a helyiségben lévő legalacsonyabb csatlakozás magassága, amennyiben az 2,2 méternél magasabban van.</w:t>
      </w:r>
      <w:r w:rsidRPr="00DB04C5">
        <w:rPr>
          <w:rFonts w:ascii="Times New Roman" w:hAnsi="Times New Roman"/>
          <w:sz w:val="24"/>
        </w:rPr>
        <w:br/>
        <w:t xml:space="preserve">A (m²): a helyiség alapterülete. </w:t>
      </w:r>
      <w:r w:rsidRPr="00DB04C5">
        <w:rPr>
          <w:rFonts w:ascii="Times New Roman" w:hAnsi="Times New Roman"/>
          <w:sz w:val="24"/>
        </w:rPr>
        <w:br/>
        <w:t xml:space="preserve">A gyúlékony hűtőközegek áramlására nem vonatkozik korlátozás, ha a berendezés kialakítása magában foglalja a hűtőkör zárószelepét és egy jelzőberendezéssel ellátott szellőzőrendszert annak érdekében, hogy a helyiségben való szivárgás esetén elkerülhető legyen a kigyulladás alsó határértékénél jelentkező veszély. </w:t>
      </w:r>
      <w:r w:rsidRPr="00DB04C5">
        <w:rPr>
          <w:rFonts w:ascii="Times New Roman" w:hAnsi="Times New Roman"/>
          <w:sz w:val="24"/>
        </w:rPr>
        <w:br/>
      </w:r>
      <w:r w:rsidRPr="00DB04C5">
        <w:rPr>
          <w:rFonts w:ascii="Times New Roman" w:hAnsi="Times New Roman"/>
          <w:sz w:val="24"/>
        </w:rPr>
        <w:lastRenderedPageBreak/>
        <w:t>A gyúlékony hűtőközegek áramlására nem vonatkozik korlátozás, ha az e folyadékokat használó berendezés gépteremben található és ez a terem fel van szerelve a következőkkel:</w:t>
      </w:r>
    </w:p>
    <w:p w14:paraId="2B2A44F5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>– egy olyan érzékelőeszköz, amely szivárgás esetén a szivárgás idejének korlátozása érdekében beindítja a mechanikus légelszívót és megszakítja a folyadékáramlást a körben vagy a termodinamikus rendszer teljes leállításával, vagy egy mágnesszelep aktiválásával. Ez az érzékelőeszköz egy érzékelőközpontból és két, a használt folyadék jellege szerint beépített érzékelőből áll. Egy automata figyelmeztető eszköz jelzi az érzékelőrendszer és a légelszívás valamennyi hibáját;</w:t>
      </w:r>
      <w:r w:rsidRPr="00DB04C5">
        <w:rPr>
          <w:rFonts w:ascii="Times New Roman" w:hAnsi="Times New Roman"/>
          <w:sz w:val="24"/>
        </w:rPr>
        <w:br/>
        <w:t xml:space="preserve">– egy mechanikus légelszívó biztosítja a légcsere óránkénti mértékét, amely megfelelő ahhoz, hogy az elszívással az alsó gyúlékonysági határértéken belül maradjon. A robbanásveszélyes légkörben való használatra szánt felszerelésekre és védelmi rendszerekre vonatkozó 2014/34/EU irányelv szerint ennek az eszköznek 3 kategóriája van. </w:t>
      </w:r>
    </w:p>
    <w:p w14:paraId="0FA42FF1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 xml:space="preserve">c) A termodinamikus rendszerek és berendezések telepítése megfelel a gyártó által javasolt szabályoknak. </w:t>
      </w:r>
      <w:r w:rsidRPr="00DB04C5">
        <w:rPr>
          <w:rFonts w:ascii="Times New Roman" w:hAnsi="Times New Roman"/>
          <w:sz w:val="24"/>
        </w:rPr>
        <w:br/>
        <w:t>A telepítés leíró elemeit összegyűjtő dokumentumot kell létrehozni és a közigazgatási hatóságok és a beavatkozást végző vállalatok rendelkezésére bocsátani, amelyeknek azokról bármiféle beavatkozás előtt tudomást kell szerezniük. A dokumentum nevezetesen a következő elemeket tartalmazza:</w:t>
      </w:r>
    </w:p>
    <w:p w14:paraId="28CFE839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>– a csőhálózat terve;</w:t>
      </w:r>
      <w:r w:rsidRPr="00DB04C5">
        <w:rPr>
          <w:rFonts w:ascii="Times New Roman" w:hAnsi="Times New Roman"/>
          <w:sz w:val="24"/>
        </w:rPr>
        <w:br/>
        <w:t>– a telepítés összefoglalása;</w:t>
      </w:r>
      <w:r w:rsidRPr="00DB04C5">
        <w:rPr>
          <w:rFonts w:ascii="Times New Roman" w:hAnsi="Times New Roman"/>
          <w:sz w:val="24"/>
        </w:rPr>
        <w:br/>
        <w:t>– a hűtőközegek maximális mennyiségének vagy mennyiségeinek igazolt és részletes kiszámítása;</w:t>
      </w:r>
      <w:r w:rsidRPr="00DB04C5">
        <w:rPr>
          <w:rFonts w:ascii="Times New Roman" w:hAnsi="Times New Roman"/>
          <w:sz w:val="24"/>
        </w:rPr>
        <w:br/>
        <w:t>– a biztonsági eszközök (jelzőkészülékek, mágnesszelepek, szellőzők...) telepítési terve;</w:t>
      </w:r>
      <w:r w:rsidRPr="00DB04C5">
        <w:rPr>
          <w:rFonts w:ascii="Times New Roman" w:hAnsi="Times New Roman"/>
          <w:sz w:val="24"/>
        </w:rPr>
        <w:br/>
        <w:t>– az esetleges szellőztetés elméleti áramlása a maximális kiszámított mennyiség meghaladása esetén;</w:t>
      </w:r>
      <w:r w:rsidRPr="00DB04C5">
        <w:rPr>
          <w:rFonts w:ascii="Times New Roman" w:hAnsi="Times New Roman"/>
          <w:sz w:val="24"/>
        </w:rPr>
        <w:br/>
        <w:t>– az érzékelőeszköz kalibrálásának és megbízhatóságának, valamint a mechanikus légelszívó légcseréje mértékének igazolása;</w:t>
      </w:r>
      <w:r w:rsidRPr="00DB04C5">
        <w:rPr>
          <w:rFonts w:ascii="Times New Roman" w:hAnsi="Times New Roman"/>
          <w:sz w:val="24"/>
        </w:rPr>
        <w:br/>
        <w:t xml:space="preserve">– a különböző biztonsági eszközök megfelelését bemutató táblázat a maximális kiszámított mennyiség meghaladása esetén. </w:t>
      </w:r>
    </w:p>
    <w:p w14:paraId="4B0CAAF9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 xml:space="preserve">Ezt a dokumentumot a létesítmények vagy helyiségek bármilyen módosítását követően aktualizálni kell. </w:t>
      </w:r>
      <w:r w:rsidRPr="00DB04C5">
        <w:rPr>
          <w:rFonts w:ascii="Times New Roman" w:hAnsi="Times New Roman"/>
          <w:sz w:val="24"/>
        </w:rPr>
        <w:br/>
        <w:t xml:space="preserve">A létesítményt egy illetékes szakembernek minden évben hitelesítenie kell, és létre kell hoznia egy, a közvetlen és közvetett szivárgások érzékelésének eredményeit feltüntető jelentést. A fent említett biztonsági eszközök és kapcsolódó szabályozások legalább 20%-át minden évben hitelesíteni kell, és egy 5 éves időszak alatt azok mindegyikének sorra kell kerülnie. E vizsgálatok eredményét bele kell foglalni a fent említett jelentésbe. </w:t>
      </w:r>
      <w:r w:rsidRPr="00DB04C5">
        <w:rPr>
          <w:rFonts w:ascii="Times New Roman" w:hAnsi="Times New Roman"/>
          <w:sz w:val="24"/>
        </w:rPr>
        <w:br/>
        <w:t>4. § A mérgező hűtőközegek használata az alábbi három feltétel egyidejű teljesítése esetén engedélyezett:</w:t>
      </w:r>
    </w:p>
    <w:p w14:paraId="4007EB3F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lastRenderedPageBreak/>
        <w:br/>
        <w:t>– a kazánháztól elkülönülő gépteremben vagy kint történő elhelyezés;</w:t>
      </w:r>
      <w:r w:rsidRPr="00DB04C5">
        <w:rPr>
          <w:rFonts w:ascii="Times New Roman" w:hAnsi="Times New Roman"/>
          <w:sz w:val="24"/>
        </w:rPr>
        <w:br/>
        <w:t>– közvetett csererendszerben való működés;</w:t>
      </w:r>
      <w:r w:rsidRPr="00DB04C5">
        <w:rPr>
          <w:rFonts w:ascii="Times New Roman" w:hAnsi="Times New Roman"/>
          <w:sz w:val="24"/>
        </w:rPr>
        <w:br/>
        <w:t xml:space="preserve">– a valamennyi berendezésben jelen lévő folyadékok teljes mennyisége legfeljebb 150 kg. </w:t>
      </w:r>
    </w:p>
    <w:p w14:paraId="0AD8B318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 xml:space="preserve">5. § A hűtő-/tüzelőberendezéseket vagy azok csoportját a CH 5. vagy CH 6. cikkben szereplő feltételek szerint kell telepíteni, a teljesítményüktől függően.” </w:t>
      </w:r>
    </w:p>
    <w:p w14:paraId="365B6614" w14:textId="77777777" w:rsidR="00B767EF" w:rsidRPr="00DB04C5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>1. Tilalmi zóna kizárólag azon kültéri létesítmények esetében szükséges, amelyek gyúlékony hűtőközegei 10 cm/s-ot meghaladó lángterjedési sebességet tesznek lehetővé.</w:t>
      </w:r>
      <w:r w:rsidRPr="00DB04C5">
        <w:rPr>
          <w:rFonts w:ascii="Times New Roman" w:hAnsi="Times New Roman"/>
          <w:sz w:val="24"/>
        </w:rPr>
        <w:br/>
        <w:t xml:space="preserve">2. A legalább 0,10 kg/m³ alsó gyúlékonysági határértékkel rendelkező gyúlékony hűtőközegek. </w:t>
      </w:r>
      <w:r w:rsidRPr="00DB04C5">
        <w:rPr>
          <w:rFonts w:ascii="Times New Roman" w:hAnsi="Times New Roman"/>
          <w:sz w:val="24"/>
        </w:rPr>
        <w:br/>
        <w:t>3. A 0,10 kg/m³-nél alacsonyabb alsó gyúlékonysági határértékkel rendelkező gyúlékony hűtőközegek.</w:t>
      </w:r>
    </w:p>
    <w:p w14:paraId="6B67D63E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04C5">
        <w:rPr>
          <w:rFonts w:ascii="Times New Roman" w:hAnsi="Times New Roman"/>
          <w:b/>
          <w:sz w:val="24"/>
        </w:rPr>
        <w:t>3. cikk</w:t>
      </w:r>
    </w:p>
    <w:p w14:paraId="09930595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>A CH 45. cikk c) pontját el kell hagyni.</w:t>
      </w:r>
    </w:p>
    <w:p w14:paraId="6849DEBF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04C5">
        <w:rPr>
          <w:rFonts w:ascii="Times New Roman" w:hAnsi="Times New Roman"/>
          <w:b/>
          <w:sz w:val="24"/>
        </w:rPr>
        <w:t>4. cikk</w:t>
      </w:r>
    </w:p>
    <w:p w14:paraId="74F3395F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 xml:space="preserve">A tűz és pánik kockázatának a közönséget fogadó létesítményekben való kiküszöböléséről szóló, a fentiekben említett 1980. június 25-i rendelettel jóváhagyott biztonsági szabályzat II. könyve II. címének II. fejezete a következőképpen módosul: </w:t>
      </w:r>
      <w:r w:rsidRPr="00DB04C5">
        <w:rPr>
          <w:rFonts w:ascii="Times New Roman" w:hAnsi="Times New Roman"/>
          <w:sz w:val="24"/>
        </w:rPr>
        <w:br/>
        <w:t>Az M 40. cikk 4.</w:t>
      </w:r>
    </w:p>
    <w:p w14:paraId="31ECF89C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04C5">
        <w:rPr>
          <w:rFonts w:ascii="Times New Roman" w:hAnsi="Times New Roman"/>
          <w:b/>
          <w:sz w:val="24"/>
        </w:rPr>
        <w:t>5. cikk</w:t>
      </w:r>
    </w:p>
    <w:p w14:paraId="6B0A3F54" w14:textId="77777777" w:rsidR="00B767EF" w:rsidRPr="00DB04C5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>Ez a rendelet a Francia Köztársaság Hivatalos Lapjában történő közzétételét követő napon lép hatályba.</w:t>
      </w:r>
    </w:p>
    <w:p w14:paraId="032C5E60" w14:textId="77777777" w:rsidR="00B767EF" w:rsidRPr="00DB04C5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>Kelt: 2019. május 10.</w:t>
      </w:r>
    </w:p>
    <w:p w14:paraId="582D28DE" w14:textId="77777777" w:rsidR="00B767EF" w:rsidRPr="00DB04C5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4C5">
        <w:rPr>
          <w:rFonts w:ascii="Times New Roman" w:hAnsi="Times New Roman"/>
          <w:sz w:val="24"/>
        </w:rPr>
        <w:br/>
        <w:t>A miniszter nevében és megbízásából:</w:t>
      </w:r>
      <w:r w:rsidRPr="00DB04C5">
        <w:rPr>
          <w:rFonts w:ascii="Times New Roman" w:hAnsi="Times New Roman"/>
          <w:sz w:val="24"/>
        </w:rPr>
        <w:br/>
        <w:t>A szolgálat vezetője, a polgári biztonsági és válságkezelési főigazgató tűzoltóság irányításáért felelős helyettese,</w:t>
      </w:r>
      <w:r w:rsidRPr="00DB04C5">
        <w:rPr>
          <w:rFonts w:ascii="Times New Roman" w:hAnsi="Times New Roman"/>
          <w:sz w:val="24"/>
        </w:rPr>
        <w:br/>
        <w:t>M. Marquer</w:t>
      </w:r>
    </w:p>
    <w:p w14:paraId="5785BBFE" w14:textId="77777777" w:rsidR="006467BD" w:rsidRDefault="006467BD"/>
    <w:sectPr w:rsidR="00646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68106" w14:textId="77777777" w:rsidR="00DB04C5" w:rsidRDefault="00DB04C5" w:rsidP="00DB04C5">
      <w:pPr>
        <w:spacing w:after="0" w:line="240" w:lineRule="auto"/>
      </w:pPr>
      <w:r>
        <w:separator/>
      </w:r>
    </w:p>
  </w:endnote>
  <w:endnote w:type="continuationSeparator" w:id="0">
    <w:p w14:paraId="6491577B" w14:textId="77777777" w:rsidR="00DB04C5" w:rsidRDefault="00DB04C5" w:rsidP="00DB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5E879" w14:textId="77777777" w:rsidR="00DB04C5" w:rsidRDefault="00DB0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8E1BA" w14:textId="77777777" w:rsidR="00DB04C5" w:rsidRDefault="00DB0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21607" w14:textId="77777777" w:rsidR="00DB04C5" w:rsidRDefault="00DB0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3B921" w14:textId="77777777" w:rsidR="00DB04C5" w:rsidRDefault="00DB04C5" w:rsidP="00DB04C5">
      <w:pPr>
        <w:spacing w:after="0" w:line="240" w:lineRule="auto"/>
      </w:pPr>
      <w:r>
        <w:separator/>
      </w:r>
    </w:p>
  </w:footnote>
  <w:footnote w:type="continuationSeparator" w:id="0">
    <w:p w14:paraId="213F84FA" w14:textId="77777777" w:rsidR="00DB04C5" w:rsidRDefault="00DB04C5" w:rsidP="00DB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EB67F" w14:textId="77777777" w:rsidR="00DB04C5" w:rsidRDefault="00DB0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9F7F8" w14:textId="77777777" w:rsidR="00DB04C5" w:rsidRDefault="00DB0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CA8EA" w14:textId="77777777" w:rsidR="00DB04C5" w:rsidRDefault="00DB04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EF"/>
    <w:rsid w:val="00365E4A"/>
    <w:rsid w:val="00500C1C"/>
    <w:rsid w:val="006467BD"/>
    <w:rsid w:val="00B767EF"/>
    <w:rsid w:val="00DB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BCF1"/>
  <w15:chartTrackingRefBased/>
  <w15:docId w15:val="{9718DBF2-DF08-434E-8486-12F8ECF7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C5"/>
  </w:style>
  <w:style w:type="paragraph" w:styleId="Footer">
    <w:name w:val="footer"/>
    <w:basedOn w:val="Normal"/>
    <w:link w:val="FooterChar"/>
    <w:uiPriority w:val="99"/>
    <w:unhideWhenUsed/>
    <w:rsid w:val="00DB0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1430</Words>
  <Characters>10168</Characters>
  <Application>Microsoft Office Word</Application>
  <DocSecurity>0</DocSecurity>
  <Lines>245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Mia Lehikoinen</cp:lastModifiedBy>
  <cp:revision>4</cp:revision>
  <dcterms:created xsi:type="dcterms:W3CDTF">2021-08-25T12:18:00Z</dcterms:created>
  <dcterms:modified xsi:type="dcterms:W3CDTF">2021-12-22T16:35:00Z</dcterms:modified>
</cp:coreProperties>
</file>