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BUNDESGESETZBLATT (BGBl.)</w:t>
      </w:r>
    </w:p>
    <w:p w:rsidR="00F10F73" w:rsidRPr="00EB5BAD" w:rsidRDefault="00F10F73" w:rsidP="00EB60F8">
      <w:pPr>
        <w:pStyle w:val="03RepOesterr"/>
      </w:pPr>
      <w:r>
        <w:t xml:space="preserve">REPUBLIKEN ÖSTERRIKE</w:t>
      </w:r>
    </w:p>
    <w:p w:rsidR="00F10F73" w:rsidRPr="00EB5BAD" w:rsidRDefault="00F10F73" w:rsidP="00EB60F8">
      <w:pPr>
        <w:pStyle w:val="04AusgabeDaten"/>
      </w:pPr>
      <w:r>
        <w:t xml:space="preserve">År 2020</w:t>
      </w:r>
      <w:r>
        <w:tab/>
      </w:r>
      <w:r>
        <w:t xml:space="preserve">Utfärdad den 18 februari 2020</w:t>
      </w:r>
      <w:r>
        <w:tab/>
      </w:r>
      <w:r>
        <w:t xml:space="preserve">Del II</w:t>
      </w:r>
    </w:p>
    <w:p w:rsidR="00F10F73" w:rsidRPr="00EB5BAD" w:rsidRDefault="00F10F73" w:rsidP="00EB60F8">
      <w:pPr>
        <w:pStyle w:val="05Kurztitel"/>
      </w:pPr>
      <w:r>
        <w:t xml:space="preserve">30:e förordningen:</w:t>
      </w:r>
      <w:r>
        <w:tab/>
      </w:r>
      <w:r>
        <w:t xml:space="preserve">Om säkerställande av tillgången på läkemedel</w:t>
      </w:r>
    </w:p>
    <w:p w:rsidR="00F10F73" w:rsidRPr="00EB5BAD" w:rsidRDefault="00F10F73" w:rsidP="00EB60F8">
      <w:pPr>
        <w:pStyle w:val="11Titel"/>
      </w:pPr>
      <w:r>
        <w:t xml:space="preserve">30:e förordningen från förbundsministern för arbete, sociala frågor, hälsovård och konsumentskydd om säkerställande av läkemedelsförsörjningen</w:t>
      </w:r>
    </w:p>
    <w:p w:rsidR="00F10F73" w:rsidRPr="00EB5BAD" w:rsidRDefault="00F10F73" w:rsidP="00EB60F8">
      <w:pPr>
        <w:pStyle w:val="12PromKlEinlSatz"/>
      </w:pPr>
      <w:r>
        <w:t xml:space="preserve">På grundval av 57a § andra stycket i läkemedelslagen (Arzneimittelgesetz, BGBl. nr 185/1983, senast ändrad genom den federala lagen BGBl. I nr 104/2019 och ändringen av lagen om federala ministerier BGBl. I nr 8/2020, förordnas följande:</w:t>
      </w:r>
    </w:p>
    <w:p w:rsidR="00F10F73" w:rsidRPr="00EB5BAD" w:rsidRDefault="00F10F73" w:rsidP="00EB60F8">
      <w:pPr>
        <w:pStyle w:val="51Abs"/>
      </w:pPr>
      <w:r>
        <w:rPr>
          <w:rStyle w:val="991GldSymbol"/>
        </w:rPr>
        <w:t xml:space="preserve">1 §</w:t>
      </w:r>
      <w:r>
        <w:t xml:space="preserve"> </w:t>
      </w:r>
      <w:r>
        <w:t xml:space="preserve">1. Tillståndsinnehavaren ska omedelbart anmäla varje leveransbegränsning för en receptbelagd farmaceutisk specialitet inom landet till den federala myndigheten för säkerhet inom hälso- och sjukvården.</w:t>
      </w:r>
      <w:r>
        <w:t xml:space="preserve"> </w:t>
      </w:r>
      <w:r>
        <w:t xml:space="preserve">En leveransbegränsning anses föreligga när det kan förmodas att en receptbelagd farmaceutisk specialitet inte är tillgänglig i mer än två veckor eller inte är tillgänglig i tillräcklig utsträckning i mer än fyra veckor för att täcka patienternas behov inom landet.</w:t>
      </w:r>
    </w:p>
    <w:p w:rsidR="00F10F73" w:rsidRPr="00EB5BAD" w:rsidRDefault="00F10F73" w:rsidP="00EB60F8">
      <w:pPr>
        <w:pStyle w:val="51Abs"/>
      </w:pPr>
      <w:r>
        <w:t xml:space="preserve">2. Anmälan enligt första stycket ska göras i överensstämmelse med kraven i förordningen från den federala myndigheten för säkerhet inom hälso- och sjukvården om elektronisk överföring av ansökningar och anmälningar (Elektronische Einreichverordnung 2011 – EEVO).</w:t>
      </w:r>
    </w:p>
    <w:p w:rsidR="00F10F73" w:rsidRPr="00EB5BAD" w:rsidRDefault="00F10F73" w:rsidP="00EB60F8">
      <w:pPr>
        <w:pStyle w:val="51Abs"/>
      </w:pPr>
      <w:r>
        <w:t xml:space="preserve">3. Den federala myndigheten för säkerhet inom hälso- och sjukvården ska offentliggöra en förteckning över de farmaceutisk specialiteter som anmälts enligt första stycket på sin webbplats så att den blir tillgänglig för allmänheten.</w:t>
      </w:r>
    </w:p>
    <w:p w:rsidR="00F10F73" w:rsidRPr="00EB5BAD" w:rsidRDefault="00F10F73" w:rsidP="00EB60F8">
      <w:pPr>
        <w:pStyle w:val="51Abs"/>
      </w:pPr>
      <w:r>
        <w:t xml:space="preserve">4. Kontrollen av tillståndsinnehavarens anmälan om leveransbegränsning av den berörda farmaceutiska specialiteten ska särskilt avse antalet berörda patienter, marknadstäckning, genomsnittliga försäljningssiffror, beräknade behov och lager samt tillgängliga potentiella alternativa läkemedel.</w:t>
      </w:r>
    </w:p>
    <w:p w:rsidR="00F10F73" w:rsidRPr="00EB5BAD" w:rsidRDefault="00F10F73" w:rsidP="00EB60F8">
      <w:pPr>
        <w:pStyle w:val="51Abs"/>
      </w:pPr>
      <w:r>
        <w:t xml:space="preserve">5. Den federala myndigheten för säkerhet inom hälso- och sjukvården ska regelbundet kontrollera att den förteckning som avses i 3 § är aktuell.</w:t>
      </w:r>
    </w:p>
    <w:p w:rsidR="00F10F73" w:rsidRPr="00EB5BAD" w:rsidRDefault="00F10F73" w:rsidP="00EB60F8">
      <w:pPr>
        <w:pStyle w:val="51Abs"/>
      </w:pPr>
      <w:r>
        <w:rPr>
          <w:rStyle w:val="991GldSymbol"/>
        </w:rPr>
        <w:t xml:space="preserve">2 §</w:t>
      </w:r>
      <w:r>
        <w:t xml:space="preserve"> </w:t>
      </w:r>
      <w:r>
        <w:t xml:space="preserve">1. Om det inte längre föreligger några leveransbegränsningar inom landet för en receptbelagd farmaceutisk specialitet ska tillståndsinnehavaren meddela detta den federala myndigheten för säkerhet inom hälso- och sjukvården.</w:t>
      </w:r>
      <w:r>
        <w:t xml:space="preserve"> </w:t>
      </w:r>
      <w:r>
        <w:t xml:space="preserve">1 § andra stycket ska gälla i tillämpliga delar.</w:t>
      </w:r>
    </w:p>
    <w:p w:rsidR="00F10F73" w:rsidRPr="00EB5BAD" w:rsidRDefault="00F10F73" w:rsidP="00EB60F8">
      <w:pPr>
        <w:pStyle w:val="51Abs"/>
      </w:pPr>
      <w:r>
        <w:t xml:space="preserve">2. Den federala myndigheten för säkerhet inom hälso- och sjukvården ska efter en kontroll i tillämpliga fall omedelbart stryka den aktuella farmaceutiska specialiteten från förteckningen enligt 1 § tredje stycket.</w:t>
      </w:r>
    </w:p>
    <w:p w:rsidR="00F10F73" w:rsidRPr="00EB5BAD" w:rsidRDefault="00F10F73" w:rsidP="00EB60F8">
      <w:pPr>
        <w:pStyle w:val="51Abs"/>
      </w:pPr>
      <w:r>
        <w:t xml:space="preserve">3. Om tillståndsinnehavaren underlåter att uppfylla sin skyldighet enligt 1 § får den federala myndigheten för säkerhet inom hälso- och sjukvården, efter kontroll, stryka på eget initiativ.</w:t>
      </w:r>
    </w:p>
    <w:p w:rsidR="00F10F73" w:rsidRPr="00EB5BAD" w:rsidRDefault="00F10F73" w:rsidP="00EB60F8">
      <w:pPr>
        <w:pStyle w:val="51Abs"/>
      </w:pPr>
      <w:r>
        <w:rPr>
          <w:rStyle w:val="991GldSymbol"/>
        </w:rPr>
        <w:t xml:space="preserve">3 §</w:t>
      </w:r>
      <w:r>
        <w:t xml:space="preserve"> </w:t>
      </w:r>
      <w:r>
        <w:t xml:space="preserve">1. Om den federala myndigheten för säkerhet inom hälso- och sjukvården får kännedom om att tillståndsinnehavaren inte eller till viss del inte fullgör sina skyldigheter enligt 1 § första stycket ska nämnda myndighet efter kontroll i tillämpliga fall offentliggöra den aktuella farmaceutiska specialiteten i förteckningen enligt 1 § tredje stycket så att den blir tillgänglig för allmänheten.</w:t>
      </w:r>
    </w:p>
    <w:p w:rsidR="00F10F73" w:rsidRPr="00EB5BAD" w:rsidRDefault="00F10F73" w:rsidP="00EB60F8">
      <w:pPr>
        <w:pStyle w:val="51Abs"/>
      </w:pPr>
      <w:r>
        <w:t xml:space="preserve">3. Om en sådan leveransbegränsning som avses i 1 § inte längre föreligger, ska 2 § gälla i tillämpliga delar.</w:t>
      </w:r>
    </w:p>
    <w:p w:rsidR="00F10F73" w:rsidRPr="00EB5BAD" w:rsidRDefault="00F10F73" w:rsidP="00EB60F8">
      <w:pPr>
        <w:pStyle w:val="51Abs"/>
      </w:pPr>
      <w:r>
        <w:rPr>
          <w:rStyle w:val="991GldSymbol"/>
        </w:rPr>
        <w:t xml:space="preserve">4 §</w:t>
      </w:r>
      <w:r>
        <w:t xml:space="preserve"> </w:t>
      </w:r>
      <w:r>
        <w:t xml:space="preserve">1. Om det uppkommer leveransbegränsningar inom landet för receptbelagda farmaceutiska specialiteter, vilka tillståndsinnehavaren tillhandahåller på ett lämpligt och kontinuerligt sätt för att täcka de österrikiska patienternas behov, ska den federala myndigheten för säkerhet inom hälso- och sjukvården i samråd med tillståndsinnehavaren även offentliggöra dessa receptbelagda farmaceutiska specialiteter i förteckningen enligt 1 § tredje stycket så att denna information blir tillgänglig för allmänheten.</w:t>
      </w:r>
    </w:p>
    <w:p w:rsidR="00F10F73" w:rsidRPr="00EB5BAD" w:rsidRDefault="00F10F73" w:rsidP="00EB60F8">
      <w:pPr>
        <w:pStyle w:val="51Abs"/>
      </w:pPr>
      <w:r>
        <w:t xml:space="preserve">2. Om någon annan begränsning inte längre föreligger enligt 1 §, ska den federala myndigheten för säkerhet inom hälso- och sjukvården, efter kontroll, på eget initiativ stryka den aktuella farmaceutiska specialiteten från förteckningen enligt 1 § tredje stycket.</w:t>
      </w:r>
    </w:p>
    <w:p w:rsidR="00F10F73" w:rsidRPr="00EB5BAD" w:rsidRDefault="00F10F73" w:rsidP="00EB60F8">
      <w:pPr>
        <w:pStyle w:val="51Abs"/>
      </w:pPr>
      <w:r>
        <w:rPr>
          <w:rStyle w:val="991GldSymbol"/>
        </w:rPr>
        <w:t xml:space="preserve">5 §</w:t>
      </w:r>
      <w:r>
        <w:t xml:space="preserve"> </w:t>
      </w:r>
      <w:r>
        <w:t xml:space="preserve">1. Av folkhälsoskäl är det förbjudet att exportera receptbelagda farmaceutiska specialiteter som offentliggjorts enligt 1 § tredje stycket i förteckningen från den federala myndigheten för säkerhet inom hälso- och sjukvården till en annan stat som tillhör Europeiska ekonomiska samarbetsområdet.</w:t>
      </w:r>
    </w:p>
    <w:p w:rsidR="00F10F73" w:rsidRPr="00EB5BAD" w:rsidRDefault="00F10F73" w:rsidP="00EB60F8">
      <w:pPr>
        <w:pStyle w:val="51Abs"/>
      </w:pPr>
      <w:r>
        <w:t xml:space="preserve">2. På begäran av innehavaren av godkännandet för försäljning ska den federala arbetsmiljömyndigheten fatta beslut om det exportförbud som avses i 1 §.</w:t>
      </w:r>
    </w:p>
    <w:p w:rsidR="00F10F73" w:rsidRPr="00EB5BAD" w:rsidRDefault="00F10F73" w:rsidP="00EB60F8">
      <w:pPr>
        <w:pStyle w:val="51Abs"/>
      </w:pPr>
      <w:r>
        <w:rPr>
          <w:rStyle w:val="991GldSymbol"/>
        </w:rPr>
        <w:t xml:space="preserve">6 §</w:t>
      </w:r>
      <w:r>
        <w:t xml:space="preserve"> </w:t>
      </w:r>
      <w:r>
        <w:t xml:space="preserve">Denna förordning har varit föremål för ett informationsförfarande i enlighet med Europaparlamentets och rådets direktiv (EU) 2015/1535 av den 9 september 2015 om ett informationsförfarande beträffande tekniska föreskrifter och beträffande föreskrifter för informationssamhällets tjänster, EUT L 241, 17.9.2015, s. 1.</w:t>
      </w:r>
    </w:p>
    <w:p w:rsidR="00F10F73" w:rsidRPr="00EB5BAD" w:rsidRDefault="00F10F73" w:rsidP="00EB60F8">
      <w:pPr>
        <w:pStyle w:val="51Abs"/>
      </w:pPr>
      <w:r>
        <w:rPr>
          <w:rStyle w:val="991GldSymbol"/>
        </w:rPr>
        <w:t xml:space="preserve">7 §</w:t>
      </w:r>
      <w:r>
        <w:t xml:space="preserve"> </w:t>
      </w:r>
      <w:r>
        <w:t xml:space="preserve">Denna förordning träder i kraft den 1 april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Utfärdat den 18 februari 2020 – nr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av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Utfärdat den 18 februari 2020 – nr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av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av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sv-S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sv-SE"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sv-SE"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sv-SE"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sv-SE"/>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sv-SE"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sv-SE"/>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sv-SE"/>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sv-SE"/>
    </w:rPr>
  </w:style>
  <w:style w:type="paragraph" w:customStyle="1" w:styleId="PDU1">
    <w:name w:val="PD_U1"/>
    <w:basedOn w:val="00LegStandard"/>
    <w:next w:val="Standard"/>
    <w:rsid w:val="00F10F73"/>
    <w:pPr>
      <w:tabs>
        <w:tab w:val="center" w:pos="2126"/>
        <w:tab w:val="center" w:pos="6379"/>
      </w:tabs>
      <w:spacing w:before="440"/>
    </w:pPr>
    <w:rPr>
      <w:b/>
      <w:lang w:val="sv-SE"/>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sv-SE"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sv-SE"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sv-SE"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sv-SE"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sv-SE"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sv-SE"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sv-SE"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sv-SE"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sv-SE" w:eastAsia="de-AT"/>
    </w:rPr>
  </w:style>
  <w:style w:type="paragraph" w:customStyle="1" w:styleId="58Schlussteile0Abs">
    <w:name w:val="58_Schlussteil_e0_Abs"/>
    <w:basedOn w:val="00LegStandard"/>
    <w:next w:val="51Abs"/>
    <w:rsid w:val="00F10F73"/>
    <w:pPr>
      <w:spacing w:before="40"/>
    </w:pPr>
    <w:rPr>
      <w:lang w:val="sv-SE"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sv-SE"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sv-SE"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sv-SE"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sv-SE"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sv-SE"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sv-SE"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sv-SE"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sv-SE"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sv-SE"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sv-SE"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sv-SE"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sv-SE"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sv-SE"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sv-SE"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sv-SE"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sv-SE"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sv-S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