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85" w:rsidRPr="00B009F8" w:rsidRDefault="00276E85" w:rsidP="00276E85">
      <w:pPr>
        <w:pStyle w:val="PlainText"/>
        <w:jc w:val="center"/>
      </w:pPr>
      <w:r>
        <w:t>1. ------IND- 2018 0442 B-- BG- ------ 20180912 --- --- PROJET</w:t>
      </w:r>
    </w:p>
    <w:tbl>
      <w:tblPr>
        <w:tblW w:w="10206" w:type="dxa"/>
        <w:tblLook w:val="0000" w:firstRow="0" w:lastRow="0" w:firstColumn="0" w:lastColumn="0" w:noHBand="0" w:noVBand="0"/>
      </w:tblPr>
      <w:tblGrid>
        <w:gridCol w:w="10206"/>
      </w:tblGrid>
      <w:tr w:rsidR="00C74C42" w:rsidRPr="00B009F8" w:rsidTr="00276E85">
        <w:tc>
          <w:tcPr>
            <w:tcW w:w="10206" w:type="dxa"/>
          </w:tcPr>
          <w:p w:rsidR="00C74C42" w:rsidRPr="00B009F8" w:rsidRDefault="00C74C42" w:rsidP="00276E85">
            <w:pPr>
              <w:jc w:val="center"/>
              <w:rPr>
                <w:rFonts w:ascii="Garamond" w:hAnsi="Garamond"/>
                <w:b/>
                <w:bCs/>
                <w:sz w:val="22"/>
                <w:szCs w:val="22"/>
              </w:rPr>
            </w:pPr>
            <w:r>
              <w:rPr>
                <w:rFonts w:ascii="Garamond" w:hAnsi="Garamond"/>
                <w:b/>
                <w:sz w:val="22"/>
              </w:rPr>
              <w:t>Кралство Белгия</w:t>
            </w: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_________</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caps/>
                <w:snapToGrid w:val="0"/>
                <w:color w:val="000000"/>
                <w:sz w:val="22"/>
              </w:rPr>
              <w:t>Федерална публична служба „Обществено здравеопазване, безопасност на хранителната верига и околна среда“</w:t>
            </w: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________________________</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b/>
                <w:bCs/>
                <w:sz w:val="22"/>
                <w:szCs w:val="22"/>
              </w:rPr>
            </w:pPr>
            <w:r>
              <w:rPr>
                <w:rFonts w:ascii="Garamond" w:hAnsi="Garamond"/>
                <w:b/>
                <w:sz w:val="22"/>
              </w:rPr>
              <w:t>Кралски указ относно материали и предмети от метал и сплав, предназначени за контакт с храни</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b/>
                <w:bCs/>
                <w:iCs/>
                <w:sz w:val="22"/>
                <w:szCs w:val="22"/>
              </w:rPr>
            </w:pPr>
            <w:r>
              <w:rPr>
                <w:rFonts w:ascii="Garamond" w:hAnsi="Garamond"/>
                <w:b/>
                <w:sz w:val="22"/>
              </w:rPr>
              <w:t>ФИЛИП, Кралят на белгийците,</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iCs/>
                <w:sz w:val="22"/>
                <w:szCs w:val="22"/>
              </w:rPr>
            </w:pPr>
            <w:r>
              <w:rPr>
                <w:rFonts w:ascii="Garamond" w:hAnsi="Garamond"/>
                <w:sz w:val="22"/>
              </w:rPr>
              <w:t>Приветствам всички настоящи и бъдещи поданици.</w:t>
            </w:r>
          </w:p>
        </w:tc>
      </w:tr>
      <w:tr w:rsidR="00C74C42" w:rsidRPr="00B009F8" w:rsidTr="00276E85">
        <w:tc>
          <w:tcPr>
            <w:tcW w:w="10206" w:type="dxa"/>
          </w:tcPr>
          <w:p w:rsidR="00C74C42" w:rsidRPr="00B009F8"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като взехме предвид Регламент (ЕО) № 1935/2004 на Европейския парламент и на Съвета от 27 октомври 2004 г. относно материалите и предметите, предназначени за контакт с храни, и за отмяна на Директиви 80/590/ЕИО и 89/109/ЕИО,</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като взехме предвид Закона от 24 януари 1977 г. за защита на здравето на потребителите по отношение на хранителни и други продукти, член 3, параграф 2, буква а), изменен със Закона от 22 март 1989 г.,</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xml:space="preserve">като взехме предвид Кралския указ от 11 май 1992 г. относно минерали и предмети, предназначени за контакт с храни, </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xml:space="preserve">като взехме предвид становището на Консултативния съвет относно политиката в областта на храните и използването на други потребителски продукти, публикувано на </w:t>
            </w:r>
            <w:r>
              <w:rPr>
                <w:rFonts w:ascii="Garamond" w:hAnsi="Garamond"/>
                <w:color w:val="FF0000"/>
                <w:sz w:val="22"/>
              </w:rPr>
              <w:t>xx xxxx 20xx</w:t>
            </w:r>
            <w:r>
              <w:rPr>
                <w:rFonts w:ascii="Garamond" w:hAnsi="Garamond"/>
                <w:sz w:val="22"/>
              </w:rPr>
              <w:t>,</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sz w:val="22"/>
                <w:szCs w:val="22"/>
              </w:rPr>
            </w:pPr>
            <w:r>
              <w:rPr>
                <w:rFonts w:ascii="Garamond" w:hAnsi="Garamond"/>
                <w:sz w:val="22"/>
              </w:rPr>
              <w:t xml:space="preserve">като взехме предвид становището на финансовия инспекторат, издадено на </w:t>
            </w:r>
            <w:r>
              <w:rPr>
                <w:rFonts w:ascii="Garamond" w:hAnsi="Garamond"/>
                <w:color w:val="FF0000"/>
                <w:sz w:val="22"/>
              </w:rPr>
              <w:t>xx xxxxx 20xx</w:t>
            </w:r>
            <w:r>
              <w:rPr>
                <w:rFonts w:ascii="Garamond" w:hAnsi="Garamond"/>
                <w:sz w:val="22"/>
              </w:rPr>
              <w:t>,</w:t>
            </w: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cs="Palatino Linotype"/>
                <w:color w:val="000000"/>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color w:val="000000"/>
                <w:sz w:val="22"/>
              </w:rPr>
              <w:t xml:space="preserve">като взехме предвид съобщението до Европейската комисия на </w:t>
            </w:r>
            <w:r>
              <w:rPr>
                <w:rFonts w:ascii="Garamond" w:hAnsi="Garamond"/>
                <w:color w:val="FF0000"/>
                <w:sz w:val="22"/>
              </w:rPr>
              <w:t>xx xxxxx 20xx</w:t>
            </w:r>
            <w:r>
              <w:rPr>
                <w:rFonts w:ascii="Garamond" w:hAnsi="Garamond"/>
                <w:color w:val="000000"/>
                <w:sz w:val="22"/>
              </w:rPr>
              <w:t>, съгласно член 5, параграф 1 от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като взехме предвид Становище № </w:t>
            </w:r>
            <w:r>
              <w:rPr>
                <w:rFonts w:ascii="Garamond" w:hAnsi="Garamond"/>
                <w:color w:val="FF0000"/>
                <w:sz w:val="22"/>
              </w:rPr>
              <w:t>xx.xxx/x</w:t>
            </w:r>
            <w:r>
              <w:rPr>
                <w:rFonts w:ascii="Garamond" w:hAnsi="Garamond"/>
                <w:sz w:val="22"/>
              </w:rPr>
              <w:t xml:space="preserve"> на държавния съвет, издадено на </w:t>
            </w:r>
            <w:r>
              <w:rPr>
                <w:rFonts w:ascii="Garamond" w:hAnsi="Garamond"/>
                <w:color w:val="FF0000"/>
                <w:sz w:val="22"/>
              </w:rPr>
              <w:t>xx xxxx 201x</w:t>
            </w:r>
            <w:r>
              <w:rPr>
                <w:rFonts w:ascii="Garamond" w:hAnsi="Garamond"/>
                <w:sz w:val="22"/>
              </w:rPr>
              <w:t>, съгласно член 84, параграф 1, алинея 1, точка 2 от законодателните актове на държавния съвет, съгласувано на 12 януари 1973 г.,</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като взехме предвид Резолюция CM/Res(2013)9 на Съвета на Европа относно металите и сплавите, които се използват в материали и предмети за контакт с храни,</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по препоръка на министъра на общественото здраве и на министъра на земеделието,</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ВЗЕХМЕ СЛЕДНОТО РЕШЕНИЕ:</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8C5E75" w:rsidP="00A47389">
            <w:pPr>
              <w:keepNext/>
              <w:keepLines/>
              <w:jc w:val="both"/>
              <w:rPr>
                <w:rFonts w:ascii="Garamond" w:hAnsi="Garamond"/>
                <w:b/>
                <w:bCs/>
                <w:sz w:val="22"/>
                <w:szCs w:val="22"/>
              </w:rPr>
            </w:pPr>
            <w:r>
              <w:rPr>
                <w:rFonts w:ascii="Garamond" w:hAnsi="Garamond"/>
                <w:b/>
                <w:sz w:val="22"/>
              </w:rPr>
              <w:t>Член 1. Приложно поле</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Разпоредбите на настоящия указ се отнасят до непреднамерено освобождаване на метални йони от готови материали и предмети, независимо дали са изцяло или частично направени от метали или сплави и/или са снабдени с покритие или не, които са:</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1) предназначени за контакт с храни; или</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2) вече са в контакт с храни и са предназначени за тази цел; или</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3) може основателно да се приеме, че влизат в контакт с храни или отделят съставките си в храните по време на обичайна или предвидена употреба.</w:t>
            </w:r>
          </w:p>
        </w:tc>
      </w:tr>
      <w:tr w:rsidR="00C74C42" w:rsidRPr="00B009F8" w:rsidTr="00276E85">
        <w:tc>
          <w:tcPr>
            <w:tcW w:w="10206" w:type="dxa"/>
          </w:tcPr>
          <w:p w:rsidR="00C74C42" w:rsidRPr="00B009F8" w:rsidRDefault="00C74C42" w:rsidP="00A47389">
            <w:pPr>
              <w:pStyle w:val="ListParagraph"/>
              <w:ind w:left="360"/>
              <w:jc w:val="both"/>
              <w:rPr>
                <w:rFonts w:ascii="Garamond" w:hAnsi="Garamond"/>
                <w:sz w:val="22"/>
                <w:szCs w:val="22"/>
              </w:rPr>
            </w:pPr>
          </w:p>
        </w:tc>
      </w:tr>
      <w:tr w:rsidR="00C74C42" w:rsidRPr="00B009F8" w:rsidTr="00276E85">
        <w:tc>
          <w:tcPr>
            <w:tcW w:w="10206" w:type="dxa"/>
          </w:tcPr>
          <w:p w:rsidR="00C74C42" w:rsidRPr="00B009F8" w:rsidRDefault="008C5E75" w:rsidP="00A47389">
            <w:pPr>
              <w:keepNext/>
              <w:keepLines/>
              <w:jc w:val="both"/>
              <w:rPr>
                <w:rFonts w:ascii="Garamond" w:hAnsi="Garamond"/>
                <w:b/>
                <w:sz w:val="22"/>
                <w:szCs w:val="22"/>
              </w:rPr>
            </w:pPr>
            <w:r>
              <w:rPr>
                <w:rFonts w:ascii="Garamond" w:hAnsi="Garamond"/>
                <w:b/>
                <w:sz w:val="22"/>
              </w:rPr>
              <w:t>Член 2. Определения</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За целите на настоящия указ се прилагат следните определения:</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1) метали: металите се характеризират с техните физико-химични свойства в твърдо състояние:</w:t>
            </w:r>
          </w:p>
        </w:tc>
      </w:tr>
      <w:tr w:rsidR="00C74C42" w:rsidRPr="00B009F8" w:rsidTr="00276E85">
        <w:tc>
          <w:tcPr>
            <w:tcW w:w="10206" w:type="dxa"/>
          </w:tcPr>
          <w:p w:rsidR="00C74C42" w:rsidRPr="00B009F8" w:rsidRDefault="00C74C42" w:rsidP="00A47389">
            <w:pPr>
              <w:pStyle w:val="ListParagraph"/>
              <w:numPr>
                <w:ilvl w:val="0"/>
                <w:numId w:val="2"/>
              </w:numPr>
              <w:jc w:val="both"/>
              <w:rPr>
                <w:rFonts w:ascii="Garamond" w:hAnsi="Garamond"/>
                <w:sz w:val="22"/>
                <w:szCs w:val="22"/>
              </w:rPr>
            </w:pPr>
            <w:r>
              <w:rPr>
                <w:rFonts w:ascii="Garamond" w:hAnsi="Garamond"/>
                <w:sz w:val="22"/>
              </w:rPr>
              <w:t>рефлективни свойства, които създават отличителния метален блясък,</w:t>
            </w:r>
          </w:p>
        </w:tc>
      </w:tr>
      <w:tr w:rsidR="00C74C42" w:rsidRPr="00B009F8" w:rsidTr="00276E85">
        <w:tc>
          <w:tcPr>
            <w:tcW w:w="10206" w:type="dxa"/>
          </w:tcPr>
          <w:p w:rsidR="00C74C42" w:rsidRPr="00B009F8" w:rsidRDefault="00C74C42" w:rsidP="00A47389">
            <w:pPr>
              <w:pStyle w:val="ListParagraph"/>
              <w:numPr>
                <w:ilvl w:val="0"/>
                <w:numId w:val="1"/>
              </w:numPr>
              <w:jc w:val="both"/>
              <w:rPr>
                <w:rFonts w:ascii="Garamond" w:hAnsi="Garamond"/>
                <w:sz w:val="22"/>
                <w:szCs w:val="22"/>
              </w:rPr>
            </w:pPr>
            <w:r>
              <w:rPr>
                <w:rFonts w:ascii="Garamond" w:hAnsi="Garamond"/>
                <w:sz w:val="22"/>
              </w:rPr>
              <w:t>електропроводимост,</w:t>
            </w:r>
          </w:p>
        </w:tc>
      </w:tr>
      <w:tr w:rsidR="00C74C42" w:rsidRPr="00B009F8" w:rsidTr="00276E85">
        <w:tc>
          <w:tcPr>
            <w:tcW w:w="10206" w:type="dxa"/>
          </w:tcPr>
          <w:p w:rsidR="00C74C42" w:rsidRPr="00B009F8" w:rsidRDefault="00C74C42" w:rsidP="00A47389">
            <w:pPr>
              <w:pStyle w:val="ListParagraph"/>
              <w:numPr>
                <w:ilvl w:val="0"/>
                <w:numId w:val="1"/>
              </w:numPr>
              <w:jc w:val="both"/>
              <w:rPr>
                <w:rFonts w:ascii="Garamond" w:hAnsi="Garamond"/>
                <w:sz w:val="22"/>
                <w:szCs w:val="22"/>
              </w:rPr>
            </w:pPr>
            <w:r>
              <w:rPr>
                <w:rFonts w:ascii="Garamond" w:hAnsi="Garamond"/>
                <w:sz w:val="22"/>
              </w:rPr>
              <w:t>топлопроводимост;</w:t>
            </w:r>
          </w:p>
        </w:tc>
      </w:tr>
      <w:tr w:rsidR="00C74C42" w:rsidRPr="00B009F8" w:rsidTr="00276E85">
        <w:tc>
          <w:tcPr>
            <w:tcW w:w="10206" w:type="dxa"/>
          </w:tcPr>
          <w:p w:rsidR="00C74C42" w:rsidRPr="00B009F8" w:rsidRDefault="00C74C42" w:rsidP="00A47389">
            <w:pPr>
              <w:pStyle w:val="ListParagraph"/>
              <w:numPr>
                <w:ilvl w:val="0"/>
                <w:numId w:val="3"/>
              </w:numPr>
              <w:jc w:val="both"/>
              <w:rPr>
                <w:rFonts w:ascii="Garamond" w:hAnsi="Garamond"/>
                <w:sz w:val="22"/>
                <w:szCs w:val="22"/>
              </w:rPr>
            </w:pPr>
            <w:r>
              <w:rPr>
                <w:rFonts w:ascii="Garamond" w:hAnsi="Garamond"/>
                <w:sz w:val="22"/>
              </w:rPr>
              <w:t>механични свойства като твърдост и деформируемост.</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Металите отговарят на категория материали, чието сцепление на атомно ниво се осигурява от метални връзки. Те могат да се считат за еквивалентни на структура от положителни метални йони, образуващи големи кристални решетки, в които валентните електрони се споделят от цялата структура.</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2) сплави: сплавта е макроскопичен хомогенен метал, който се състои от два или повече химически елемента, които са свързани заедно по такъв начин, че не могат лесно да бъдат отделени механично.</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3) отделяне: отделянето е определено в кралския указ като непреднамерен пренос на метални йони към храни от материали или предмети, изработени от метали или сплави.</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4) специфична граница на отделяне (SRL): максималното количество на специфичен метален йон или металоид (в mg), което материал или предмет е разрешено да отделя за количество храна или хранителни симуланти (в kg).</w:t>
            </w:r>
          </w:p>
        </w:tc>
      </w:tr>
      <w:tr w:rsidR="00C74C42" w:rsidRPr="00B009F8" w:rsidTr="00276E85">
        <w:tc>
          <w:tcPr>
            <w:tcW w:w="10206" w:type="dxa"/>
          </w:tcPr>
          <w:p w:rsidR="00C74C42" w:rsidRPr="00B009F8" w:rsidRDefault="00C74C42" w:rsidP="00A47389">
            <w:pPr>
              <w:jc w:val="both"/>
              <w:rPr>
                <w:rFonts w:ascii="Garamond" w:hAnsi="Garamond"/>
                <w:color w:val="0000FF"/>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sz w:val="22"/>
                <w:szCs w:val="22"/>
              </w:rPr>
            </w:pPr>
            <w:r>
              <w:rPr>
                <w:rFonts w:ascii="Garamond" w:hAnsi="Garamond"/>
                <w:b/>
                <w:sz w:val="22"/>
              </w:rPr>
              <w:t>Член 3. Обща разпоредба</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Материалите и предметите от метал и сплав, предназначени да влизат в контакт с храна, трябва да са произведени в съответствие с:</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Регламент (ЕО) № 1935/2004 на Комисията от 27 октомври 2004 г. относно материалите и предметите, предназначени за контакт с храни,</w:t>
            </w:r>
          </w:p>
        </w:tc>
      </w:tr>
      <w:tr w:rsidR="00C74C42" w:rsidRPr="00B009F8" w:rsidTr="00276E85">
        <w:tc>
          <w:tcPr>
            <w:tcW w:w="10206" w:type="dxa"/>
          </w:tcPr>
          <w:p w:rsidR="00C74C42" w:rsidRPr="00B009F8" w:rsidRDefault="00C74C42" w:rsidP="00583446">
            <w:pPr>
              <w:jc w:val="both"/>
              <w:rPr>
                <w:rFonts w:ascii="Garamond" w:hAnsi="Garamond"/>
                <w:sz w:val="22"/>
                <w:szCs w:val="22"/>
              </w:rPr>
            </w:pPr>
            <w:r>
              <w:rPr>
                <w:rFonts w:ascii="Garamond" w:hAnsi="Garamond"/>
                <w:sz w:val="22"/>
              </w:rPr>
              <w:t>— Регламент (ЕО) № 2023/2006 на Комисията от 22 декември 2006 г. относно добра производствена практика за материали и предмети, предназначени за контакт с храни,</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 Кралски указ от 11 май 1992 г. относно минерали и предмети, предназначени за контакт с храни.</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sz w:val="22"/>
                <w:szCs w:val="22"/>
              </w:rPr>
            </w:pPr>
            <w:r>
              <w:rPr>
                <w:rFonts w:ascii="Garamond" w:hAnsi="Garamond"/>
                <w:b/>
                <w:sz w:val="22"/>
              </w:rPr>
              <w:t>Член 4. Специфична граница на отделяне (SRL)</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Материалите и предметите, посочени в член 1, трябва да отговарят на специфичните граници на отделяне, дадени в приложението, глава 1.</w:t>
            </w: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sz w:val="22"/>
                <w:szCs w:val="22"/>
              </w:rPr>
            </w:pPr>
            <w:r>
              <w:rPr>
                <w:rFonts w:ascii="Garamond" w:hAnsi="Garamond"/>
                <w:sz w:val="22"/>
              </w:rPr>
              <w:t>Веществата в наноформа трябва винаги да бъдат индивидуално оценявани за техните характеристики, предназначение и нива на експозиция, в случай на отделяне в храни.</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autoSpaceDE w:val="0"/>
              <w:autoSpaceDN w:val="0"/>
              <w:adjustRightInd w:val="0"/>
              <w:jc w:val="both"/>
              <w:rPr>
                <w:rFonts w:ascii="Garamond" w:hAnsi="Garamond"/>
                <w:b/>
                <w:sz w:val="22"/>
                <w:szCs w:val="22"/>
              </w:rPr>
            </w:pPr>
            <w:r>
              <w:rPr>
                <w:rFonts w:ascii="Garamond" w:hAnsi="Garamond"/>
                <w:b/>
                <w:sz w:val="22"/>
              </w:rPr>
              <w:t>Член 5. Съответствие със специфичните граници на отделяне</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Параграф 1. Съответствието на готовите материали и предмети се проверява чрез предприемане на тестове за отделяне и/или скринингови методи.</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Тези тестове и скринингови методи се предприемат в съответствие с методите, определени на национално или европейско равнище за материали и предмети от метал и/или сплав, предназначени за контакт с храни.</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Тестовете за отделяне на материали и предмети в храни трябва да се предприемат въз основа на разумно очакваните обстоятелства в най-лошия случай.</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Резултатите от теста, получени за специфичното отделяне в храни, имат предимство пред резултатите от тестовете, получени с хранителни симуланти. Резултатите от изпитването за специфичното отделяне в хранителни симуланти имат предимство пред резултатите, получени чрез скринингови методи.</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Параграф 2. За да се оцени съответствието, специфичните стойности на отделяне за крайния продукт се изразяват в mg/kg въз основа на действителното съотношение площ/обем по време при действителна или предвидена употреба.</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Независимо от параграф 2, нивото на миграция за фолиа, тънки покрития и плоски повърхности, които все още не са в контакт с храни, се изразява в mg/kg на базата на съотношение площ/обем 6 dm2 на килограм храни.</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rPr>
            </w:pPr>
            <w:r>
              <w:rPr>
                <w:rFonts w:ascii="Garamond" w:hAnsi="Garamond"/>
                <w:b/>
                <w:sz w:val="22"/>
              </w:rPr>
              <w:t>Член 6. Декларация за съответствие</w:t>
            </w: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r>
              <w:rPr>
                <w:rFonts w:ascii="Garamond" w:hAnsi="Garamond"/>
                <w:sz w:val="22"/>
              </w:rPr>
              <w:t>Параграф 1. В противоречие с член 9, параграф 5 от Кралския указ от 11 май 1992 г. относно минералите и предметите, предназначени за контакт с храни, се използва образецът на декларация за съответствие, който е включен в глава 2 от приложението към настоящия кралски указ.</w:t>
            </w: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r>
              <w:rPr>
                <w:rFonts w:ascii="Garamond" w:hAnsi="Garamond"/>
                <w:sz w:val="22"/>
              </w:rPr>
              <w:t>Параграф 2. В противоречие с разпоредбите на параграф 1 най-малко точки 1, 2, 3 и 5 от декларацията за съответствие, включени в глава 2 от приложението към настоящия кралски указ, се попълват за всички продукти, които все още не се считат за крайни продукти.</w:t>
            </w:r>
          </w:p>
        </w:tc>
      </w:tr>
      <w:tr w:rsidR="00C74C42" w:rsidRPr="00B009F8" w:rsidTr="00276E85">
        <w:tc>
          <w:tcPr>
            <w:tcW w:w="10206" w:type="dxa"/>
          </w:tcPr>
          <w:p w:rsidR="00C74C42" w:rsidRPr="00B009F8" w:rsidRDefault="00C74C42" w:rsidP="00A47389">
            <w:pPr>
              <w:jc w:val="both"/>
              <w:rPr>
                <w:rFonts w:ascii="Garamond" w:hAnsi="Garamond"/>
                <w:b/>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rPr>
            </w:pPr>
            <w:r>
              <w:rPr>
                <w:rFonts w:ascii="Garamond" w:hAnsi="Garamond"/>
                <w:b/>
                <w:sz w:val="22"/>
              </w:rPr>
              <w:t xml:space="preserve">Член 7. Взаимно признаване </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rPr>
              <w:t>Разпоредбите на настоящия указ, с изключение на член 6, не са приложими за продукти, законно произведени и/или пуснати на пазара в други държави — членки на Европейския съюз или в Турция, или продукти, законно произведени в държава членка на Европейската асоциация за свободна търговия, която е страна по Споразумението за Европейско икономическо пространство, освен ако не може да се приложи принципа за взаимно признаване съгласно членове 34—36 от Договора за функционирането на Европейския съюз.</w:t>
            </w:r>
          </w:p>
        </w:tc>
      </w:tr>
      <w:tr w:rsidR="00C74C42" w:rsidRPr="00B009F8" w:rsidTr="00276E85">
        <w:tc>
          <w:tcPr>
            <w:tcW w:w="10206" w:type="dxa"/>
          </w:tcPr>
          <w:p w:rsidR="00C74C42" w:rsidRPr="00B009F8" w:rsidRDefault="00C74C42" w:rsidP="00A47389">
            <w:pPr>
              <w:jc w:val="both"/>
              <w:rPr>
                <w:rFonts w:ascii="Garamond" w:hAnsi="Garamond"/>
                <w:b/>
                <w:bCs/>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bCs/>
                <w:sz w:val="22"/>
                <w:szCs w:val="22"/>
              </w:rPr>
            </w:pPr>
            <w:r>
              <w:rPr>
                <w:rFonts w:ascii="Garamond" w:hAnsi="Garamond"/>
                <w:b/>
                <w:sz w:val="22"/>
              </w:rPr>
              <w:t>Член 8. Нарушения</w:t>
            </w:r>
          </w:p>
        </w:tc>
      </w:tr>
      <w:tr w:rsidR="00C74C42" w:rsidRPr="00B009F8" w:rsidTr="00276E85">
        <w:tc>
          <w:tcPr>
            <w:tcW w:w="10206" w:type="dxa"/>
          </w:tcPr>
          <w:p w:rsidR="00C74C42" w:rsidRPr="00B009F8" w:rsidRDefault="00C74C42" w:rsidP="00A47389">
            <w:pPr>
              <w:jc w:val="both"/>
              <w:rPr>
                <w:rFonts w:ascii="Garamond" w:hAnsi="Garamond"/>
                <w:b/>
                <w:bCs/>
                <w:sz w:val="22"/>
                <w:szCs w:val="22"/>
              </w:rPr>
            </w:pPr>
            <w:r>
              <w:rPr>
                <w:rFonts w:ascii="Garamond" w:hAnsi="Garamond"/>
                <w:sz w:val="22"/>
              </w:rPr>
              <w:t>Нарушенията на разпоредбите на настоящия указ се разследват и определят в съответствие с разпоредбите на Кралския указ от 22 февруари 2001 г. относно организацията на инспекциите, извършвани от Федералната агенция за безопасност на хранителната верига, и за изменение на различни законови разпоредби.</w:t>
            </w:r>
          </w:p>
        </w:tc>
      </w:tr>
      <w:tr w:rsidR="00C74C42" w:rsidRPr="00B009F8" w:rsidTr="00276E85">
        <w:tc>
          <w:tcPr>
            <w:tcW w:w="10206" w:type="dxa"/>
          </w:tcPr>
          <w:p w:rsidR="00C74C42" w:rsidRPr="00B009F8" w:rsidRDefault="00C74C42" w:rsidP="00A47389">
            <w:pPr>
              <w:jc w:val="both"/>
              <w:rPr>
                <w:rFonts w:ascii="Garamond" w:hAnsi="Garamond"/>
                <w:color w:val="0070C0"/>
                <w:sz w:val="22"/>
                <w:szCs w:val="22"/>
              </w:rPr>
            </w:pPr>
            <w:r>
              <w:rPr>
                <w:rFonts w:ascii="Garamond" w:hAnsi="Garamond"/>
                <w:sz w:val="22"/>
              </w:rPr>
              <w:t>Нарушенията на разпоредбите на настоящия указ се наказват в съответствие със Закона от 24 януари 1977 г. относно защитата на здравето на потребителите по отношение на хранителни и други продукти.</w:t>
            </w:r>
          </w:p>
        </w:tc>
      </w:tr>
      <w:tr w:rsidR="00C74C42" w:rsidRPr="00B009F8" w:rsidTr="00276E85">
        <w:tc>
          <w:tcPr>
            <w:tcW w:w="10206" w:type="dxa"/>
          </w:tcPr>
          <w:p w:rsidR="00C74C42" w:rsidRPr="00B009F8"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highlight w:val="red"/>
              </w:rPr>
            </w:pPr>
            <w:r>
              <w:rPr>
                <w:rFonts w:ascii="Garamond" w:hAnsi="Garamond"/>
                <w:b/>
                <w:sz w:val="22"/>
              </w:rPr>
              <w:t>Член 9. Компетентни министри</w:t>
            </w:r>
          </w:p>
        </w:tc>
      </w:tr>
      <w:tr w:rsidR="00C74C42" w:rsidRPr="00B009F8" w:rsidTr="00276E85">
        <w:tc>
          <w:tcPr>
            <w:tcW w:w="10206" w:type="dxa"/>
          </w:tcPr>
          <w:p w:rsidR="00C74C42" w:rsidRPr="00B009F8" w:rsidRDefault="00C74C42" w:rsidP="00A47389">
            <w:pPr>
              <w:jc w:val="both"/>
              <w:rPr>
                <w:rFonts w:ascii="Garamond" w:hAnsi="Garamond"/>
                <w:sz w:val="22"/>
                <w:szCs w:val="22"/>
                <w:highlight w:val="red"/>
              </w:rPr>
            </w:pPr>
            <w:r>
              <w:rPr>
                <w:rFonts w:ascii="Garamond" w:hAnsi="Garamond"/>
                <w:sz w:val="22"/>
              </w:rPr>
              <w:t>Министърът на общественото здраве и министърът на земеделието, всеки в рамките на своята компетентност, отговарят за изпълнението на настоящия указ.</w:t>
            </w:r>
          </w:p>
        </w:tc>
      </w:tr>
      <w:tr w:rsidR="00C74C42" w:rsidRPr="00B009F8" w:rsidTr="00276E85">
        <w:tc>
          <w:tcPr>
            <w:tcW w:w="10206" w:type="dxa"/>
          </w:tcPr>
          <w:p w:rsidR="00C74C42" w:rsidRPr="00B009F8" w:rsidRDefault="00C74C42" w:rsidP="00276E85">
            <w:pPr>
              <w:jc w:val="both"/>
              <w:rPr>
                <w:rFonts w:ascii="Garamond" w:hAnsi="Garamond"/>
                <w:sz w:val="22"/>
                <w:szCs w:val="22"/>
                <w:highlight w:val="red"/>
              </w:rPr>
            </w:pPr>
          </w:p>
        </w:tc>
      </w:tr>
      <w:tr w:rsidR="00C74C42" w:rsidRPr="00B009F8" w:rsidTr="00276E85">
        <w:tc>
          <w:tcPr>
            <w:tcW w:w="10206" w:type="dxa"/>
          </w:tcPr>
          <w:p w:rsidR="00C74C42" w:rsidRPr="00B009F8" w:rsidRDefault="00C74C42" w:rsidP="00276E85">
            <w:pPr>
              <w:jc w:val="both"/>
              <w:rPr>
                <w:rFonts w:ascii="Garamond" w:hAnsi="Garamond"/>
                <w:sz w:val="22"/>
                <w:szCs w:val="22"/>
              </w:rPr>
            </w:pPr>
            <w:r>
              <w:rPr>
                <w:rFonts w:ascii="Garamond" w:hAnsi="Garamond"/>
                <w:sz w:val="22"/>
              </w:rPr>
              <w:t xml:space="preserve">                                ,                              .</w:t>
            </w:r>
          </w:p>
        </w:tc>
      </w:tr>
      <w:tr w:rsidR="00C74C42" w:rsidRPr="00B009F8" w:rsidTr="00276E85">
        <w:tc>
          <w:tcPr>
            <w:tcW w:w="10206" w:type="dxa"/>
          </w:tcPr>
          <w:p w:rsidR="00C74C42" w:rsidRPr="00B009F8" w:rsidRDefault="00C74C42" w:rsidP="00276E85">
            <w:pPr>
              <w:jc w:val="both"/>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От име</w:t>
            </w:r>
            <w:bookmarkStart w:id="0" w:name="_GoBack"/>
            <w:bookmarkEnd w:id="0"/>
            <w:r>
              <w:rPr>
                <w:rFonts w:ascii="Garamond" w:hAnsi="Garamond"/>
                <w:sz w:val="22"/>
              </w:rPr>
              <w:t>то на Негово Величество:</w:t>
            </w:r>
          </w:p>
        </w:tc>
      </w:tr>
      <w:tr w:rsidR="00C74C42" w:rsidRPr="00B009F8" w:rsidTr="00276E85">
        <w:tc>
          <w:tcPr>
            <w:tcW w:w="10206" w:type="dxa"/>
          </w:tcPr>
          <w:p w:rsidR="00C74C42" w:rsidRPr="00B009F8" w:rsidRDefault="00C74C42" w:rsidP="00276E85">
            <w:pPr>
              <w:jc w:val="both"/>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Министър на здравеопазването</w:t>
            </w: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M. DE BLOCK</w:t>
            </w: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Министър на земеделието</w:t>
            </w: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rPr>
              <w:t>D. DUCARME</w:t>
            </w: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p>
        </w:tc>
      </w:tr>
    </w:tbl>
    <w:p w:rsidR="00C74C42" w:rsidRPr="00B009F8" w:rsidRDefault="00C74C42" w:rsidP="00F85383">
      <w:pPr>
        <w:pStyle w:val="Heading3"/>
        <w:keepLines/>
        <w:autoSpaceDE w:val="0"/>
        <w:autoSpaceDN w:val="0"/>
        <w:adjustRightInd w:val="0"/>
        <w:rPr>
          <w:rFonts w:ascii="Garamond" w:hAnsi="Garamond"/>
          <w:sz w:val="22"/>
          <w:szCs w:val="22"/>
        </w:rPr>
      </w:pPr>
      <w:r>
        <w:rPr>
          <w:rFonts w:ascii="Garamond" w:hAnsi="Garamond"/>
          <w:sz w:val="22"/>
        </w:rPr>
        <w:t>ПРИЛОЖЕНИЕ към Кралски указ относно материали и предмети от метал и сплав, предназначени за контакт с храни</w:t>
      </w:r>
    </w:p>
    <w:p w:rsidR="00C74C42" w:rsidRPr="00617213" w:rsidRDefault="00C74C42" w:rsidP="00F85383">
      <w:pPr>
        <w:keepNext/>
        <w:keepLines/>
        <w:autoSpaceDE w:val="0"/>
        <w:autoSpaceDN w:val="0"/>
        <w:adjustRightInd w:val="0"/>
        <w:rPr>
          <w:rFonts w:ascii="Garamond" w:hAnsi="Garamond"/>
          <w:bCs/>
          <w:smallCaps/>
          <w:sz w:val="22"/>
          <w:szCs w:val="22"/>
        </w:rPr>
      </w:pPr>
    </w:p>
    <w:p w:rsidR="00C74C42" w:rsidRPr="00617213" w:rsidRDefault="00C74C42" w:rsidP="00A47389">
      <w:pPr>
        <w:pStyle w:val="BodyText"/>
        <w:keepNext/>
        <w:keepLines/>
        <w:autoSpaceDE/>
        <w:autoSpaceDN/>
        <w:adjustRightInd/>
        <w:jc w:val="both"/>
        <w:rPr>
          <w:rFonts w:ascii="Garamond" w:hAnsi="Garamond"/>
          <w:bCs/>
          <w:smallCaps/>
          <w:sz w:val="22"/>
          <w:szCs w:val="22"/>
        </w:rPr>
      </w:pPr>
      <w:r>
        <w:rPr>
          <w:rFonts w:ascii="Garamond" w:hAnsi="Garamond"/>
          <w:smallCaps/>
          <w:sz w:val="22"/>
        </w:rPr>
        <w:t>Глава 1: Специфична граница на отделяне (SRL)</w:t>
      </w:r>
    </w:p>
    <w:p w:rsidR="00C74C42" w:rsidRPr="00B009F8" w:rsidRDefault="00C74C42" w:rsidP="00A47389">
      <w:pPr>
        <w:pStyle w:val="BodyText"/>
        <w:keepNext/>
        <w:keepLines/>
        <w:autoSpaceDE/>
        <w:autoSpaceDN/>
        <w:adjustRightInd/>
        <w:jc w:val="both"/>
        <w:rPr>
          <w:rFonts w:ascii="Garamond" w:hAnsi="Garamond"/>
          <w:smallCaps/>
          <w:sz w:val="22"/>
          <w:szCs w:val="22"/>
        </w:rPr>
      </w:pPr>
    </w:p>
    <w:p w:rsidR="00C74C42" w:rsidRPr="00B009F8" w:rsidRDefault="00C74C42" w:rsidP="00A47389">
      <w:pPr>
        <w:pStyle w:val="BodyText"/>
        <w:keepNext/>
        <w:keepLines/>
        <w:autoSpaceDE/>
        <w:autoSpaceDN/>
        <w:adjustRightInd/>
        <w:jc w:val="both"/>
        <w:rPr>
          <w:rFonts w:ascii="Garamond" w:hAnsi="Garamond"/>
          <w:sz w:val="22"/>
          <w:szCs w:val="22"/>
        </w:rPr>
      </w:pPr>
      <w:r>
        <w:rPr>
          <w:rFonts w:ascii="Garamond" w:hAnsi="Garamond"/>
          <w:sz w:val="22"/>
        </w:rPr>
        <w:t>Таблица 1 SRL, приложима за съставни елементи на метали и сплави</w:t>
      </w:r>
    </w:p>
    <w:p w:rsidR="00C74C42" w:rsidRPr="00B009F8" w:rsidRDefault="00C74C42" w:rsidP="00F85383">
      <w:pPr>
        <w:pStyle w:val="BodyText"/>
        <w:keepNext/>
        <w:keepLines/>
        <w:autoSpaceDE/>
        <w:autoSpaceDN/>
        <w:adjustRightInd/>
        <w:rPr>
          <w:rFonts w:ascii="Garamond" w:hAnsi="Garamond"/>
          <w:sz w:val="22"/>
          <w:szCs w:val="22"/>
        </w:rPr>
      </w:pPr>
    </w:p>
    <w:tbl>
      <w:tblPr>
        <w:tblStyle w:val="TableGrid"/>
        <w:tblW w:w="0" w:type="auto"/>
        <w:tblLook w:val="04A0" w:firstRow="1" w:lastRow="0" w:firstColumn="1" w:lastColumn="0" w:noHBand="0" w:noVBand="1"/>
      </w:tblPr>
      <w:tblGrid>
        <w:gridCol w:w="3108"/>
        <w:gridCol w:w="3136"/>
        <w:gridCol w:w="3106"/>
      </w:tblGrid>
      <w:tr w:rsidR="00C74C42" w:rsidRPr="00B009F8" w:rsidTr="00F85383">
        <w:trPr>
          <w:cantSplit/>
        </w:trPr>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Символ</w:t>
            </w:r>
          </w:p>
        </w:tc>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Наименование</w:t>
            </w:r>
          </w:p>
        </w:tc>
        <w:tc>
          <w:tcPr>
            <w:tcW w:w="3210"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SRL (mg/kg храни)</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Al</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Алуминий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5</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Sb</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Антимон</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Сребро</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Cr</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Хром</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0,250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Co</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Кобалт</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Cu</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Мед</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Sn*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Калай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100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Fe</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Желязо</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40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Магнезий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Манган</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1,8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Mo</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Молибден</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0,12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Ni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Никел</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0,14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Ti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Титан</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V</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Ванадий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0,01</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Zn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Цинк</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5</w:t>
            </w:r>
          </w:p>
        </w:tc>
      </w:tr>
    </w:tbl>
    <w:p w:rsidR="00C74C42" w:rsidRPr="00B009F8" w:rsidRDefault="00C74C42" w:rsidP="00A47389">
      <w:pPr>
        <w:pStyle w:val="BodyText"/>
        <w:autoSpaceDE/>
        <w:autoSpaceDN/>
        <w:adjustRightInd/>
        <w:jc w:val="both"/>
        <w:rPr>
          <w:rFonts w:ascii="Garamond" w:hAnsi="Garamond"/>
          <w:sz w:val="22"/>
          <w:szCs w:val="22"/>
        </w:rPr>
      </w:pPr>
      <w:r>
        <w:rPr>
          <w:rFonts w:ascii="Garamond" w:hAnsi="Garamond"/>
          <w:sz w:val="22"/>
        </w:rPr>
        <w:t xml:space="preserve">* С изключение на онези, които попадат в обхвата на Регламент (ЕС) № 1881/2006. </w:t>
      </w:r>
    </w:p>
    <w:p w:rsidR="00C74C42" w:rsidRPr="00B009F8" w:rsidRDefault="00C74C42" w:rsidP="00A47389">
      <w:pPr>
        <w:jc w:val="both"/>
        <w:rPr>
          <w:rFonts w:ascii="Garamond" w:hAnsi="Garamond"/>
          <w:sz w:val="22"/>
          <w:szCs w:val="22"/>
        </w:rPr>
      </w:pPr>
    </w:p>
    <w:p w:rsidR="00C74C42" w:rsidRPr="00B009F8" w:rsidRDefault="00C74C42" w:rsidP="00A47389">
      <w:pPr>
        <w:pStyle w:val="BodyText"/>
        <w:keepNext/>
        <w:keepLines/>
        <w:autoSpaceDE/>
        <w:autoSpaceDN/>
        <w:adjustRightInd/>
        <w:jc w:val="both"/>
        <w:rPr>
          <w:rFonts w:ascii="Garamond" w:hAnsi="Garamond"/>
          <w:sz w:val="22"/>
          <w:szCs w:val="22"/>
        </w:rPr>
      </w:pPr>
      <w:r>
        <w:rPr>
          <w:rFonts w:ascii="Garamond" w:hAnsi="Garamond"/>
          <w:sz w:val="22"/>
        </w:rPr>
        <w:t>Таблица 2 SRL, приложима за метали под формата на замърсители и примеси.</w:t>
      </w:r>
    </w:p>
    <w:p w:rsidR="00C74C42" w:rsidRPr="00B009F8" w:rsidRDefault="00C74C42" w:rsidP="00F85383">
      <w:pPr>
        <w:pStyle w:val="BodyText"/>
        <w:keepNext/>
        <w:keepLines/>
        <w:autoSpaceDE/>
        <w:autoSpaceDN/>
        <w:adjustRightInd/>
        <w:rPr>
          <w:rFonts w:ascii="Garamond" w:hAnsi="Garamond"/>
          <w:sz w:val="22"/>
          <w:szCs w:val="22"/>
        </w:rPr>
      </w:pPr>
    </w:p>
    <w:tbl>
      <w:tblPr>
        <w:tblStyle w:val="TableGrid"/>
        <w:tblW w:w="0" w:type="auto"/>
        <w:tblLook w:val="04A0" w:firstRow="1" w:lastRow="0" w:firstColumn="1" w:lastColumn="0" w:noHBand="0" w:noVBand="1"/>
      </w:tblPr>
      <w:tblGrid>
        <w:gridCol w:w="3108"/>
        <w:gridCol w:w="3136"/>
        <w:gridCol w:w="3106"/>
      </w:tblGrid>
      <w:tr w:rsidR="00C74C42" w:rsidRPr="00B009F8" w:rsidTr="00F85383">
        <w:trPr>
          <w:cantSplit/>
        </w:trPr>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Символ</w:t>
            </w:r>
          </w:p>
        </w:tc>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Наименование</w:t>
            </w:r>
          </w:p>
        </w:tc>
        <w:tc>
          <w:tcPr>
            <w:tcW w:w="3210"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rPr>
              <w:t>SRL (mg/kg храни)</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As</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Арсен</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Ba</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Барий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1,2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Be</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Берилий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0,01</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Cd</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 xml:space="preserve">Кадмий </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0,005</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Li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Литий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0,048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Hg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Живак</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0,003</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Pb</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Олово</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0,010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Tl</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Талий</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rPr>
              <w:t>0,0001</w:t>
            </w:r>
          </w:p>
        </w:tc>
      </w:tr>
    </w:tbl>
    <w:p w:rsidR="00C74C42" w:rsidRPr="00B009F8" w:rsidRDefault="00C74C42" w:rsidP="00276E85">
      <w:pPr>
        <w:pStyle w:val="BodyText"/>
        <w:autoSpaceDE/>
        <w:autoSpaceDN/>
        <w:adjustRightInd/>
        <w:rPr>
          <w:rFonts w:ascii="Garamond" w:hAnsi="Garamond"/>
          <w:sz w:val="22"/>
          <w:szCs w:val="22"/>
        </w:rPr>
      </w:pPr>
    </w:p>
    <w:p w:rsidR="00C74C42" w:rsidRPr="00B009F8" w:rsidRDefault="00C74C42" w:rsidP="00276E85">
      <w:pPr>
        <w:pStyle w:val="BodyText"/>
        <w:autoSpaceDE/>
        <w:autoSpaceDN/>
        <w:adjustRightInd/>
        <w:rPr>
          <w:rFonts w:ascii="Garamond" w:hAnsi="Garamond"/>
          <w:sz w:val="22"/>
          <w:szCs w:val="22"/>
        </w:rPr>
      </w:pPr>
    </w:p>
    <w:p w:rsidR="00C74C42" w:rsidRPr="00B009F8" w:rsidRDefault="00C74C42" w:rsidP="00A47389">
      <w:pPr>
        <w:keepNext/>
        <w:keepLines/>
        <w:jc w:val="both"/>
        <w:rPr>
          <w:rFonts w:ascii="Garamond" w:hAnsi="Garamond"/>
          <w:smallCaps/>
          <w:sz w:val="22"/>
          <w:szCs w:val="22"/>
        </w:rPr>
      </w:pPr>
      <w:r>
        <w:rPr>
          <w:rFonts w:ascii="Garamond" w:hAnsi="Garamond"/>
          <w:smallCaps/>
          <w:sz w:val="22"/>
        </w:rPr>
        <w:t>Глава 2: Информация, която трябва да бъде включена в декларацията за съответствие.</w:t>
      </w:r>
    </w:p>
    <w:p w:rsidR="00C74C42" w:rsidRPr="00B009F8" w:rsidRDefault="00C74C42" w:rsidP="00A47389">
      <w:pPr>
        <w:keepNext/>
        <w:keepLines/>
        <w:autoSpaceDE w:val="0"/>
        <w:autoSpaceDN w:val="0"/>
        <w:adjustRightInd w:val="0"/>
        <w:jc w:val="both"/>
        <w:rPr>
          <w:rFonts w:ascii="Garamond" w:hAnsi="Garamond"/>
          <w:sz w:val="22"/>
          <w:szCs w:val="22"/>
        </w:rPr>
      </w:pPr>
    </w:p>
    <w:p w:rsidR="00C74C42" w:rsidRPr="00B009F8" w:rsidRDefault="00C74C42" w:rsidP="00A47389">
      <w:pPr>
        <w:keepNext/>
        <w:keepLines/>
        <w:autoSpaceDE w:val="0"/>
        <w:autoSpaceDN w:val="0"/>
        <w:adjustRightInd w:val="0"/>
        <w:jc w:val="both"/>
        <w:rPr>
          <w:rFonts w:ascii="Garamond" w:hAnsi="Garamond"/>
          <w:sz w:val="22"/>
          <w:szCs w:val="22"/>
        </w:rPr>
      </w:pPr>
      <w:r>
        <w:rPr>
          <w:rFonts w:ascii="Garamond" w:hAnsi="Garamond"/>
          <w:sz w:val="22"/>
        </w:rPr>
        <w:t>Писмената декларация, посочена в член 6, параграф 1, трябва да съдържа следната информация:</w:t>
      </w:r>
    </w:p>
    <w:p w:rsidR="00C74C42" w:rsidRPr="00B009F8" w:rsidRDefault="00C74C42" w:rsidP="00A47389">
      <w:pPr>
        <w:keepNext/>
        <w:keepLines/>
        <w:autoSpaceDE w:val="0"/>
        <w:autoSpaceDN w:val="0"/>
        <w:adjustRightInd w:val="0"/>
        <w:jc w:val="both"/>
        <w:rPr>
          <w:rFonts w:ascii="Garamond" w:hAnsi="Garamond"/>
          <w:sz w:val="22"/>
          <w:szCs w:val="22"/>
          <w:highlight w:val="yellow"/>
        </w:rPr>
      </w:pPr>
    </w:p>
    <w:p w:rsidR="00C74C42" w:rsidRPr="00B009F8" w:rsidRDefault="00C74C42" w:rsidP="00A47389">
      <w:pPr>
        <w:numPr>
          <w:ilvl w:val="0"/>
          <w:numId w:val="4"/>
        </w:numPr>
        <w:jc w:val="both"/>
        <w:rPr>
          <w:rFonts w:ascii="Garamond" w:hAnsi="Garamond"/>
          <w:sz w:val="22"/>
          <w:szCs w:val="22"/>
        </w:rPr>
      </w:pPr>
      <w:r>
        <w:rPr>
          <w:rFonts w:ascii="Garamond" w:hAnsi="Garamond"/>
          <w:sz w:val="22"/>
        </w:rPr>
        <w:t>самоличност и адрес на оператора, който произвежда или внася материали или предмети, или вещества, предназначени за производството на тези материали или предмети;</w:t>
      </w:r>
    </w:p>
    <w:p w:rsidR="00C74C42" w:rsidRPr="00B009F8" w:rsidRDefault="00C74C42" w:rsidP="00A47389">
      <w:pPr>
        <w:numPr>
          <w:ilvl w:val="0"/>
          <w:numId w:val="4"/>
        </w:numPr>
        <w:jc w:val="both"/>
        <w:rPr>
          <w:rFonts w:ascii="Garamond" w:hAnsi="Garamond"/>
          <w:sz w:val="22"/>
          <w:szCs w:val="22"/>
        </w:rPr>
      </w:pPr>
      <w:r>
        <w:rPr>
          <w:rFonts w:ascii="Garamond" w:hAnsi="Garamond"/>
          <w:sz w:val="22"/>
        </w:rPr>
        <w:t>идентичност на металите и сплавите, които се използват за производството на такива материали и предмети;</w:t>
      </w:r>
    </w:p>
    <w:p w:rsidR="00C74C42" w:rsidRPr="00B009F8" w:rsidRDefault="00C74C42" w:rsidP="00A47389">
      <w:pPr>
        <w:numPr>
          <w:ilvl w:val="0"/>
          <w:numId w:val="4"/>
        </w:numPr>
        <w:jc w:val="both"/>
        <w:rPr>
          <w:rFonts w:ascii="Garamond" w:hAnsi="Garamond"/>
          <w:sz w:val="22"/>
          <w:szCs w:val="22"/>
        </w:rPr>
      </w:pPr>
      <w:r>
        <w:rPr>
          <w:rFonts w:ascii="Garamond" w:hAnsi="Garamond"/>
          <w:sz w:val="22"/>
        </w:rPr>
        <w:t>дата на определяне;</w:t>
      </w:r>
    </w:p>
    <w:p w:rsidR="00C74C42" w:rsidRPr="00B009F8" w:rsidRDefault="00C74C42" w:rsidP="00A47389">
      <w:pPr>
        <w:numPr>
          <w:ilvl w:val="0"/>
          <w:numId w:val="4"/>
        </w:numPr>
        <w:jc w:val="both"/>
        <w:rPr>
          <w:rFonts w:ascii="Garamond" w:hAnsi="Garamond"/>
          <w:sz w:val="22"/>
          <w:szCs w:val="22"/>
        </w:rPr>
      </w:pPr>
      <w:r>
        <w:rPr>
          <w:rFonts w:ascii="Garamond" w:hAnsi="Garamond"/>
          <w:sz w:val="22"/>
        </w:rPr>
        <w:t>потвърждение, че материалите и предметите са в съответствие със съответните разпоредби на настоящия указ и на Регламент (ЕО) № 1935/2004;</w:t>
      </w:r>
    </w:p>
    <w:p w:rsidR="00C74C42" w:rsidRPr="00B009F8" w:rsidRDefault="00C74C42" w:rsidP="00A47389">
      <w:pPr>
        <w:numPr>
          <w:ilvl w:val="0"/>
          <w:numId w:val="4"/>
        </w:numPr>
        <w:jc w:val="both"/>
        <w:rPr>
          <w:rFonts w:ascii="Garamond" w:hAnsi="Garamond"/>
          <w:sz w:val="22"/>
          <w:szCs w:val="22"/>
        </w:rPr>
      </w:pPr>
      <w:r>
        <w:rPr>
          <w:rFonts w:ascii="Garamond" w:hAnsi="Garamond"/>
          <w:sz w:val="22"/>
        </w:rPr>
        <w:t>адекватна информация за използваните метали, за които с настоящия указ се определят ограничения или спецификации, така че операторите надолу по веригата да могат да осигурят спазването на тези ограничения или спецификации;</w:t>
      </w:r>
    </w:p>
    <w:p w:rsidR="00C74C42" w:rsidRPr="00B009F8" w:rsidRDefault="00C74C42" w:rsidP="00A47389">
      <w:pPr>
        <w:numPr>
          <w:ilvl w:val="0"/>
          <w:numId w:val="4"/>
        </w:numPr>
        <w:jc w:val="both"/>
        <w:rPr>
          <w:rFonts w:ascii="Garamond" w:hAnsi="Garamond"/>
          <w:sz w:val="22"/>
          <w:szCs w:val="22"/>
        </w:rPr>
      </w:pPr>
      <w:r>
        <w:rPr>
          <w:rFonts w:ascii="Garamond" w:hAnsi="Garamond"/>
          <w:sz w:val="22"/>
        </w:rPr>
        <w:t>адекватна информация за металите, подложени на ограничения в храни, получени от експериментални данни или теоретични изчисления за специфичното отделяне на тези метали;</w:t>
      </w:r>
    </w:p>
    <w:p w:rsidR="00C74C42" w:rsidRPr="00B009F8" w:rsidRDefault="00C74C42" w:rsidP="00A47389">
      <w:pPr>
        <w:keepNext/>
        <w:keepLines/>
        <w:numPr>
          <w:ilvl w:val="0"/>
          <w:numId w:val="4"/>
        </w:numPr>
        <w:jc w:val="both"/>
        <w:rPr>
          <w:rFonts w:ascii="Garamond" w:hAnsi="Garamond"/>
          <w:sz w:val="22"/>
          <w:szCs w:val="22"/>
        </w:rPr>
      </w:pPr>
      <w:r>
        <w:rPr>
          <w:rFonts w:ascii="Garamond" w:hAnsi="Garamond"/>
          <w:sz w:val="22"/>
        </w:rPr>
        <w:t>спецификации за използването на материала или изделието, като например:</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rPr>
        <w:t>видът(видовете) храни, с които е предназначено да влязат в контакт;</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rPr>
        <w:t>продължителността и температурата на обработка и съхранение в контекста на които влиза в контакт с храните;</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rPr>
        <w:t>съотношението на площта за контакт с храните, и обема, с който материалът или предметът е установено, че отговаря на изискванията.</w:t>
      </w:r>
    </w:p>
    <w:p w:rsidR="00C74C42" w:rsidRPr="00B009F8" w:rsidRDefault="00C74C42" w:rsidP="00A47389">
      <w:pPr>
        <w:jc w:val="both"/>
        <w:rPr>
          <w:rFonts w:ascii="Garamond" w:hAnsi="Garamond"/>
          <w:sz w:val="22"/>
          <w:szCs w:val="22"/>
        </w:rPr>
      </w:pPr>
    </w:p>
    <w:p w:rsidR="00C74C42" w:rsidRPr="00B009F8" w:rsidRDefault="00C74C42" w:rsidP="00A47389">
      <w:pPr>
        <w:jc w:val="both"/>
        <w:rPr>
          <w:rFonts w:ascii="Garamond" w:hAnsi="Garamond"/>
          <w:sz w:val="22"/>
          <w:szCs w:val="22"/>
        </w:rPr>
      </w:pPr>
    </w:p>
    <w:p w:rsidR="00C74C42" w:rsidRPr="00B009F8" w:rsidRDefault="00C74C42" w:rsidP="00A47389">
      <w:pPr>
        <w:jc w:val="both"/>
        <w:rPr>
          <w:rFonts w:ascii="Garamond" w:hAnsi="Garamond"/>
          <w:sz w:val="22"/>
          <w:szCs w:val="22"/>
        </w:rPr>
      </w:pPr>
      <w:r>
        <w:rPr>
          <w:rFonts w:ascii="Garamond" w:hAnsi="Garamond"/>
          <w:sz w:val="22"/>
        </w:rPr>
        <w:t>Материалите, предметите или веществата трябва лесно да бъдат идентифицирани въз основа на писмената декларация, издадена за тях; в случай на промяна в нивата на отделяне на метали поради промени в материалното производство или наличието на нови научни данни, се издава нова декларация. При липсата на промяна в базовите материали, методи на преработка, употреба, производствен процес и др., декларацията за съответствие може да остане в сила за период от най-много 5 години. Страната, която отговаря за продукта, може разбира се да реши да поднови декларацията за съответствие дори без промяна на обстоятелствата.</w:t>
      </w:r>
    </w:p>
    <w:p w:rsidR="00C74C42" w:rsidRPr="00B009F8" w:rsidRDefault="00C74C42" w:rsidP="00A47389">
      <w:pPr>
        <w:autoSpaceDE w:val="0"/>
        <w:autoSpaceDN w:val="0"/>
        <w:adjustRightInd w:val="0"/>
        <w:jc w:val="both"/>
        <w:rPr>
          <w:rFonts w:ascii="Garamond" w:hAnsi="Garamond"/>
          <w:sz w:val="22"/>
          <w:szCs w:val="22"/>
        </w:rPr>
      </w:pPr>
    </w:p>
    <w:p w:rsidR="00C74C42" w:rsidRPr="00B009F8" w:rsidRDefault="00C74C42" w:rsidP="00A47389">
      <w:pPr>
        <w:pStyle w:val="Heading4"/>
        <w:keepNext w:val="0"/>
        <w:ind w:left="0"/>
        <w:jc w:val="both"/>
        <w:rPr>
          <w:rFonts w:ascii="Garamond" w:hAnsi="Garamond"/>
          <w:sz w:val="22"/>
          <w:szCs w:val="22"/>
        </w:rPr>
      </w:pPr>
      <w:r>
        <w:rPr>
          <w:rFonts w:ascii="Garamond" w:hAnsi="Garamond"/>
          <w:sz w:val="22"/>
        </w:rPr>
        <w:t xml:space="preserve">Одобрено за прилагане към Указа от .................. относно материали и предмети от метал и сплав, предназначени за контакт с храни. </w:t>
      </w:r>
    </w:p>
    <w:p w:rsidR="00C74C42" w:rsidRPr="00B009F8" w:rsidRDefault="00C74C42" w:rsidP="00276E85">
      <w:pPr>
        <w:jc w:val="center"/>
        <w:rPr>
          <w:rFonts w:ascii="Garamond" w:hAnsi="Garamond"/>
          <w:sz w:val="22"/>
          <w:szCs w:val="22"/>
        </w:rPr>
      </w:pPr>
    </w:p>
    <w:tbl>
      <w:tblPr>
        <w:tblW w:w="0" w:type="auto"/>
        <w:jc w:val="center"/>
        <w:tblLook w:val="0000" w:firstRow="0" w:lastRow="0" w:firstColumn="0" w:lastColumn="0" w:noHBand="0" w:noVBand="0"/>
      </w:tblPr>
      <w:tblGrid>
        <w:gridCol w:w="4385"/>
      </w:tblGrid>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От името на Негово Величество:</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Министър на здравеопазването</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M. DE BLOCK</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Министър на земеделието</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rPr>
              <w:t>D. DUCARME</w:t>
            </w:r>
          </w:p>
        </w:tc>
      </w:tr>
    </w:tbl>
    <w:p w:rsidR="00D50D5D" w:rsidRPr="00B009F8" w:rsidRDefault="00D50D5D" w:rsidP="00F85383"/>
    <w:sectPr w:rsidR="00D50D5D" w:rsidRPr="00B009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21" w:rsidRDefault="00FD7321" w:rsidP="000B55ED">
      <w:r>
        <w:separator/>
      </w:r>
    </w:p>
  </w:endnote>
  <w:endnote w:type="continuationSeparator" w:id="0">
    <w:p w:rsidR="00FD7321" w:rsidRDefault="00FD7321" w:rsidP="000B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21" w:rsidRDefault="00FD7321" w:rsidP="000B55ED">
      <w:r>
        <w:separator/>
      </w:r>
    </w:p>
  </w:footnote>
  <w:footnote w:type="continuationSeparator" w:id="0">
    <w:p w:rsidR="00FD7321" w:rsidRDefault="00FD7321" w:rsidP="000B5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7FA7"/>
    <w:multiLevelType w:val="hybridMultilevel"/>
    <w:tmpl w:val="373C74EE"/>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3D32"/>
    <w:multiLevelType w:val="hybridMultilevel"/>
    <w:tmpl w:val="A1AA9EE4"/>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E688E"/>
    <w:multiLevelType w:val="hybridMultilevel"/>
    <w:tmpl w:val="1908CCC0"/>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57206"/>
    <w:multiLevelType w:val="hybridMultilevel"/>
    <w:tmpl w:val="516E44AE"/>
    <w:lvl w:ilvl="0" w:tplc="F1866778">
      <w:start w:val="1"/>
      <w:numFmt w:val="decimal"/>
      <w:lvlText w:val="%1)"/>
      <w:lvlJc w:val="left"/>
      <w:pPr>
        <w:tabs>
          <w:tab w:val="num" w:pos="720"/>
        </w:tabs>
        <w:ind w:left="720" w:hanging="360"/>
      </w:pPr>
      <w:rPr>
        <w:rFonts w:hint="default"/>
        <w:b w:val="0"/>
        <w:i w:val="0"/>
      </w:rPr>
    </w:lvl>
    <w:lvl w:ilvl="1" w:tplc="EE6E92FE">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42"/>
    <w:rsid w:val="000B55ED"/>
    <w:rsid w:val="00276E85"/>
    <w:rsid w:val="00583446"/>
    <w:rsid w:val="005D1ADB"/>
    <w:rsid w:val="00617213"/>
    <w:rsid w:val="00695C9A"/>
    <w:rsid w:val="00712B78"/>
    <w:rsid w:val="008C5E75"/>
    <w:rsid w:val="00A47389"/>
    <w:rsid w:val="00B009F8"/>
    <w:rsid w:val="00C74C42"/>
    <w:rsid w:val="00D50D5D"/>
    <w:rsid w:val="00E107BB"/>
    <w:rsid w:val="00E77776"/>
    <w:rsid w:val="00F85383"/>
    <w:rsid w:val="00FD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3AED93-7877-4BFC-8D6C-7D67488F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4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74C42"/>
    <w:pPr>
      <w:keepNext/>
      <w:jc w:val="center"/>
      <w:outlineLvl w:val="2"/>
    </w:pPr>
    <w:rPr>
      <w:szCs w:val="20"/>
    </w:rPr>
  </w:style>
  <w:style w:type="paragraph" w:styleId="Heading4">
    <w:name w:val="heading 4"/>
    <w:basedOn w:val="Normal"/>
    <w:next w:val="Normal"/>
    <w:link w:val="Heading4Char"/>
    <w:qFormat/>
    <w:rsid w:val="00C74C42"/>
    <w:pPr>
      <w:keepNext/>
      <w:ind w:left="708"/>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C74C42"/>
    <w:pPr>
      <w:spacing w:before="120" w:after="120"/>
      <w:jc w:val="both"/>
    </w:pPr>
    <w:rPr>
      <w:sz w:val="20"/>
      <w:szCs w:val="20"/>
    </w:rPr>
  </w:style>
  <w:style w:type="character" w:customStyle="1" w:styleId="CommentTextChar">
    <w:name w:val="Comment Text Char"/>
    <w:basedOn w:val="DefaultParagraphFont"/>
    <w:link w:val="CommentText"/>
    <w:semiHidden/>
    <w:rsid w:val="00C74C42"/>
    <w:rPr>
      <w:rFonts w:ascii="Times New Roman" w:eastAsia="Times New Roman" w:hAnsi="Times New Roman" w:cs="Times New Roman"/>
      <w:sz w:val="20"/>
      <w:szCs w:val="20"/>
      <w:lang w:val="bg-BG" w:eastAsia="en-GB"/>
    </w:rPr>
  </w:style>
  <w:style w:type="paragraph" w:styleId="ListParagraph">
    <w:name w:val="List Paragraph"/>
    <w:basedOn w:val="Normal"/>
    <w:uiPriority w:val="34"/>
    <w:qFormat/>
    <w:rsid w:val="00C74C42"/>
    <w:pPr>
      <w:ind w:left="720"/>
      <w:contextualSpacing/>
    </w:pPr>
  </w:style>
  <w:style w:type="character" w:customStyle="1" w:styleId="Heading3Char">
    <w:name w:val="Heading 3 Char"/>
    <w:basedOn w:val="DefaultParagraphFont"/>
    <w:link w:val="Heading3"/>
    <w:rsid w:val="00C74C42"/>
    <w:rPr>
      <w:rFonts w:ascii="Times New Roman" w:eastAsia="Times New Roman" w:hAnsi="Times New Roman" w:cs="Times New Roman"/>
      <w:sz w:val="24"/>
      <w:szCs w:val="20"/>
      <w:lang w:val="bg-BG" w:eastAsia="en-GB"/>
    </w:rPr>
  </w:style>
  <w:style w:type="character" w:customStyle="1" w:styleId="Heading4Char">
    <w:name w:val="Heading 4 Char"/>
    <w:basedOn w:val="DefaultParagraphFont"/>
    <w:link w:val="Heading4"/>
    <w:rsid w:val="00C74C42"/>
    <w:rPr>
      <w:rFonts w:ascii="Times New Roman" w:eastAsia="Times New Roman" w:hAnsi="Times New Roman" w:cs="Times New Roman"/>
      <w:sz w:val="24"/>
      <w:szCs w:val="20"/>
      <w:lang w:val="bg-BG" w:eastAsia="en-GB"/>
    </w:rPr>
  </w:style>
  <w:style w:type="table" w:styleId="TableGrid">
    <w:name w:val="Table Grid"/>
    <w:basedOn w:val="TableNormal"/>
    <w:rsid w:val="00C74C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74C42"/>
    <w:pPr>
      <w:autoSpaceDE w:val="0"/>
      <w:autoSpaceDN w:val="0"/>
      <w:adjustRightInd w:val="0"/>
    </w:pPr>
    <w:rPr>
      <w:szCs w:val="19"/>
    </w:rPr>
  </w:style>
  <w:style w:type="character" w:customStyle="1" w:styleId="BodyTextChar">
    <w:name w:val="Body Text Char"/>
    <w:basedOn w:val="DefaultParagraphFont"/>
    <w:link w:val="BodyText"/>
    <w:rsid w:val="00C74C42"/>
    <w:rPr>
      <w:rFonts w:ascii="Times New Roman" w:eastAsia="Times New Roman" w:hAnsi="Times New Roman" w:cs="Times New Roman"/>
      <w:sz w:val="24"/>
      <w:szCs w:val="19"/>
      <w:lang w:val="bg-BG" w:eastAsia="en-GB"/>
    </w:rPr>
  </w:style>
  <w:style w:type="paragraph" w:styleId="PlainText">
    <w:name w:val="Plain Text"/>
    <w:basedOn w:val="Normal"/>
    <w:link w:val="PlainTextChar"/>
    <w:uiPriority w:val="99"/>
    <w:semiHidden/>
    <w:unhideWhenUsed/>
    <w:rsid w:val="00276E8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76E85"/>
    <w:rPr>
      <w:rFonts w:ascii="Courier New" w:eastAsia="Times New Roman" w:hAnsi="Courier New" w:cs="Courier New"/>
      <w:sz w:val="20"/>
      <w:szCs w:val="20"/>
      <w:lang w:val="bg-BG" w:eastAsia="en-GB"/>
    </w:rPr>
  </w:style>
  <w:style w:type="paragraph" w:styleId="Header">
    <w:name w:val="header"/>
    <w:basedOn w:val="Normal"/>
    <w:link w:val="HeaderChar"/>
    <w:uiPriority w:val="99"/>
    <w:unhideWhenUsed/>
    <w:rsid w:val="000B55ED"/>
    <w:pPr>
      <w:tabs>
        <w:tab w:val="center" w:pos="4320"/>
        <w:tab w:val="right" w:pos="8640"/>
      </w:tabs>
    </w:pPr>
  </w:style>
  <w:style w:type="character" w:customStyle="1" w:styleId="HeaderChar">
    <w:name w:val="Header Char"/>
    <w:basedOn w:val="DefaultParagraphFont"/>
    <w:link w:val="Header"/>
    <w:uiPriority w:val="99"/>
    <w:rsid w:val="000B55ED"/>
    <w:rPr>
      <w:rFonts w:ascii="Times New Roman" w:eastAsia="Times New Roman" w:hAnsi="Times New Roman" w:cs="Times New Roman"/>
      <w:sz w:val="24"/>
      <w:szCs w:val="24"/>
      <w:lang w:val="bg-BG"/>
    </w:rPr>
  </w:style>
  <w:style w:type="paragraph" w:styleId="Footer">
    <w:name w:val="footer"/>
    <w:basedOn w:val="Normal"/>
    <w:link w:val="FooterChar"/>
    <w:uiPriority w:val="99"/>
    <w:unhideWhenUsed/>
    <w:rsid w:val="000B55ED"/>
    <w:pPr>
      <w:tabs>
        <w:tab w:val="center" w:pos="4320"/>
        <w:tab w:val="right" w:pos="8640"/>
      </w:tabs>
    </w:pPr>
  </w:style>
  <w:style w:type="character" w:customStyle="1" w:styleId="FooterChar">
    <w:name w:val="Footer Char"/>
    <w:basedOn w:val="DefaultParagraphFont"/>
    <w:link w:val="Footer"/>
    <w:uiPriority w:val="99"/>
    <w:rsid w:val="000B55ED"/>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1644</Words>
  <Characters>9372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Liu, Lei</cp:lastModifiedBy>
  <cp:revision>7</cp:revision>
  <dcterms:created xsi:type="dcterms:W3CDTF">2018-09-04T13:14:00Z</dcterms:created>
  <dcterms:modified xsi:type="dcterms:W3CDTF">2018-09-12T12:01:00Z</dcterms:modified>
</cp:coreProperties>
</file>