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E85" w:rsidRPr="00B009F8" w:rsidRDefault="00276E85" w:rsidP="00276E85">
      <w:pPr>
        <w:pStyle w:val="PlainText"/>
        <w:jc w:val="center"/>
      </w:pPr>
      <w:r>
        <w:t>1. ------IND- 2018 0442 B-- PL- ------ 20180912 --- --- PROJET</w:t>
      </w:r>
    </w:p>
    <w:tbl>
      <w:tblPr>
        <w:tblW w:w="10206" w:type="dxa"/>
        <w:tblLook w:val="0000" w:firstRow="0" w:lastRow="0" w:firstColumn="0" w:lastColumn="0" w:noHBand="0" w:noVBand="0"/>
      </w:tblPr>
      <w:tblGrid>
        <w:gridCol w:w="10206"/>
      </w:tblGrid>
      <w:tr w:rsidR="00C74C42" w:rsidRPr="00B009F8" w:rsidTr="00276E85">
        <w:tc>
          <w:tcPr>
            <w:tcW w:w="10206" w:type="dxa"/>
          </w:tcPr>
          <w:p w:rsidR="00C74C42" w:rsidRPr="00B009F8" w:rsidRDefault="00C74C42" w:rsidP="00276E85">
            <w:pPr>
              <w:jc w:val="center"/>
              <w:rPr>
                <w:rFonts w:ascii="Garamond" w:hAnsi="Garamond"/>
                <w:b/>
                <w:bCs/>
                <w:sz w:val="22"/>
                <w:szCs w:val="22"/>
              </w:rPr>
            </w:pPr>
            <w:r>
              <w:rPr>
                <w:rFonts w:ascii="Garamond" w:hAnsi="Garamond"/>
                <w:b/>
                <w:bCs/>
                <w:sz w:val="22"/>
                <w:szCs w:val="22"/>
              </w:rPr>
              <w:t>Królestwo Belgii</w:t>
            </w:r>
          </w:p>
        </w:tc>
      </w:tr>
      <w:tr w:rsidR="00C74C42" w:rsidRPr="00B009F8" w:rsidTr="00276E85">
        <w:tc>
          <w:tcPr>
            <w:tcW w:w="10206" w:type="dxa"/>
          </w:tcPr>
          <w:p w:rsidR="00C74C42" w:rsidRPr="00B009F8" w:rsidRDefault="00C74C42" w:rsidP="00276E85">
            <w:pPr>
              <w:jc w:val="center"/>
              <w:rPr>
                <w:rFonts w:ascii="Garamond" w:hAnsi="Garamond"/>
                <w:sz w:val="22"/>
                <w:szCs w:val="22"/>
              </w:rPr>
            </w:pPr>
            <w:r>
              <w:rPr>
                <w:rFonts w:ascii="Garamond" w:hAnsi="Garamond"/>
                <w:sz w:val="22"/>
                <w:szCs w:val="22"/>
              </w:rPr>
              <w:t>_________</w:t>
            </w:r>
          </w:p>
        </w:tc>
      </w:tr>
      <w:tr w:rsidR="00C74C42" w:rsidRPr="00B009F8" w:rsidTr="00276E85">
        <w:tc>
          <w:tcPr>
            <w:tcW w:w="10206" w:type="dxa"/>
          </w:tcPr>
          <w:p w:rsidR="00C74C42" w:rsidRPr="00B009F8" w:rsidRDefault="00C74C42" w:rsidP="00276E85">
            <w:pPr>
              <w:rPr>
                <w:rFonts w:ascii="Garamond" w:hAnsi="Garamond"/>
                <w:sz w:val="22"/>
                <w:szCs w:val="22"/>
                <w:lang w:val="nl-NL"/>
              </w:rPr>
            </w:pPr>
          </w:p>
        </w:tc>
      </w:tr>
      <w:tr w:rsidR="00C74C42" w:rsidRPr="00B009F8" w:rsidTr="00276E85">
        <w:tc>
          <w:tcPr>
            <w:tcW w:w="10206" w:type="dxa"/>
          </w:tcPr>
          <w:p w:rsidR="00C74C42" w:rsidRPr="00B009F8" w:rsidRDefault="00C74C42" w:rsidP="00276E85">
            <w:pPr>
              <w:jc w:val="center"/>
              <w:rPr>
                <w:rFonts w:ascii="Garamond" w:hAnsi="Garamond"/>
                <w:sz w:val="22"/>
                <w:szCs w:val="22"/>
              </w:rPr>
            </w:pPr>
            <w:r>
              <w:rPr>
                <w:rFonts w:ascii="Garamond" w:hAnsi="Garamond"/>
                <w:caps/>
                <w:snapToGrid w:val="0"/>
                <w:color w:val="000000"/>
                <w:sz w:val="22"/>
                <w:szCs w:val="22"/>
              </w:rPr>
              <w:t>Federalna Służba Publiczna ds. Zdrowia Publicznego, Bezpieczeństwa Łańcucha Żywnościowego i Ochrony Środowiska</w:t>
            </w:r>
          </w:p>
        </w:tc>
      </w:tr>
      <w:tr w:rsidR="00C74C42" w:rsidRPr="00B009F8" w:rsidTr="00276E85">
        <w:tc>
          <w:tcPr>
            <w:tcW w:w="10206" w:type="dxa"/>
          </w:tcPr>
          <w:p w:rsidR="00C74C42" w:rsidRPr="00B009F8" w:rsidRDefault="00C74C42" w:rsidP="00276E85">
            <w:pPr>
              <w:jc w:val="center"/>
              <w:rPr>
                <w:rFonts w:ascii="Garamond" w:hAnsi="Garamond"/>
                <w:sz w:val="22"/>
                <w:szCs w:val="22"/>
              </w:rPr>
            </w:pPr>
            <w:r>
              <w:rPr>
                <w:rFonts w:ascii="Garamond" w:hAnsi="Garamond"/>
                <w:sz w:val="22"/>
                <w:szCs w:val="22"/>
              </w:rPr>
              <w:t>________________________</w:t>
            </w:r>
          </w:p>
        </w:tc>
      </w:tr>
      <w:tr w:rsidR="00C74C42" w:rsidRPr="00B009F8" w:rsidTr="00276E85">
        <w:tc>
          <w:tcPr>
            <w:tcW w:w="10206" w:type="dxa"/>
          </w:tcPr>
          <w:p w:rsidR="00C74C42" w:rsidRPr="00B009F8" w:rsidRDefault="00C74C42" w:rsidP="00276E85">
            <w:pPr>
              <w:rPr>
                <w:rFonts w:ascii="Garamond" w:hAnsi="Garamond"/>
                <w:sz w:val="22"/>
                <w:szCs w:val="22"/>
                <w:lang w:val="nl-NL"/>
              </w:rPr>
            </w:pPr>
          </w:p>
        </w:tc>
      </w:tr>
      <w:tr w:rsidR="00C74C42" w:rsidRPr="00B009F8" w:rsidTr="00276E85">
        <w:tc>
          <w:tcPr>
            <w:tcW w:w="10206" w:type="dxa"/>
          </w:tcPr>
          <w:p w:rsidR="00C74C42" w:rsidRPr="00B009F8" w:rsidRDefault="00C74C42" w:rsidP="00276E85">
            <w:pPr>
              <w:jc w:val="center"/>
              <w:rPr>
                <w:rFonts w:ascii="Garamond" w:hAnsi="Garamond"/>
                <w:b/>
                <w:bCs/>
                <w:sz w:val="22"/>
                <w:szCs w:val="22"/>
              </w:rPr>
            </w:pPr>
            <w:r>
              <w:rPr>
                <w:rFonts w:ascii="Garamond" w:hAnsi="Garamond"/>
                <w:b/>
                <w:sz w:val="22"/>
                <w:szCs w:val="22"/>
              </w:rPr>
              <w:t>Dekret królewski w sprawie materiałów i wyrobów metalowych oraz stopów przeznaczonych do kontaktu z żywnością</w:t>
            </w:r>
          </w:p>
        </w:tc>
      </w:tr>
      <w:tr w:rsidR="00C74C42" w:rsidRPr="00B009F8" w:rsidTr="00276E85">
        <w:tc>
          <w:tcPr>
            <w:tcW w:w="10206" w:type="dxa"/>
          </w:tcPr>
          <w:p w:rsidR="00C74C42" w:rsidRPr="00993C7F" w:rsidRDefault="00C74C42" w:rsidP="00276E85">
            <w:pPr>
              <w:rPr>
                <w:rFonts w:ascii="Garamond" w:hAnsi="Garamond"/>
                <w:sz w:val="22"/>
                <w:szCs w:val="22"/>
              </w:rPr>
            </w:pPr>
          </w:p>
        </w:tc>
      </w:tr>
      <w:tr w:rsidR="00C74C42" w:rsidRPr="00B009F8" w:rsidTr="00276E85">
        <w:tc>
          <w:tcPr>
            <w:tcW w:w="10206" w:type="dxa"/>
          </w:tcPr>
          <w:p w:rsidR="00C74C42" w:rsidRPr="00B009F8" w:rsidRDefault="00C74C42" w:rsidP="00276E85">
            <w:pPr>
              <w:jc w:val="center"/>
              <w:rPr>
                <w:rFonts w:ascii="Garamond" w:hAnsi="Garamond"/>
                <w:b/>
                <w:bCs/>
                <w:iCs/>
                <w:sz w:val="22"/>
                <w:szCs w:val="22"/>
              </w:rPr>
            </w:pPr>
            <w:r>
              <w:rPr>
                <w:rFonts w:ascii="Garamond" w:hAnsi="Garamond"/>
                <w:b/>
                <w:sz w:val="22"/>
                <w:szCs w:val="22"/>
              </w:rPr>
              <w:t>FILIP, Król Belgów,</w:t>
            </w:r>
          </w:p>
        </w:tc>
      </w:tr>
      <w:tr w:rsidR="00C74C42" w:rsidRPr="00B009F8" w:rsidTr="00276E85">
        <w:tc>
          <w:tcPr>
            <w:tcW w:w="10206" w:type="dxa"/>
          </w:tcPr>
          <w:p w:rsidR="00C74C42" w:rsidRPr="00B009F8" w:rsidRDefault="00C74C42" w:rsidP="00276E85">
            <w:pPr>
              <w:rPr>
                <w:rFonts w:ascii="Garamond" w:hAnsi="Garamond"/>
                <w:sz w:val="22"/>
                <w:szCs w:val="22"/>
                <w:lang w:val="nl-NL"/>
              </w:rPr>
            </w:pPr>
          </w:p>
        </w:tc>
      </w:tr>
      <w:tr w:rsidR="00C74C42" w:rsidRPr="00B009F8" w:rsidTr="00276E85">
        <w:tc>
          <w:tcPr>
            <w:tcW w:w="10206" w:type="dxa"/>
          </w:tcPr>
          <w:p w:rsidR="00C74C42" w:rsidRPr="00B009F8" w:rsidRDefault="00C74C42" w:rsidP="00276E85">
            <w:pPr>
              <w:jc w:val="center"/>
              <w:rPr>
                <w:rFonts w:ascii="Garamond" w:hAnsi="Garamond"/>
                <w:iCs/>
                <w:sz w:val="22"/>
                <w:szCs w:val="22"/>
              </w:rPr>
            </w:pPr>
            <w:r>
              <w:rPr>
                <w:rFonts w:ascii="Garamond" w:hAnsi="Garamond"/>
                <w:iCs/>
                <w:sz w:val="22"/>
                <w:szCs w:val="22"/>
              </w:rPr>
              <w:t>do wszystkich żyjących i przyszłych obywateli, z pozdrowieniem.</w:t>
            </w:r>
          </w:p>
        </w:tc>
      </w:tr>
      <w:tr w:rsidR="00C74C42" w:rsidRPr="00B009F8" w:rsidTr="00276E85">
        <w:tc>
          <w:tcPr>
            <w:tcW w:w="10206" w:type="dxa"/>
          </w:tcPr>
          <w:p w:rsidR="00C74C42" w:rsidRPr="00993C7F" w:rsidRDefault="00C74C42" w:rsidP="00276E85">
            <w:pPr>
              <w:rPr>
                <w:rFonts w:ascii="Garamond" w:hAnsi="Garamond"/>
                <w:sz w:val="22"/>
                <w:szCs w:val="22"/>
              </w:rPr>
            </w:pP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szCs w:val="22"/>
              </w:rPr>
              <w:t>Uwzględniając rozporządzenie (WE) nr 1935/2004 Parlamentu Europejskiego i Rady z dnia 27 października 2004 r. w sprawie materiałów i wyrobów przeznaczonych do kontaktu z żywnością oraz uchylające dyrektywy 80/590/EWG i 89/109/EWG,</w:t>
            </w:r>
          </w:p>
        </w:tc>
      </w:tr>
      <w:tr w:rsidR="00C74C42" w:rsidRPr="00B009F8" w:rsidTr="00276E85">
        <w:tc>
          <w:tcPr>
            <w:tcW w:w="10206" w:type="dxa"/>
          </w:tcPr>
          <w:p w:rsidR="00C74C42" w:rsidRPr="00993C7F" w:rsidRDefault="00C74C42" w:rsidP="00A47389">
            <w:pPr>
              <w:jc w:val="both"/>
              <w:rPr>
                <w:rFonts w:ascii="Garamond" w:hAnsi="Garamond"/>
                <w:sz w:val="22"/>
                <w:szCs w:val="22"/>
              </w:rPr>
            </w:pP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szCs w:val="22"/>
              </w:rPr>
              <w:t>uwzględniając art. 3 ust. 2 lit. a) ustawy z dnia 24 stycznia 1977 r. o ochronie zdrowia konsumentów w odniesieniu do środków spożywczych i innych produktów, zmieniony ustawą z dnia 22 marca 1989 r.,</w:t>
            </w:r>
          </w:p>
        </w:tc>
      </w:tr>
      <w:tr w:rsidR="00C74C42" w:rsidRPr="00B009F8" w:rsidTr="00276E85">
        <w:tc>
          <w:tcPr>
            <w:tcW w:w="10206" w:type="dxa"/>
          </w:tcPr>
          <w:p w:rsidR="00C74C42" w:rsidRPr="00993C7F" w:rsidRDefault="00C74C42" w:rsidP="00A47389">
            <w:pPr>
              <w:jc w:val="both"/>
              <w:rPr>
                <w:rFonts w:ascii="Garamond" w:hAnsi="Garamond"/>
                <w:sz w:val="22"/>
                <w:szCs w:val="22"/>
              </w:rPr>
            </w:pP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szCs w:val="22"/>
              </w:rPr>
              <w:t xml:space="preserve">uwzględniając dekret królewski z dnia 11 maja 1992 r. w sprawie minerałów i przedmiotów przeznaczonych do kontaktu z żywnością, </w:t>
            </w:r>
          </w:p>
        </w:tc>
      </w:tr>
      <w:tr w:rsidR="00C74C42" w:rsidRPr="00B009F8" w:rsidTr="00276E85">
        <w:tc>
          <w:tcPr>
            <w:tcW w:w="10206" w:type="dxa"/>
          </w:tcPr>
          <w:p w:rsidR="00C74C42" w:rsidRPr="00993C7F" w:rsidRDefault="00C74C42" w:rsidP="00A47389">
            <w:pPr>
              <w:jc w:val="both"/>
              <w:rPr>
                <w:rFonts w:ascii="Garamond" w:hAnsi="Garamond"/>
                <w:sz w:val="22"/>
                <w:szCs w:val="22"/>
              </w:rPr>
            </w:pP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szCs w:val="22"/>
              </w:rPr>
              <w:t xml:space="preserve">uwzględniając opinię Rady Doradczej ds. Polityki Żywieniowej i Stosowania Produktów Konsumpcyjnych z dnia </w:t>
            </w:r>
            <w:r>
              <w:rPr>
                <w:rFonts w:ascii="Garamond" w:hAnsi="Garamond"/>
                <w:color w:val="FF0000"/>
                <w:sz w:val="22"/>
                <w:szCs w:val="22"/>
              </w:rPr>
              <w:t>xx xxxxx 20xx</w:t>
            </w:r>
            <w:r>
              <w:rPr>
                <w:rFonts w:ascii="Garamond" w:hAnsi="Garamond"/>
                <w:sz w:val="22"/>
                <w:szCs w:val="22"/>
              </w:rPr>
              <w:t>,</w:t>
            </w:r>
          </w:p>
        </w:tc>
      </w:tr>
      <w:tr w:rsidR="00C74C42" w:rsidRPr="00B009F8" w:rsidTr="00276E85">
        <w:tc>
          <w:tcPr>
            <w:tcW w:w="10206" w:type="dxa"/>
          </w:tcPr>
          <w:p w:rsidR="00C74C42" w:rsidRPr="00993C7F" w:rsidRDefault="00C74C42" w:rsidP="00A47389">
            <w:pPr>
              <w:jc w:val="both"/>
              <w:rPr>
                <w:rFonts w:ascii="Garamond" w:hAnsi="Garamond"/>
                <w:sz w:val="22"/>
                <w:szCs w:val="22"/>
              </w:rPr>
            </w:pPr>
          </w:p>
        </w:tc>
      </w:tr>
      <w:tr w:rsidR="00C74C42" w:rsidRPr="00B009F8" w:rsidTr="00276E85">
        <w:tc>
          <w:tcPr>
            <w:tcW w:w="10206" w:type="dxa"/>
          </w:tcPr>
          <w:p w:rsidR="00C74C42" w:rsidRPr="00B009F8" w:rsidRDefault="00C74C42" w:rsidP="00A47389">
            <w:pPr>
              <w:autoSpaceDE w:val="0"/>
              <w:autoSpaceDN w:val="0"/>
              <w:adjustRightInd w:val="0"/>
              <w:jc w:val="both"/>
              <w:rPr>
                <w:rFonts w:ascii="Garamond" w:hAnsi="Garamond"/>
                <w:sz w:val="22"/>
                <w:szCs w:val="22"/>
              </w:rPr>
            </w:pPr>
            <w:r>
              <w:rPr>
                <w:rFonts w:ascii="Garamond" w:hAnsi="Garamond"/>
                <w:color w:val="000000"/>
                <w:sz w:val="22"/>
                <w:szCs w:val="22"/>
              </w:rPr>
              <w:t>uwzględniając opinię Inspektora ds. Finansów z dnia</w:t>
            </w:r>
            <w:r>
              <w:rPr>
                <w:rFonts w:ascii="Garamond" w:hAnsi="Garamond"/>
                <w:sz w:val="22"/>
                <w:szCs w:val="22"/>
              </w:rPr>
              <w:t xml:space="preserve"> </w:t>
            </w:r>
            <w:r>
              <w:rPr>
                <w:rFonts w:ascii="Garamond" w:hAnsi="Garamond"/>
                <w:color w:val="FF0000"/>
                <w:sz w:val="22"/>
                <w:szCs w:val="22"/>
              </w:rPr>
              <w:t>xx xxxxx 20xx</w:t>
            </w:r>
            <w:r>
              <w:rPr>
                <w:rFonts w:ascii="Garamond" w:hAnsi="Garamond"/>
                <w:sz w:val="22"/>
                <w:szCs w:val="22"/>
              </w:rPr>
              <w:t>,</w:t>
            </w:r>
          </w:p>
        </w:tc>
      </w:tr>
      <w:tr w:rsidR="00C74C42" w:rsidRPr="00B009F8" w:rsidTr="00276E85">
        <w:tc>
          <w:tcPr>
            <w:tcW w:w="10206" w:type="dxa"/>
          </w:tcPr>
          <w:p w:rsidR="00C74C42" w:rsidRPr="00993C7F" w:rsidRDefault="00C74C42" w:rsidP="00A47389">
            <w:pPr>
              <w:autoSpaceDE w:val="0"/>
              <w:autoSpaceDN w:val="0"/>
              <w:adjustRightInd w:val="0"/>
              <w:jc w:val="both"/>
              <w:rPr>
                <w:rFonts w:ascii="Garamond" w:hAnsi="Garamond" w:cs="Palatino Linotype"/>
                <w:color w:val="000000"/>
                <w:sz w:val="22"/>
                <w:szCs w:val="22"/>
                <w:lang w:eastAsia="fr-BE"/>
              </w:rPr>
            </w:pP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szCs w:val="22"/>
              </w:rPr>
              <w:t xml:space="preserve">uwzględniając notyfikację do Komisji Europejskiej z dnia </w:t>
            </w:r>
            <w:r>
              <w:rPr>
                <w:rFonts w:ascii="Garamond" w:hAnsi="Garamond"/>
                <w:color w:val="FF0000"/>
                <w:sz w:val="22"/>
                <w:szCs w:val="22"/>
              </w:rPr>
              <w:t>xx xxxxx 20xx</w:t>
            </w:r>
            <w:r>
              <w:rPr>
                <w:rFonts w:ascii="Garamond" w:hAnsi="Garamond"/>
                <w:sz w:val="22"/>
                <w:szCs w:val="22"/>
              </w:rPr>
              <w:t xml:space="preserve"> w trybie art. 5 ust. 1 dyrektywy (UE) 2015/1535 Parlamentu Europejskiego i Rady z dnia 9 września 2015 r. ustanawiającej procedurę udzielania informacji w dziedzinie przepisów technicznych oraz zasad dotyczących usług społeczeństwa informacyjnego,</w:t>
            </w:r>
          </w:p>
        </w:tc>
      </w:tr>
      <w:tr w:rsidR="00C74C42" w:rsidRPr="00B009F8" w:rsidTr="00276E85">
        <w:tc>
          <w:tcPr>
            <w:tcW w:w="10206" w:type="dxa"/>
          </w:tcPr>
          <w:p w:rsidR="00C74C42" w:rsidRPr="00993C7F" w:rsidRDefault="00C74C42" w:rsidP="00A47389">
            <w:pPr>
              <w:jc w:val="both"/>
              <w:rPr>
                <w:rFonts w:ascii="Garamond" w:hAnsi="Garamond"/>
                <w:sz w:val="22"/>
                <w:szCs w:val="22"/>
              </w:rPr>
            </w:pP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szCs w:val="22"/>
              </w:rPr>
              <w:t xml:space="preserve">uwzględniając opinię Rady Stanu nr </w:t>
            </w:r>
            <w:r>
              <w:rPr>
                <w:rFonts w:ascii="Garamond" w:hAnsi="Garamond"/>
                <w:color w:val="FF0000"/>
                <w:sz w:val="22"/>
                <w:szCs w:val="22"/>
              </w:rPr>
              <w:t>xx.xxx/x</w:t>
            </w:r>
            <w:r>
              <w:rPr>
                <w:rFonts w:ascii="Garamond" w:hAnsi="Garamond"/>
                <w:sz w:val="22"/>
                <w:szCs w:val="22"/>
              </w:rPr>
              <w:t xml:space="preserve"> z dnia </w:t>
            </w:r>
            <w:r>
              <w:rPr>
                <w:rFonts w:ascii="Garamond" w:hAnsi="Garamond"/>
                <w:color w:val="FF0000"/>
                <w:sz w:val="22"/>
                <w:szCs w:val="22"/>
              </w:rPr>
              <w:t>xx xxxx 201x</w:t>
            </w:r>
            <w:r>
              <w:rPr>
                <w:rFonts w:ascii="Garamond" w:hAnsi="Garamond"/>
                <w:sz w:val="22"/>
                <w:szCs w:val="22"/>
              </w:rPr>
              <w:t xml:space="preserve"> przedłożoną w trybie art. 84 § 1 ust. 1 pkt 2 ustaw o Radzie Stanu, skonsolidowanych w dniu 12 stycznia 1973 r.,</w:t>
            </w:r>
          </w:p>
        </w:tc>
      </w:tr>
      <w:tr w:rsidR="00C74C42" w:rsidRPr="00B009F8" w:rsidTr="00276E85">
        <w:tc>
          <w:tcPr>
            <w:tcW w:w="10206" w:type="dxa"/>
          </w:tcPr>
          <w:p w:rsidR="00C74C42" w:rsidRPr="00993C7F" w:rsidRDefault="00C74C42" w:rsidP="00A47389">
            <w:pPr>
              <w:jc w:val="both"/>
              <w:rPr>
                <w:rFonts w:ascii="Garamond" w:hAnsi="Garamond"/>
                <w:sz w:val="22"/>
                <w:szCs w:val="22"/>
              </w:rPr>
            </w:pP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szCs w:val="22"/>
              </w:rPr>
              <w:t>uwzględniając rezolucję</w:t>
            </w:r>
            <w:r w:rsidR="00993C7F">
              <w:rPr>
                <w:rFonts w:ascii="Garamond" w:hAnsi="Garamond"/>
                <w:sz w:val="22"/>
                <w:szCs w:val="22"/>
              </w:rPr>
              <w:t xml:space="preserve"> </w:t>
            </w:r>
            <w:r>
              <w:rPr>
                <w:rFonts w:ascii="Garamond" w:hAnsi="Garamond"/>
                <w:sz w:val="22"/>
                <w:szCs w:val="22"/>
              </w:rPr>
              <w:t>CM/Res (2013)9 Rady Europy w sprawie metali i stopów stosowanych w materiałach do kontaktu z żywnością,</w:t>
            </w:r>
          </w:p>
        </w:tc>
      </w:tr>
      <w:tr w:rsidR="00C74C42" w:rsidRPr="00B009F8" w:rsidTr="00276E85">
        <w:tc>
          <w:tcPr>
            <w:tcW w:w="10206" w:type="dxa"/>
          </w:tcPr>
          <w:p w:rsidR="00C74C42" w:rsidRPr="00993C7F" w:rsidRDefault="00C74C42" w:rsidP="00A47389">
            <w:pPr>
              <w:jc w:val="both"/>
              <w:rPr>
                <w:rFonts w:ascii="Garamond" w:hAnsi="Garamond"/>
                <w:sz w:val="22"/>
                <w:szCs w:val="22"/>
              </w:rPr>
            </w:pP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szCs w:val="22"/>
              </w:rPr>
              <w:t>na wniosek Ministra Zdrowia Publicznego i Ministra Rolnictwa,</w:t>
            </w:r>
          </w:p>
        </w:tc>
      </w:tr>
      <w:tr w:rsidR="00C74C42" w:rsidRPr="00B009F8" w:rsidTr="00276E85">
        <w:tc>
          <w:tcPr>
            <w:tcW w:w="10206" w:type="dxa"/>
          </w:tcPr>
          <w:p w:rsidR="00C74C42" w:rsidRPr="00993C7F" w:rsidRDefault="00C74C42" w:rsidP="00A47389">
            <w:pPr>
              <w:jc w:val="both"/>
              <w:rPr>
                <w:rFonts w:ascii="Garamond" w:hAnsi="Garamond"/>
                <w:sz w:val="22"/>
                <w:szCs w:val="22"/>
              </w:rPr>
            </w:pP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szCs w:val="22"/>
              </w:rPr>
              <w:t>POSTANAWIAMY I UCHWALAMY:</w:t>
            </w:r>
          </w:p>
        </w:tc>
      </w:tr>
      <w:tr w:rsidR="00C74C42" w:rsidRPr="00B009F8" w:rsidTr="00276E85">
        <w:tc>
          <w:tcPr>
            <w:tcW w:w="10206" w:type="dxa"/>
          </w:tcPr>
          <w:p w:rsidR="00C74C42" w:rsidRPr="00B009F8" w:rsidRDefault="00C74C42" w:rsidP="00A47389">
            <w:pPr>
              <w:jc w:val="both"/>
              <w:rPr>
                <w:rFonts w:ascii="Garamond" w:hAnsi="Garamond"/>
                <w:sz w:val="22"/>
                <w:szCs w:val="22"/>
                <w:lang w:val="nl-NL"/>
              </w:rPr>
            </w:pPr>
          </w:p>
        </w:tc>
      </w:tr>
      <w:tr w:rsidR="00C74C42" w:rsidRPr="00B009F8" w:rsidTr="00276E85">
        <w:tc>
          <w:tcPr>
            <w:tcW w:w="10206" w:type="dxa"/>
          </w:tcPr>
          <w:p w:rsidR="00C74C42" w:rsidRPr="00B009F8" w:rsidRDefault="008C5E75" w:rsidP="00A47389">
            <w:pPr>
              <w:keepNext/>
              <w:keepLines/>
              <w:jc w:val="both"/>
              <w:rPr>
                <w:rFonts w:ascii="Garamond" w:hAnsi="Garamond"/>
                <w:b/>
                <w:bCs/>
                <w:sz w:val="22"/>
                <w:szCs w:val="22"/>
              </w:rPr>
            </w:pPr>
            <w:r>
              <w:rPr>
                <w:rFonts w:ascii="Garamond" w:hAnsi="Garamond"/>
                <w:b/>
                <w:bCs/>
                <w:sz w:val="22"/>
                <w:szCs w:val="22"/>
              </w:rPr>
              <w:t>Artykuł 1. Zakres stosowania</w:t>
            </w: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szCs w:val="22"/>
              </w:rPr>
              <w:t>Przepisy niniejszego dekretu mają zastosowanie do niezamierzonego uwalniania jonów metali z gotowych materiałów i wyrobów – niezależnie od tego, czy są one w całości czy częściowo wykonane z metalu oraz czy są pokryte warstwą wierzchnią – które:</w:t>
            </w: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szCs w:val="22"/>
              </w:rPr>
              <w:t>1° są przeznaczone do kontaktu z żywnością; lub</w:t>
            </w: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szCs w:val="22"/>
              </w:rPr>
              <w:t>2° pozostają już w kontakcie z żywnością i są przeznaczone do tego celu; lub</w:t>
            </w: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szCs w:val="22"/>
              </w:rPr>
              <w:t>3° można w sposób uzasadniony oczekiwać, iż wejdą w kontakt z żywnością albo nastąpi migracja ich składników do żywności w przypadku ich zastosowania w normalnych lub możliwych do przewidzenia warunkach.</w:t>
            </w:r>
          </w:p>
        </w:tc>
      </w:tr>
      <w:tr w:rsidR="00C74C42" w:rsidRPr="00B009F8" w:rsidTr="00276E85">
        <w:tc>
          <w:tcPr>
            <w:tcW w:w="10206" w:type="dxa"/>
          </w:tcPr>
          <w:p w:rsidR="00C74C42" w:rsidRPr="00993C7F" w:rsidRDefault="00C74C42" w:rsidP="00A47389">
            <w:pPr>
              <w:pStyle w:val="ListParagraph"/>
              <w:ind w:left="360"/>
              <w:jc w:val="both"/>
              <w:rPr>
                <w:rFonts w:ascii="Garamond" w:hAnsi="Garamond"/>
                <w:sz w:val="22"/>
                <w:szCs w:val="22"/>
              </w:rPr>
            </w:pPr>
          </w:p>
        </w:tc>
      </w:tr>
      <w:tr w:rsidR="00C74C42" w:rsidRPr="00B009F8" w:rsidTr="00276E85">
        <w:tc>
          <w:tcPr>
            <w:tcW w:w="10206" w:type="dxa"/>
          </w:tcPr>
          <w:p w:rsidR="00C74C42" w:rsidRPr="00B009F8" w:rsidRDefault="008C5E75" w:rsidP="00A47389">
            <w:pPr>
              <w:keepNext/>
              <w:keepLines/>
              <w:jc w:val="both"/>
              <w:rPr>
                <w:rFonts w:ascii="Garamond" w:hAnsi="Garamond"/>
                <w:b/>
                <w:sz w:val="22"/>
                <w:szCs w:val="22"/>
              </w:rPr>
            </w:pPr>
            <w:r>
              <w:rPr>
                <w:rFonts w:ascii="Garamond" w:hAnsi="Garamond"/>
                <w:b/>
                <w:sz w:val="22"/>
                <w:szCs w:val="22"/>
              </w:rPr>
              <w:t>Artykuł 2. Definicje</w:t>
            </w: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szCs w:val="22"/>
              </w:rPr>
              <w:t>Do celów niniejszego dekretu stosuje się następujące definicje:</w:t>
            </w: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szCs w:val="22"/>
              </w:rPr>
              <w:t>1° metale: metale, które w stanie stałym posiadają następujące właściwości fizykochemiczne:</w:t>
            </w:r>
          </w:p>
        </w:tc>
      </w:tr>
      <w:tr w:rsidR="00C74C42" w:rsidRPr="00B009F8" w:rsidTr="00276E85">
        <w:tc>
          <w:tcPr>
            <w:tcW w:w="10206" w:type="dxa"/>
          </w:tcPr>
          <w:p w:rsidR="00C74C42" w:rsidRPr="00B009F8" w:rsidRDefault="00C74C42" w:rsidP="00A47389">
            <w:pPr>
              <w:pStyle w:val="ListParagraph"/>
              <w:numPr>
                <w:ilvl w:val="0"/>
                <w:numId w:val="2"/>
              </w:numPr>
              <w:jc w:val="both"/>
              <w:rPr>
                <w:rFonts w:ascii="Garamond" w:hAnsi="Garamond"/>
                <w:sz w:val="22"/>
                <w:szCs w:val="22"/>
              </w:rPr>
            </w:pPr>
            <w:r>
              <w:rPr>
                <w:rFonts w:ascii="Garamond" w:hAnsi="Garamond"/>
                <w:sz w:val="22"/>
                <w:szCs w:val="22"/>
              </w:rPr>
              <w:t>współczynnik odbicia odpowiedzialny za charakterystyczny metaliczny połysk,</w:t>
            </w:r>
          </w:p>
        </w:tc>
      </w:tr>
      <w:tr w:rsidR="00C74C42" w:rsidRPr="00B009F8" w:rsidTr="00276E85">
        <w:tc>
          <w:tcPr>
            <w:tcW w:w="10206" w:type="dxa"/>
          </w:tcPr>
          <w:p w:rsidR="00C74C42" w:rsidRPr="00B009F8" w:rsidRDefault="00C74C42" w:rsidP="00A47389">
            <w:pPr>
              <w:pStyle w:val="ListParagraph"/>
              <w:numPr>
                <w:ilvl w:val="0"/>
                <w:numId w:val="1"/>
              </w:numPr>
              <w:jc w:val="both"/>
              <w:rPr>
                <w:rFonts w:ascii="Garamond" w:hAnsi="Garamond"/>
                <w:sz w:val="22"/>
                <w:szCs w:val="22"/>
              </w:rPr>
            </w:pPr>
            <w:r>
              <w:rPr>
                <w:rFonts w:ascii="Garamond" w:hAnsi="Garamond"/>
                <w:sz w:val="22"/>
                <w:szCs w:val="22"/>
              </w:rPr>
              <w:t>przewodnictwo elektryczne,</w:t>
            </w:r>
          </w:p>
        </w:tc>
      </w:tr>
      <w:tr w:rsidR="00C74C42" w:rsidRPr="00B009F8" w:rsidTr="00276E85">
        <w:tc>
          <w:tcPr>
            <w:tcW w:w="10206" w:type="dxa"/>
          </w:tcPr>
          <w:p w:rsidR="00C74C42" w:rsidRPr="00B009F8" w:rsidRDefault="00C74C42" w:rsidP="00A47389">
            <w:pPr>
              <w:pStyle w:val="ListParagraph"/>
              <w:numPr>
                <w:ilvl w:val="0"/>
                <w:numId w:val="1"/>
              </w:numPr>
              <w:jc w:val="both"/>
              <w:rPr>
                <w:rFonts w:ascii="Garamond" w:hAnsi="Garamond"/>
                <w:sz w:val="22"/>
                <w:szCs w:val="22"/>
              </w:rPr>
            </w:pPr>
            <w:r>
              <w:rPr>
                <w:rFonts w:ascii="Garamond" w:hAnsi="Garamond"/>
                <w:sz w:val="22"/>
                <w:szCs w:val="22"/>
              </w:rPr>
              <w:t>przewodnictwo cieplne,</w:t>
            </w:r>
          </w:p>
        </w:tc>
      </w:tr>
      <w:tr w:rsidR="00C74C42" w:rsidRPr="00B009F8" w:rsidTr="00276E85">
        <w:tc>
          <w:tcPr>
            <w:tcW w:w="10206" w:type="dxa"/>
          </w:tcPr>
          <w:p w:rsidR="00C74C42" w:rsidRPr="00B009F8" w:rsidRDefault="00C74C42" w:rsidP="00A47389">
            <w:pPr>
              <w:pStyle w:val="ListParagraph"/>
              <w:numPr>
                <w:ilvl w:val="0"/>
                <w:numId w:val="3"/>
              </w:numPr>
              <w:jc w:val="both"/>
              <w:rPr>
                <w:rFonts w:ascii="Garamond" w:hAnsi="Garamond"/>
                <w:sz w:val="22"/>
                <w:szCs w:val="22"/>
              </w:rPr>
            </w:pPr>
            <w:r>
              <w:rPr>
                <w:rFonts w:ascii="Garamond" w:hAnsi="Garamond"/>
                <w:sz w:val="22"/>
                <w:szCs w:val="22"/>
              </w:rPr>
              <w:t>właściwości mechaniczne, takie jak wytrzymałość i odkształcalność.</w:t>
            </w: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szCs w:val="22"/>
              </w:rPr>
              <w:t>Metale odpowiadają kategorii materiałów o spójności na poziomie atomowym gwarantowanej przez związki metali. Można uznać, że są one równoważne z ogółem dodatnich jonów metalu tworzących rozbudowane sieci krystaliczne, w których elektrony walencyjne są rozłożone na przestrzeni całej struktury;</w:t>
            </w:r>
          </w:p>
        </w:tc>
      </w:tr>
      <w:tr w:rsidR="00C74C42" w:rsidRPr="00B009F8" w:rsidTr="00276E85">
        <w:tc>
          <w:tcPr>
            <w:tcW w:w="10206" w:type="dxa"/>
          </w:tcPr>
          <w:p w:rsidR="00C74C42" w:rsidRPr="00993C7F" w:rsidRDefault="00C74C42" w:rsidP="00A47389">
            <w:pPr>
              <w:jc w:val="both"/>
              <w:rPr>
                <w:rFonts w:ascii="Garamond" w:hAnsi="Garamond"/>
                <w:sz w:val="22"/>
                <w:szCs w:val="22"/>
              </w:rPr>
            </w:pP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szCs w:val="22"/>
              </w:rPr>
              <w:t>2° stopy: stop oznacza jednolity w skali makroskopowej materiał metaliczny składający się z dwóch lub większej liczby pierwiastków połączonych w taki sposób, że nie można ich łatwo rozdzielić w sposób mechaniczny;</w:t>
            </w:r>
          </w:p>
        </w:tc>
      </w:tr>
      <w:tr w:rsidR="00C74C42" w:rsidRPr="00B009F8" w:rsidTr="00276E85">
        <w:tc>
          <w:tcPr>
            <w:tcW w:w="10206" w:type="dxa"/>
          </w:tcPr>
          <w:p w:rsidR="00C74C42" w:rsidRPr="00993C7F" w:rsidRDefault="00C74C42" w:rsidP="00A47389">
            <w:pPr>
              <w:jc w:val="both"/>
              <w:rPr>
                <w:rFonts w:ascii="Garamond" w:hAnsi="Garamond"/>
                <w:sz w:val="22"/>
                <w:szCs w:val="22"/>
              </w:rPr>
            </w:pP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szCs w:val="22"/>
              </w:rPr>
              <w:t>3° uwalnianie: uwalnianie definiowane jest w dekrecie królewskim jako niezamierzone przeniesienie jonów metalu z materiałów lub wyrobów złożonych z metali lub stopów do żywności.</w:t>
            </w:r>
          </w:p>
        </w:tc>
      </w:tr>
      <w:tr w:rsidR="00C74C42" w:rsidRPr="00B009F8" w:rsidTr="00276E85">
        <w:tc>
          <w:tcPr>
            <w:tcW w:w="10206" w:type="dxa"/>
          </w:tcPr>
          <w:p w:rsidR="00C74C42" w:rsidRPr="00993C7F" w:rsidRDefault="00C74C42" w:rsidP="00A47389">
            <w:pPr>
              <w:jc w:val="both"/>
              <w:rPr>
                <w:rFonts w:ascii="Garamond" w:hAnsi="Garamond"/>
                <w:sz w:val="22"/>
                <w:szCs w:val="22"/>
              </w:rPr>
            </w:pP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szCs w:val="22"/>
              </w:rPr>
              <w:t>4° limit szczególnego uwalniania: maksymalna dopuszczalna ilość określonego jonu metalu lub metaloidu (w miligramach), która może zostać uwolniona przez materiał lub wyrób do żywności lub płynów modelowych imitujących żywność (w kilogramach).</w:t>
            </w:r>
          </w:p>
        </w:tc>
      </w:tr>
      <w:tr w:rsidR="00C74C42" w:rsidRPr="00B009F8" w:rsidTr="00276E85">
        <w:tc>
          <w:tcPr>
            <w:tcW w:w="10206" w:type="dxa"/>
          </w:tcPr>
          <w:p w:rsidR="00C74C42" w:rsidRPr="00993C7F" w:rsidRDefault="00C74C42" w:rsidP="00A47389">
            <w:pPr>
              <w:jc w:val="both"/>
              <w:rPr>
                <w:rFonts w:ascii="Garamond" w:hAnsi="Garamond"/>
                <w:color w:val="0000FF"/>
                <w:sz w:val="22"/>
                <w:szCs w:val="22"/>
              </w:rPr>
            </w:pPr>
          </w:p>
        </w:tc>
      </w:tr>
      <w:tr w:rsidR="00C74C42" w:rsidRPr="00B009F8" w:rsidTr="00276E85">
        <w:tc>
          <w:tcPr>
            <w:tcW w:w="10206" w:type="dxa"/>
          </w:tcPr>
          <w:p w:rsidR="00C74C42" w:rsidRPr="00B009F8" w:rsidRDefault="00C74C42" w:rsidP="00A47389">
            <w:pPr>
              <w:keepNext/>
              <w:keepLines/>
              <w:jc w:val="both"/>
              <w:rPr>
                <w:rFonts w:ascii="Garamond" w:hAnsi="Garamond"/>
                <w:b/>
                <w:sz w:val="22"/>
                <w:szCs w:val="22"/>
              </w:rPr>
            </w:pPr>
            <w:r>
              <w:rPr>
                <w:rFonts w:ascii="Garamond" w:hAnsi="Garamond"/>
                <w:b/>
                <w:sz w:val="22"/>
                <w:szCs w:val="22"/>
              </w:rPr>
              <w:t>Artykuł 3. Przepisy ogólne</w:t>
            </w: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szCs w:val="22"/>
              </w:rPr>
              <w:t>Materiały i wyroby z metalu lub stopu przeznaczone do kontaktu z żywnością muszą być wyprodukowane zgodnie z:</w:t>
            </w: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szCs w:val="22"/>
              </w:rPr>
              <w:t>- rozporządzeniem (WE) nr 1935/2004 Parlamentu Europejskiego i Rady z dnia 27 października 2004 r. w sprawie materiałów i wyrobów przeznaczonych do kontaktu z żywnością,</w:t>
            </w: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szCs w:val="22"/>
              </w:rPr>
              <w:t>- rozporządzeniem Komisji (WE) nr 2023/2006 z dnia 22 grudnia 2006 r. w sprawie dobrej praktyki produkcyjnej w odniesieniu do materiałów i wyrobów przeznaczonych do kontaktu z żywnością,</w:t>
            </w: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szCs w:val="22"/>
              </w:rPr>
              <w:t>- dekretem królewskim z dnia 11 maja 1992 r. w sprawie minerałów i przedmiotów przeznaczonych do kontaktu z żywnością.</w:t>
            </w:r>
          </w:p>
        </w:tc>
      </w:tr>
      <w:tr w:rsidR="00C74C42" w:rsidRPr="00B009F8" w:rsidTr="00276E85">
        <w:tc>
          <w:tcPr>
            <w:tcW w:w="10206" w:type="dxa"/>
          </w:tcPr>
          <w:p w:rsidR="00C74C42" w:rsidRPr="00993C7F" w:rsidRDefault="00C74C42" w:rsidP="00A47389">
            <w:pPr>
              <w:jc w:val="both"/>
              <w:rPr>
                <w:rFonts w:ascii="Garamond" w:hAnsi="Garamond"/>
                <w:sz w:val="22"/>
                <w:szCs w:val="22"/>
              </w:rPr>
            </w:pPr>
          </w:p>
        </w:tc>
      </w:tr>
      <w:tr w:rsidR="00C74C42" w:rsidRPr="00B009F8" w:rsidTr="00276E85">
        <w:tc>
          <w:tcPr>
            <w:tcW w:w="10206" w:type="dxa"/>
          </w:tcPr>
          <w:p w:rsidR="00C74C42" w:rsidRPr="00B009F8" w:rsidRDefault="00C74C42" w:rsidP="00A47389">
            <w:pPr>
              <w:keepNext/>
              <w:keepLines/>
              <w:jc w:val="both"/>
              <w:rPr>
                <w:rFonts w:ascii="Garamond" w:hAnsi="Garamond"/>
                <w:b/>
                <w:sz w:val="22"/>
                <w:szCs w:val="22"/>
              </w:rPr>
            </w:pPr>
            <w:r>
              <w:rPr>
                <w:rFonts w:ascii="Garamond" w:hAnsi="Garamond"/>
                <w:b/>
                <w:sz w:val="22"/>
                <w:szCs w:val="22"/>
              </w:rPr>
              <w:t>Artykuł 4. Limit szczególnego uwalniania</w:t>
            </w: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szCs w:val="22"/>
              </w:rPr>
              <w:t>Materiały i wyroby, o których mowa w art. 1, muszą spełniać limity dotyczące szczególnego uwalniania, o których mowa w rozdziale 1 załącznika.</w:t>
            </w:r>
          </w:p>
        </w:tc>
      </w:tr>
      <w:tr w:rsidR="00C74C42" w:rsidRPr="00B009F8" w:rsidTr="00276E85">
        <w:tc>
          <w:tcPr>
            <w:tcW w:w="10206" w:type="dxa"/>
          </w:tcPr>
          <w:p w:rsidR="00C74C42" w:rsidRPr="00B009F8" w:rsidRDefault="00C74C42" w:rsidP="00A47389">
            <w:pPr>
              <w:autoSpaceDE w:val="0"/>
              <w:autoSpaceDN w:val="0"/>
              <w:adjustRightInd w:val="0"/>
              <w:jc w:val="both"/>
              <w:rPr>
                <w:rFonts w:ascii="Garamond" w:hAnsi="Garamond"/>
                <w:sz w:val="22"/>
                <w:szCs w:val="22"/>
              </w:rPr>
            </w:pPr>
            <w:r>
              <w:rPr>
                <w:rFonts w:ascii="Garamond" w:hAnsi="Garamond"/>
                <w:sz w:val="22"/>
                <w:szCs w:val="22"/>
              </w:rPr>
              <w:t>Substancje w postaci nanomateriału wymagają we wszystkich przypadkach szczegółowej oceny właściwości, zamierzonego zastosowania oraz stopnia ekspozycji w przypadku uwolnienia do środka spożywczego.</w:t>
            </w:r>
          </w:p>
        </w:tc>
      </w:tr>
      <w:tr w:rsidR="00C74C42" w:rsidRPr="00B009F8" w:rsidTr="00276E85">
        <w:tc>
          <w:tcPr>
            <w:tcW w:w="10206" w:type="dxa"/>
          </w:tcPr>
          <w:p w:rsidR="00C74C42" w:rsidRPr="00993C7F" w:rsidRDefault="00C74C42" w:rsidP="00A47389">
            <w:pPr>
              <w:jc w:val="both"/>
              <w:rPr>
                <w:rFonts w:ascii="Garamond" w:hAnsi="Garamond"/>
                <w:sz w:val="22"/>
                <w:szCs w:val="22"/>
              </w:rPr>
            </w:pPr>
          </w:p>
        </w:tc>
      </w:tr>
      <w:tr w:rsidR="00C74C42" w:rsidRPr="00B009F8" w:rsidTr="00276E85">
        <w:tc>
          <w:tcPr>
            <w:tcW w:w="10206" w:type="dxa"/>
          </w:tcPr>
          <w:p w:rsidR="00C74C42" w:rsidRPr="00B009F8" w:rsidRDefault="00C74C42" w:rsidP="00A47389">
            <w:pPr>
              <w:keepNext/>
              <w:keepLines/>
              <w:autoSpaceDE w:val="0"/>
              <w:autoSpaceDN w:val="0"/>
              <w:adjustRightInd w:val="0"/>
              <w:jc w:val="both"/>
              <w:rPr>
                <w:rFonts w:ascii="Garamond" w:hAnsi="Garamond"/>
                <w:b/>
                <w:sz w:val="22"/>
                <w:szCs w:val="22"/>
              </w:rPr>
            </w:pPr>
            <w:r>
              <w:rPr>
                <w:rFonts w:ascii="Garamond" w:hAnsi="Garamond"/>
                <w:b/>
                <w:sz w:val="22"/>
                <w:szCs w:val="22"/>
              </w:rPr>
              <w:t>Artykuł 5. Zgodność limitu szczególnego uwalniania</w:t>
            </w: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szCs w:val="22"/>
              </w:rPr>
              <w:t>§1. Zgodność gotowych materiałów i wyrobów kontrolowana jest przez badania uwalniania i metody przesiewowe.</w:t>
            </w: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szCs w:val="22"/>
              </w:rPr>
              <w:t>Badania te przeprowadza się zgodnie z krajowymi i europejskimi metodami przeznaczonymi dla materiałów i wyrobów z metalu lub stopu przeznaczonych do kontaktu z żywnością.</w:t>
            </w: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szCs w:val="22"/>
              </w:rPr>
              <w:t>Badania uwalniania z materiałów i wyrobów do żywności są przeprowadzane z uwzględnieniem najbardziej niekorzystnych warunków, które są w uzasadnionym stopniu przewidywalne.</w:t>
            </w: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szCs w:val="22"/>
              </w:rPr>
              <w:t>Wyniki badań szczególnego uwalniania przeprowadzonych na żywności są nadrzędne wobec wyników badań przy zastosowaniu płynu modelowego imitującego żywność. Wyniki badań szczególnego uwalniania przeprowadzonych przy zastosowaniu płynu modelowego imitującego żywność są nadrzędne wobec wyników badań metodami przesiewowymi.</w:t>
            </w:r>
          </w:p>
        </w:tc>
      </w:tr>
      <w:tr w:rsidR="00C74C42" w:rsidRPr="00B009F8" w:rsidTr="00276E85">
        <w:tc>
          <w:tcPr>
            <w:tcW w:w="10206" w:type="dxa"/>
          </w:tcPr>
          <w:p w:rsidR="00C74C42" w:rsidRPr="00993C7F" w:rsidRDefault="00C74C42" w:rsidP="00A47389">
            <w:pPr>
              <w:jc w:val="both"/>
              <w:rPr>
                <w:rFonts w:ascii="Garamond" w:hAnsi="Garamond"/>
                <w:sz w:val="22"/>
                <w:szCs w:val="22"/>
              </w:rPr>
            </w:pP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szCs w:val="22"/>
              </w:rPr>
              <w:t>§2. W celu sprawdzenia zgodności należy przedstawić wartości szczególnego uwalniania w produkcie końcowym wyrażone w mg/kg z zastosowaniem rzeczywistego stosunku powierzchni do objętości przy faktycznym lub zamierzonym zastosowaniu.</w:t>
            </w: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szCs w:val="22"/>
              </w:rPr>
              <w:t>W drodze odstępstwa od przepisów ust. 2 dla folii i powierzchni płaskich, które nie wchodzą w kontakt z żywnością, migrację wyraża się w mg/kg z zastosowaniem stosunku powierzchni do objętości wynoszącym 6 dm2 na kg żywności.</w:t>
            </w:r>
          </w:p>
        </w:tc>
      </w:tr>
      <w:tr w:rsidR="00C74C42" w:rsidRPr="00B009F8" w:rsidTr="00276E85">
        <w:tc>
          <w:tcPr>
            <w:tcW w:w="10206" w:type="dxa"/>
          </w:tcPr>
          <w:p w:rsidR="00C74C42" w:rsidRPr="00B009F8" w:rsidRDefault="00C74C42" w:rsidP="00A47389">
            <w:pPr>
              <w:jc w:val="both"/>
              <w:rPr>
                <w:rFonts w:ascii="Garamond" w:hAnsi="Garamond"/>
                <w:sz w:val="22"/>
                <w:szCs w:val="22"/>
                <w:lang w:val="nl-NL"/>
              </w:rPr>
            </w:pPr>
          </w:p>
        </w:tc>
      </w:tr>
      <w:tr w:rsidR="00C74C42" w:rsidRPr="00B009F8" w:rsidTr="00276E85">
        <w:tc>
          <w:tcPr>
            <w:tcW w:w="10206" w:type="dxa"/>
          </w:tcPr>
          <w:p w:rsidR="00C74C42" w:rsidRPr="00B009F8" w:rsidRDefault="00C74C42" w:rsidP="00A47389">
            <w:pPr>
              <w:keepNext/>
              <w:keepLines/>
              <w:jc w:val="both"/>
              <w:rPr>
                <w:rFonts w:ascii="Garamond" w:hAnsi="Garamond"/>
                <w:sz w:val="22"/>
                <w:szCs w:val="22"/>
              </w:rPr>
            </w:pPr>
            <w:r>
              <w:rPr>
                <w:rFonts w:ascii="Garamond" w:hAnsi="Garamond"/>
                <w:b/>
                <w:sz w:val="22"/>
                <w:szCs w:val="22"/>
              </w:rPr>
              <w:t>Artykuł 6. Deklaracja zgodności</w:t>
            </w:r>
          </w:p>
        </w:tc>
      </w:tr>
      <w:tr w:rsidR="00C74C42" w:rsidRPr="00B009F8" w:rsidTr="00276E85">
        <w:tc>
          <w:tcPr>
            <w:tcW w:w="10206" w:type="dxa"/>
          </w:tcPr>
          <w:p w:rsidR="00C74C42" w:rsidRPr="00B009F8" w:rsidRDefault="00C74C42" w:rsidP="00A47389">
            <w:pPr>
              <w:jc w:val="both"/>
              <w:rPr>
                <w:rFonts w:ascii="Garamond" w:hAnsi="Garamond"/>
                <w:sz w:val="22"/>
                <w:szCs w:val="22"/>
                <w:highlight w:val="magenta"/>
              </w:rPr>
            </w:pPr>
            <w:r>
              <w:rPr>
                <w:rFonts w:ascii="Garamond" w:hAnsi="Garamond"/>
                <w:sz w:val="22"/>
                <w:szCs w:val="22"/>
              </w:rPr>
              <w:t>§1. W drodze odstępstwa od przepisów art. 9 ust. 5 dekretu królewskiego z dnia 11 maja 1992 r. w sprawie minerałów i wyrobów przeznaczonych do kontaktu z żywnością należy stosować wzór deklaracji zgodności zawarty w rozdziale 2 załącznika do niniejszego dekretu królewskiego.</w:t>
            </w:r>
          </w:p>
        </w:tc>
      </w:tr>
      <w:tr w:rsidR="00C74C42" w:rsidRPr="00B009F8" w:rsidTr="00276E85">
        <w:tc>
          <w:tcPr>
            <w:tcW w:w="10206" w:type="dxa"/>
          </w:tcPr>
          <w:p w:rsidR="00C74C42" w:rsidRPr="00B009F8" w:rsidRDefault="00C74C42" w:rsidP="00A47389">
            <w:pPr>
              <w:jc w:val="both"/>
              <w:rPr>
                <w:rFonts w:ascii="Garamond" w:hAnsi="Garamond"/>
                <w:sz w:val="22"/>
                <w:szCs w:val="22"/>
                <w:highlight w:val="magenta"/>
                <w:lang w:val="nl-NL"/>
              </w:rPr>
            </w:pPr>
          </w:p>
        </w:tc>
      </w:tr>
      <w:tr w:rsidR="00C74C42" w:rsidRPr="00B009F8" w:rsidTr="00276E85">
        <w:tc>
          <w:tcPr>
            <w:tcW w:w="10206" w:type="dxa"/>
          </w:tcPr>
          <w:p w:rsidR="00C74C42" w:rsidRPr="00B009F8" w:rsidRDefault="00C74C42" w:rsidP="00A47389">
            <w:pPr>
              <w:jc w:val="both"/>
              <w:rPr>
                <w:rFonts w:ascii="Garamond" w:hAnsi="Garamond"/>
                <w:sz w:val="22"/>
                <w:szCs w:val="22"/>
                <w:highlight w:val="magenta"/>
              </w:rPr>
            </w:pPr>
            <w:r>
              <w:rPr>
                <w:rFonts w:ascii="Garamond" w:hAnsi="Garamond"/>
                <w:sz w:val="22"/>
                <w:szCs w:val="22"/>
              </w:rPr>
              <w:t>§2. W drodze odstępstwa od przepisów ust. 1 dla wszystkich produktów, których nie można jeszcze uznać za produkty końcowe, należy wypełnić przynajmniej punkt 1, 2, 3 i 5 deklaracji zgodności zawartej w rozdziale 2 załącznika do niniejszego dekretu królewskiego.</w:t>
            </w:r>
          </w:p>
        </w:tc>
      </w:tr>
      <w:tr w:rsidR="00C74C42" w:rsidRPr="00B009F8" w:rsidTr="00276E85">
        <w:tc>
          <w:tcPr>
            <w:tcW w:w="10206" w:type="dxa"/>
          </w:tcPr>
          <w:p w:rsidR="00C74C42" w:rsidRPr="00B009F8" w:rsidRDefault="00C74C42" w:rsidP="00A47389">
            <w:pPr>
              <w:jc w:val="both"/>
              <w:rPr>
                <w:rFonts w:ascii="Garamond" w:hAnsi="Garamond"/>
                <w:b/>
                <w:sz w:val="22"/>
                <w:szCs w:val="22"/>
                <w:lang w:val="nl-NL"/>
              </w:rPr>
            </w:pPr>
          </w:p>
        </w:tc>
      </w:tr>
      <w:tr w:rsidR="00C74C42" w:rsidRPr="00B009F8" w:rsidTr="00276E85">
        <w:tc>
          <w:tcPr>
            <w:tcW w:w="10206" w:type="dxa"/>
          </w:tcPr>
          <w:p w:rsidR="00C74C42" w:rsidRPr="00B009F8" w:rsidRDefault="00C74C42" w:rsidP="00A47389">
            <w:pPr>
              <w:keepNext/>
              <w:keepLines/>
              <w:jc w:val="both"/>
              <w:rPr>
                <w:rFonts w:ascii="Garamond" w:hAnsi="Garamond"/>
                <w:sz w:val="22"/>
                <w:szCs w:val="22"/>
              </w:rPr>
            </w:pPr>
            <w:r>
              <w:rPr>
                <w:rFonts w:ascii="Garamond" w:hAnsi="Garamond"/>
                <w:b/>
                <w:sz w:val="22"/>
                <w:szCs w:val="22"/>
              </w:rPr>
              <w:t xml:space="preserve">Artykuł 7. Wzajemne uznawanie </w:t>
            </w: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szCs w:val="22"/>
              </w:rPr>
              <w:t>Przepisy niniejszego dekretu, z wyłączeniem art. 6, nie mają zastosowania do produktów wyprodukowanych lub wprowadzonych do obrotu zgodnie z prawem w innym państwie członkowskim bądź w Turcji ani do produktów wyprodukowanych zgodnie z prawem w państwie członkowskim Europejskiego Stowarzyszenia Wolnego Handlu będącym stroną Porozumienia o Europejskim Obszarze Gospodarczym, z wyjątkiem przypadku, w którym nie można zastosować klauzuli o wzajemnym uznawaniu zgodnie z art. 34 do 36 Traktatu o funkcjonowaniu Unii Europejskiej.</w:t>
            </w:r>
          </w:p>
        </w:tc>
      </w:tr>
      <w:tr w:rsidR="00C74C42" w:rsidRPr="00B009F8" w:rsidTr="00276E85">
        <w:tc>
          <w:tcPr>
            <w:tcW w:w="10206" w:type="dxa"/>
          </w:tcPr>
          <w:p w:rsidR="00C74C42" w:rsidRPr="00B009F8" w:rsidRDefault="00C74C42" w:rsidP="00A47389">
            <w:pPr>
              <w:jc w:val="both"/>
              <w:rPr>
                <w:rFonts w:ascii="Garamond" w:hAnsi="Garamond"/>
                <w:b/>
                <w:bCs/>
                <w:sz w:val="22"/>
                <w:szCs w:val="22"/>
                <w:lang w:val="nl-NL"/>
              </w:rPr>
            </w:pPr>
          </w:p>
        </w:tc>
      </w:tr>
      <w:tr w:rsidR="00C74C42" w:rsidRPr="00B009F8" w:rsidTr="00276E85">
        <w:tc>
          <w:tcPr>
            <w:tcW w:w="10206" w:type="dxa"/>
          </w:tcPr>
          <w:p w:rsidR="00C74C42" w:rsidRPr="00B009F8" w:rsidRDefault="00C74C42" w:rsidP="00A47389">
            <w:pPr>
              <w:keepNext/>
              <w:keepLines/>
              <w:jc w:val="both"/>
              <w:rPr>
                <w:rFonts w:ascii="Garamond" w:hAnsi="Garamond"/>
                <w:b/>
                <w:bCs/>
                <w:sz w:val="22"/>
                <w:szCs w:val="22"/>
              </w:rPr>
            </w:pPr>
            <w:r>
              <w:rPr>
                <w:rFonts w:ascii="Garamond" w:hAnsi="Garamond"/>
                <w:b/>
                <w:sz w:val="22"/>
                <w:szCs w:val="22"/>
              </w:rPr>
              <w:t>Artykuł 8. Naruszenia przepisów</w:t>
            </w:r>
          </w:p>
        </w:tc>
      </w:tr>
      <w:tr w:rsidR="00C74C42" w:rsidRPr="00B009F8" w:rsidTr="00276E85">
        <w:tc>
          <w:tcPr>
            <w:tcW w:w="10206" w:type="dxa"/>
          </w:tcPr>
          <w:p w:rsidR="00C74C42" w:rsidRPr="00B009F8" w:rsidRDefault="00C74C42" w:rsidP="00A47389">
            <w:pPr>
              <w:jc w:val="both"/>
              <w:rPr>
                <w:rFonts w:ascii="Garamond" w:hAnsi="Garamond"/>
                <w:b/>
                <w:bCs/>
                <w:sz w:val="22"/>
                <w:szCs w:val="22"/>
              </w:rPr>
            </w:pPr>
            <w:r>
              <w:rPr>
                <w:rFonts w:ascii="Garamond" w:hAnsi="Garamond"/>
                <w:sz w:val="22"/>
                <w:szCs w:val="22"/>
              </w:rPr>
              <w:t>Naruszenia przepisów niniejszego dekretu podlegają ściganiu i stwierdzeniu zgodnie z przepisami dekretu królewskiego z dnia 22 lutego 2001 r. w sprawie organizacji kontroli wykonywanych przez Federalną Agencję Bezpieczeństwa Łańcucha Żywnościowego i zmieniającego różne przepisy ustawowe.</w:t>
            </w:r>
          </w:p>
        </w:tc>
      </w:tr>
      <w:tr w:rsidR="00C74C42" w:rsidRPr="00B009F8" w:rsidTr="00276E85">
        <w:tc>
          <w:tcPr>
            <w:tcW w:w="10206" w:type="dxa"/>
          </w:tcPr>
          <w:p w:rsidR="00C74C42" w:rsidRPr="00B009F8" w:rsidRDefault="00C74C42" w:rsidP="00A47389">
            <w:pPr>
              <w:jc w:val="both"/>
              <w:rPr>
                <w:rFonts w:ascii="Garamond" w:hAnsi="Garamond"/>
                <w:color w:val="0070C0"/>
                <w:sz w:val="22"/>
                <w:szCs w:val="22"/>
              </w:rPr>
            </w:pPr>
            <w:r>
              <w:rPr>
                <w:rFonts w:ascii="Garamond" w:hAnsi="Garamond"/>
                <w:sz w:val="22"/>
                <w:szCs w:val="22"/>
              </w:rPr>
              <w:t>Naruszenia przepisów niniejszego dekretu podlegają sankcjom zgodnie z ustawą z dnia 24 stycznia 1977 r. o ochronie zdrowia konsumentów w odniesieniu do środków spożywczych i innych produktów.</w:t>
            </w:r>
          </w:p>
        </w:tc>
      </w:tr>
      <w:tr w:rsidR="00C74C42" w:rsidRPr="00B009F8" w:rsidTr="00276E85">
        <w:tc>
          <w:tcPr>
            <w:tcW w:w="10206" w:type="dxa"/>
          </w:tcPr>
          <w:p w:rsidR="00C74C42" w:rsidRPr="00B009F8" w:rsidRDefault="00C74C42" w:rsidP="00A47389">
            <w:pPr>
              <w:jc w:val="both"/>
              <w:rPr>
                <w:rFonts w:ascii="Garamond" w:hAnsi="Garamond"/>
                <w:sz w:val="22"/>
                <w:szCs w:val="22"/>
                <w:lang w:val="nl-NL"/>
              </w:rPr>
            </w:pPr>
          </w:p>
        </w:tc>
      </w:tr>
      <w:tr w:rsidR="00C74C42" w:rsidRPr="00B009F8" w:rsidTr="00276E85">
        <w:tc>
          <w:tcPr>
            <w:tcW w:w="10206" w:type="dxa"/>
          </w:tcPr>
          <w:p w:rsidR="00C74C42" w:rsidRPr="00B009F8" w:rsidRDefault="00C74C42" w:rsidP="00A47389">
            <w:pPr>
              <w:keepNext/>
              <w:keepLines/>
              <w:jc w:val="both"/>
              <w:rPr>
                <w:rFonts w:ascii="Garamond" w:hAnsi="Garamond"/>
                <w:sz w:val="22"/>
                <w:szCs w:val="22"/>
                <w:highlight w:val="red"/>
              </w:rPr>
            </w:pPr>
            <w:r>
              <w:rPr>
                <w:rFonts w:ascii="Garamond" w:hAnsi="Garamond"/>
                <w:b/>
                <w:sz w:val="22"/>
                <w:szCs w:val="22"/>
              </w:rPr>
              <w:t>Artykuł 9. Właściwi ministrowie</w:t>
            </w:r>
          </w:p>
        </w:tc>
      </w:tr>
      <w:tr w:rsidR="00C74C42" w:rsidRPr="00B009F8" w:rsidTr="00276E85">
        <w:tc>
          <w:tcPr>
            <w:tcW w:w="10206" w:type="dxa"/>
          </w:tcPr>
          <w:p w:rsidR="00C74C42" w:rsidRPr="00B009F8" w:rsidRDefault="00C74C42" w:rsidP="00A47389">
            <w:pPr>
              <w:jc w:val="both"/>
              <w:rPr>
                <w:rFonts w:ascii="Garamond" w:hAnsi="Garamond"/>
                <w:sz w:val="22"/>
                <w:szCs w:val="22"/>
                <w:highlight w:val="red"/>
              </w:rPr>
            </w:pPr>
            <w:r>
              <w:rPr>
                <w:rFonts w:ascii="Garamond" w:hAnsi="Garamond"/>
                <w:sz w:val="22"/>
                <w:szCs w:val="22"/>
              </w:rPr>
              <w:t>Minister właściwy do spraw zdrowia publicznego i minister właściwy do spraw rolnictwa są odpowiedzialni, w zakresie swojej właściwości, za wdrożenie niniejszego dekretu.</w:t>
            </w:r>
          </w:p>
        </w:tc>
      </w:tr>
      <w:tr w:rsidR="00C74C42" w:rsidRPr="00B009F8" w:rsidTr="00276E85">
        <w:tc>
          <w:tcPr>
            <w:tcW w:w="10206" w:type="dxa"/>
          </w:tcPr>
          <w:p w:rsidR="00C74C42" w:rsidRPr="00B009F8" w:rsidRDefault="00C74C42" w:rsidP="00276E85">
            <w:pPr>
              <w:jc w:val="both"/>
              <w:rPr>
                <w:rFonts w:ascii="Garamond" w:hAnsi="Garamond"/>
                <w:sz w:val="22"/>
                <w:szCs w:val="22"/>
                <w:highlight w:val="red"/>
                <w:lang w:val="nl-NL"/>
              </w:rPr>
            </w:pPr>
          </w:p>
        </w:tc>
      </w:tr>
      <w:tr w:rsidR="00C74C42" w:rsidRPr="00B009F8" w:rsidTr="00276E85">
        <w:tc>
          <w:tcPr>
            <w:tcW w:w="10206" w:type="dxa"/>
          </w:tcPr>
          <w:p w:rsidR="00C74C42" w:rsidRPr="00B009F8" w:rsidRDefault="00C74C42" w:rsidP="00276E85">
            <w:pPr>
              <w:jc w:val="both"/>
              <w:rPr>
                <w:rFonts w:ascii="Garamond" w:hAnsi="Garamond"/>
                <w:sz w:val="22"/>
                <w:szCs w:val="22"/>
              </w:rPr>
            </w:pPr>
            <w:bookmarkStart w:id="0" w:name="_GoBack"/>
            <w:r>
              <w:rPr>
                <w:rFonts w:ascii="Garamond" w:hAnsi="Garamond"/>
                <w:sz w:val="22"/>
                <w:szCs w:val="22"/>
              </w:rPr>
              <w:t xml:space="preserve">  </w:t>
            </w:r>
            <w:bookmarkEnd w:id="0"/>
            <w:r>
              <w:rPr>
                <w:rFonts w:ascii="Garamond" w:hAnsi="Garamond"/>
                <w:sz w:val="22"/>
                <w:szCs w:val="22"/>
              </w:rPr>
              <w:t xml:space="preserve">                              ,                              .</w:t>
            </w:r>
          </w:p>
        </w:tc>
      </w:tr>
      <w:tr w:rsidR="00C74C42" w:rsidRPr="00B009F8" w:rsidTr="00276E85">
        <w:tc>
          <w:tcPr>
            <w:tcW w:w="10206" w:type="dxa"/>
          </w:tcPr>
          <w:p w:rsidR="00C74C42" w:rsidRPr="00B009F8" w:rsidRDefault="00C74C42" w:rsidP="00276E85">
            <w:pPr>
              <w:jc w:val="both"/>
              <w:rPr>
                <w:rFonts w:ascii="Garamond" w:hAnsi="Garamond"/>
                <w:sz w:val="22"/>
                <w:szCs w:val="22"/>
                <w:lang w:val="nl-NL"/>
              </w:rPr>
            </w:pPr>
          </w:p>
        </w:tc>
      </w:tr>
      <w:tr w:rsidR="00C74C42" w:rsidRPr="00B009F8" w:rsidTr="00276E85">
        <w:tc>
          <w:tcPr>
            <w:tcW w:w="10206" w:type="dxa"/>
          </w:tcPr>
          <w:p w:rsidR="00C74C42" w:rsidRPr="00B009F8" w:rsidRDefault="00C74C42" w:rsidP="00276E85">
            <w:pPr>
              <w:jc w:val="center"/>
              <w:rPr>
                <w:rFonts w:ascii="Garamond" w:hAnsi="Garamond"/>
                <w:sz w:val="22"/>
                <w:szCs w:val="22"/>
              </w:rPr>
            </w:pPr>
            <w:r>
              <w:rPr>
                <w:rFonts w:ascii="Garamond" w:hAnsi="Garamond"/>
                <w:sz w:val="22"/>
                <w:szCs w:val="22"/>
              </w:rPr>
              <w:t>W imieniu Króla:</w:t>
            </w:r>
          </w:p>
        </w:tc>
      </w:tr>
      <w:tr w:rsidR="00C74C42" w:rsidRPr="00B009F8" w:rsidTr="00276E85">
        <w:tc>
          <w:tcPr>
            <w:tcW w:w="10206" w:type="dxa"/>
          </w:tcPr>
          <w:p w:rsidR="00C74C42" w:rsidRPr="00B009F8" w:rsidRDefault="00C74C42" w:rsidP="00276E85">
            <w:pPr>
              <w:jc w:val="both"/>
              <w:rPr>
                <w:rFonts w:ascii="Garamond" w:hAnsi="Garamond"/>
                <w:sz w:val="22"/>
                <w:szCs w:val="22"/>
                <w:lang w:val="nl-NL"/>
              </w:rPr>
            </w:pPr>
          </w:p>
        </w:tc>
      </w:tr>
      <w:tr w:rsidR="00C74C42" w:rsidRPr="00B009F8" w:rsidTr="00276E85">
        <w:tc>
          <w:tcPr>
            <w:tcW w:w="10206" w:type="dxa"/>
          </w:tcPr>
          <w:p w:rsidR="00C74C42" w:rsidRPr="00B009F8" w:rsidRDefault="00C74C42" w:rsidP="00276E85">
            <w:pPr>
              <w:jc w:val="center"/>
              <w:rPr>
                <w:rFonts w:ascii="Garamond" w:hAnsi="Garamond"/>
                <w:sz w:val="22"/>
                <w:szCs w:val="22"/>
              </w:rPr>
            </w:pPr>
            <w:r>
              <w:rPr>
                <w:rFonts w:ascii="Garamond" w:hAnsi="Garamond"/>
                <w:sz w:val="22"/>
                <w:szCs w:val="22"/>
              </w:rPr>
              <w:t>Minister Zdrowia Publicznego,</w:t>
            </w:r>
          </w:p>
        </w:tc>
      </w:tr>
      <w:tr w:rsidR="00C74C42" w:rsidRPr="00B009F8" w:rsidTr="00276E85">
        <w:tc>
          <w:tcPr>
            <w:tcW w:w="10206" w:type="dxa"/>
          </w:tcPr>
          <w:p w:rsidR="00C74C42" w:rsidRPr="00B009F8" w:rsidRDefault="00C74C42" w:rsidP="00276E85">
            <w:pPr>
              <w:jc w:val="center"/>
              <w:rPr>
                <w:rFonts w:ascii="Garamond" w:hAnsi="Garamond"/>
                <w:sz w:val="22"/>
                <w:szCs w:val="22"/>
                <w:lang w:val="nl-NL"/>
              </w:rPr>
            </w:pPr>
          </w:p>
        </w:tc>
      </w:tr>
      <w:tr w:rsidR="00C74C42" w:rsidRPr="00B009F8" w:rsidTr="00276E85">
        <w:tc>
          <w:tcPr>
            <w:tcW w:w="10206" w:type="dxa"/>
          </w:tcPr>
          <w:p w:rsidR="00C74C42" w:rsidRPr="00B009F8" w:rsidRDefault="00C74C42" w:rsidP="00276E85">
            <w:pPr>
              <w:jc w:val="center"/>
              <w:rPr>
                <w:rFonts w:ascii="Garamond" w:hAnsi="Garamond"/>
                <w:sz w:val="22"/>
                <w:szCs w:val="22"/>
              </w:rPr>
            </w:pPr>
            <w:r>
              <w:rPr>
                <w:rFonts w:ascii="Garamond" w:hAnsi="Garamond"/>
                <w:sz w:val="22"/>
                <w:szCs w:val="22"/>
              </w:rPr>
              <w:t>M. DE BLOCK</w:t>
            </w:r>
          </w:p>
        </w:tc>
      </w:tr>
      <w:tr w:rsidR="00C74C42" w:rsidRPr="00B009F8" w:rsidTr="00276E85">
        <w:tc>
          <w:tcPr>
            <w:tcW w:w="10206" w:type="dxa"/>
          </w:tcPr>
          <w:p w:rsidR="00C74C42" w:rsidRPr="00B009F8" w:rsidRDefault="00C74C42" w:rsidP="00276E85">
            <w:pPr>
              <w:jc w:val="center"/>
              <w:rPr>
                <w:rFonts w:ascii="Garamond" w:hAnsi="Garamond"/>
                <w:sz w:val="22"/>
                <w:szCs w:val="22"/>
                <w:lang w:val="nl-NL"/>
              </w:rPr>
            </w:pPr>
          </w:p>
        </w:tc>
      </w:tr>
      <w:tr w:rsidR="00C74C42" w:rsidRPr="00B009F8" w:rsidTr="00276E85">
        <w:tc>
          <w:tcPr>
            <w:tcW w:w="10206" w:type="dxa"/>
          </w:tcPr>
          <w:p w:rsidR="00C74C42" w:rsidRPr="00B009F8" w:rsidRDefault="00C74C42" w:rsidP="00276E85">
            <w:pPr>
              <w:jc w:val="center"/>
              <w:rPr>
                <w:rFonts w:ascii="Garamond" w:hAnsi="Garamond"/>
                <w:sz w:val="22"/>
                <w:szCs w:val="22"/>
              </w:rPr>
            </w:pPr>
            <w:r>
              <w:rPr>
                <w:rFonts w:ascii="Garamond" w:hAnsi="Garamond"/>
                <w:sz w:val="22"/>
                <w:szCs w:val="22"/>
              </w:rPr>
              <w:t>Minister Rolnictwa,</w:t>
            </w:r>
          </w:p>
        </w:tc>
      </w:tr>
      <w:tr w:rsidR="00C74C42" w:rsidRPr="00B009F8" w:rsidTr="00276E85">
        <w:tc>
          <w:tcPr>
            <w:tcW w:w="10206" w:type="dxa"/>
          </w:tcPr>
          <w:p w:rsidR="00C74C42" w:rsidRPr="00B009F8" w:rsidRDefault="00C74C42" w:rsidP="00276E85">
            <w:pPr>
              <w:jc w:val="center"/>
              <w:rPr>
                <w:rFonts w:ascii="Garamond" w:hAnsi="Garamond"/>
                <w:sz w:val="22"/>
                <w:szCs w:val="22"/>
                <w:lang w:val="nl-NL"/>
              </w:rPr>
            </w:pPr>
          </w:p>
        </w:tc>
      </w:tr>
      <w:tr w:rsidR="00C74C42" w:rsidRPr="00B009F8" w:rsidTr="00276E85">
        <w:tc>
          <w:tcPr>
            <w:tcW w:w="10206" w:type="dxa"/>
          </w:tcPr>
          <w:p w:rsidR="00C74C42" w:rsidRPr="00B009F8" w:rsidRDefault="00C74C42" w:rsidP="00276E85">
            <w:pPr>
              <w:jc w:val="center"/>
              <w:rPr>
                <w:rFonts w:ascii="Garamond" w:hAnsi="Garamond"/>
                <w:sz w:val="22"/>
                <w:szCs w:val="22"/>
              </w:rPr>
            </w:pPr>
            <w:r>
              <w:rPr>
                <w:rFonts w:ascii="Garamond" w:hAnsi="Garamond"/>
                <w:sz w:val="22"/>
                <w:szCs w:val="22"/>
              </w:rPr>
              <w:t>D. DUCARME</w:t>
            </w:r>
          </w:p>
        </w:tc>
      </w:tr>
      <w:tr w:rsidR="00C74C42" w:rsidRPr="00B009F8" w:rsidTr="00276E85">
        <w:tc>
          <w:tcPr>
            <w:tcW w:w="10206" w:type="dxa"/>
          </w:tcPr>
          <w:p w:rsidR="00C74C42" w:rsidRPr="00B009F8" w:rsidRDefault="00C74C42" w:rsidP="00276E85">
            <w:pPr>
              <w:jc w:val="center"/>
              <w:rPr>
                <w:rFonts w:ascii="Garamond" w:hAnsi="Garamond"/>
                <w:sz w:val="22"/>
                <w:szCs w:val="22"/>
                <w:lang w:val="nl-NL"/>
              </w:rPr>
            </w:pPr>
          </w:p>
        </w:tc>
      </w:tr>
      <w:tr w:rsidR="00C74C42" w:rsidRPr="00B009F8" w:rsidTr="00276E85">
        <w:tc>
          <w:tcPr>
            <w:tcW w:w="10206" w:type="dxa"/>
          </w:tcPr>
          <w:p w:rsidR="00C74C42" w:rsidRPr="00B009F8" w:rsidRDefault="00C74C42" w:rsidP="00276E85">
            <w:pPr>
              <w:jc w:val="center"/>
              <w:rPr>
                <w:rFonts w:ascii="Garamond" w:hAnsi="Garamond"/>
                <w:sz w:val="22"/>
                <w:szCs w:val="22"/>
                <w:lang w:val="nl-NL"/>
              </w:rPr>
            </w:pPr>
          </w:p>
        </w:tc>
      </w:tr>
      <w:tr w:rsidR="00C74C42" w:rsidRPr="00B009F8" w:rsidTr="00276E85">
        <w:tc>
          <w:tcPr>
            <w:tcW w:w="10206" w:type="dxa"/>
          </w:tcPr>
          <w:p w:rsidR="00C74C42" w:rsidRPr="00B009F8" w:rsidRDefault="00C74C42" w:rsidP="00276E85">
            <w:pPr>
              <w:jc w:val="center"/>
              <w:rPr>
                <w:rFonts w:ascii="Garamond" w:hAnsi="Garamond"/>
                <w:sz w:val="22"/>
                <w:szCs w:val="22"/>
                <w:lang w:val="nl-NL"/>
              </w:rPr>
            </w:pPr>
          </w:p>
        </w:tc>
      </w:tr>
      <w:tr w:rsidR="00C74C42" w:rsidRPr="00B009F8" w:rsidTr="00276E85">
        <w:tc>
          <w:tcPr>
            <w:tcW w:w="10206" w:type="dxa"/>
          </w:tcPr>
          <w:p w:rsidR="00C74C42" w:rsidRPr="00B009F8" w:rsidRDefault="00C74C42" w:rsidP="00276E85">
            <w:pPr>
              <w:jc w:val="center"/>
              <w:rPr>
                <w:rFonts w:ascii="Garamond" w:hAnsi="Garamond"/>
                <w:sz w:val="22"/>
                <w:szCs w:val="22"/>
                <w:lang w:val="nl-NL"/>
              </w:rPr>
            </w:pPr>
          </w:p>
        </w:tc>
      </w:tr>
      <w:tr w:rsidR="00C74C42" w:rsidRPr="00B009F8" w:rsidTr="00276E85">
        <w:tc>
          <w:tcPr>
            <w:tcW w:w="10206" w:type="dxa"/>
          </w:tcPr>
          <w:p w:rsidR="00C74C42" w:rsidRPr="00B009F8" w:rsidRDefault="00C74C42" w:rsidP="00276E85">
            <w:pPr>
              <w:jc w:val="center"/>
              <w:rPr>
                <w:rFonts w:ascii="Garamond" w:hAnsi="Garamond"/>
                <w:sz w:val="22"/>
                <w:szCs w:val="22"/>
                <w:lang w:val="nl-NL"/>
              </w:rPr>
            </w:pPr>
          </w:p>
        </w:tc>
      </w:tr>
      <w:tr w:rsidR="00C74C42" w:rsidRPr="00B009F8" w:rsidTr="00276E85">
        <w:tc>
          <w:tcPr>
            <w:tcW w:w="10206" w:type="dxa"/>
          </w:tcPr>
          <w:p w:rsidR="00C74C42" w:rsidRPr="00B009F8" w:rsidRDefault="00C74C42" w:rsidP="00276E85">
            <w:pPr>
              <w:jc w:val="center"/>
              <w:rPr>
                <w:rFonts w:ascii="Garamond" w:hAnsi="Garamond"/>
                <w:sz w:val="22"/>
                <w:szCs w:val="22"/>
                <w:lang w:val="nl-NL"/>
              </w:rPr>
            </w:pPr>
          </w:p>
        </w:tc>
      </w:tr>
    </w:tbl>
    <w:p w:rsidR="00C74C42" w:rsidRPr="00B009F8" w:rsidRDefault="00C74C42" w:rsidP="00F85383">
      <w:pPr>
        <w:pStyle w:val="Heading3"/>
        <w:keepLines/>
        <w:autoSpaceDE w:val="0"/>
        <w:autoSpaceDN w:val="0"/>
        <w:adjustRightInd w:val="0"/>
        <w:rPr>
          <w:rFonts w:ascii="Garamond" w:hAnsi="Garamond"/>
          <w:sz w:val="22"/>
          <w:szCs w:val="22"/>
        </w:rPr>
      </w:pPr>
      <w:r>
        <w:rPr>
          <w:rFonts w:ascii="Garamond" w:hAnsi="Garamond"/>
          <w:sz w:val="22"/>
          <w:szCs w:val="22"/>
        </w:rPr>
        <w:t>ZAŁĄCZNIK do dekretu królewskiego w sprawie materiałów i wyrobów metalowych oraz stopów przeznaczonych do kontaktu z żywnością</w:t>
      </w:r>
    </w:p>
    <w:p w:rsidR="00C74C42" w:rsidRPr="00993C7F" w:rsidRDefault="00C74C42" w:rsidP="00F85383">
      <w:pPr>
        <w:keepNext/>
        <w:keepLines/>
        <w:autoSpaceDE w:val="0"/>
        <w:autoSpaceDN w:val="0"/>
        <w:adjustRightInd w:val="0"/>
        <w:rPr>
          <w:rFonts w:ascii="Garamond" w:hAnsi="Garamond"/>
          <w:bCs/>
          <w:smallCaps/>
          <w:sz w:val="22"/>
          <w:szCs w:val="22"/>
          <w:lang w:eastAsia="fr-FR"/>
        </w:rPr>
      </w:pPr>
    </w:p>
    <w:p w:rsidR="00C74C42" w:rsidRPr="00617213" w:rsidRDefault="00C74C42" w:rsidP="00A47389">
      <w:pPr>
        <w:pStyle w:val="BodyText"/>
        <w:keepNext/>
        <w:keepLines/>
        <w:autoSpaceDE/>
        <w:autoSpaceDN/>
        <w:adjustRightInd/>
        <w:jc w:val="both"/>
        <w:rPr>
          <w:rFonts w:ascii="Garamond" w:hAnsi="Garamond"/>
          <w:bCs/>
          <w:smallCaps/>
          <w:sz w:val="22"/>
          <w:szCs w:val="22"/>
        </w:rPr>
      </w:pPr>
      <w:r>
        <w:rPr>
          <w:rFonts w:ascii="Garamond" w:hAnsi="Garamond"/>
          <w:bCs/>
          <w:smallCaps/>
          <w:sz w:val="22"/>
          <w:szCs w:val="22"/>
        </w:rPr>
        <w:t>Rozdział 1: Limit szczególnego uwalniania</w:t>
      </w:r>
    </w:p>
    <w:p w:rsidR="00C74C42" w:rsidRPr="00993C7F" w:rsidRDefault="00C74C42" w:rsidP="00A47389">
      <w:pPr>
        <w:pStyle w:val="BodyText"/>
        <w:keepNext/>
        <w:keepLines/>
        <w:autoSpaceDE/>
        <w:autoSpaceDN/>
        <w:adjustRightInd/>
        <w:jc w:val="both"/>
        <w:rPr>
          <w:rFonts w:ascii="Garamond" w:hAnsi="Garamond"/>
          <w:smallCaps/>
          <w:sz w:val="22"/>
          <w:szCs w:val="22"/>
        </w:rPr>
      </w:pPr>
    </w:p>
    <w:p w:rsidR="00C74C42" w:rsidRPr="00B009F8" w:rsidRDefault="00C74C42" w:rsidP="00A47389">
      <w:pPr>
        <w:pStyle w:val="BodyText"/>
        <w:keepNext/>
        <w:keepLines/>
        <w:autoSpaceDE/>
        <w:autoSpaceDN/>
        <w:adjustRightInd/>
        <w:jc w:val="both"/>
        <w:rPr>
          <w:rFonts w:ascii="Garamond" w:hAnsi="Garamond"/>
          <w:sz w:val="22"/>
          <w:szCs w:val="22"/>
        </w:rPr>
      </w:pPr>
      <w:r>
        <w:rPr>
          <w:rFonts w:ascii="Garamond" w:hAnsi="Garamond"/>
          <w:sz w:val="22"/>
          <w:szCs w:val="22"/>
        </w:rPr>
        <w:t>Tabela 1: Limit szczególnego uwalniania dla metali i składników stopów</w:t>
      </w:r>
    </w:p>
    <w:p w:rsidR="00C74C42" w:rsidRPr="00993C7F" w:rsidRDefault="00C74C42" w:rsidP="00F85383">
      <w:pPr>
        <w:pStyle w:val="BodyText"/>
        <w:keepNext/>
        <w:keepLines/>
        <w:autoSpaceDE/>
        <w:autoSpaceDN/>
        <w:adjustRightInd/>
        <w:rPr>
          <w:rFonts w:ascii="Garamond" w:hAnsi="Garamond"/>
          <w:sz w:val="22"/>
          <w:szCs w:val="22"/>
        </w:rPr>
      </w:pPr>
    </w:p>
    <w:tbl>
      <w:tblPr>
        <w:tblStyle w:val="TableGrid"/>
        <w:tblW w:w="0" w:type="auto"/>
        <w:tblLook w:val="04A0" w:firstRow="1" w:lastRow="0" w:firstColumn="1" w:lastColumn="0" w:noHBand="0" w:noVBand="1"/>
      </w:tblPr>
      <w:tblGrid>
        <w:gridCol w:w="3106"/>
        <w:gridCol w:w="3115"/>
        <w:gridCol w:w="3129"/>
      </w:tblGrid>
      <w:tr w:rsidR="00C74C42" w:rsidRPr="00B009F8" w:rsidTr="00F85383">
        <w:trPr>
          <w:cantSplit/>
        </w:trPr>
        <w:tc>
          <w:tcPr>
            <w:tcW w:w="3209" w:type="dxa"/>
          </w:tcPr>
          <w:p w:rsidR="00C74C42" w:rsidRPr="00B009F8" w:rsidRDefault="00C74C42" w:rsidP="00F85383">
            <w:pPr>
              <w:pStyle w:val="BodyText"/>
              <w:keepNext/>
              <w:keepLines/>
              <w:autoSpaceDE/>
              <w:autoSpaceDN/>
              <w:adjustRightInd/>
              <w:rPr>
                <w:rFonts w:ascii="Garamond" w:hAnsi="Garamond"/>
                <w:smallCaps/>
                <w:sz w:val="22"/>
                <w:szCs w:val="22"/>
              </w:rPr>
            </w:pPr>
            <w:r>
              <w:rPr>
                <w:rFonts w:ascii="Garamond" w:hAnsi="Garamond"/>
                <w:sz w:val="22"/>
                <w:szCs w:val="22"/>
              </w:rPr>
              <w:t>Symbol</w:t>
            </w:r>
          </w:p>
        </w:tc>
        <w:tc>
          <w:tcPr>
            <w:tcW w:w="3209" w:type="dxa"/>
          </w:tcPr>
          <w:p w:rsidR="00C74C42" w:rsidRPr="00B009F8" w:rsidRDefault="00C74C42" w:rsidP="00F85383">
            <w:pPr>
              <w:pStyle w:val="BodyText"/>
              <w:keepNext/>
              <w:keepLines/>
              <w:autoSpaceDE/>
              <w:autoSpaceDN/>
              <w:adjustRightInd/>
              <w:rPr>
                <w:rFonts w:ascii="Garamond" w:hAnsi="Garamond"/>
                <w:smallCaps/>
                <w:sz w:val="22"/>
                <w:szCs w:val="22"/>
              </w:rPr>
            </w:pPr>
            <w:r>
              <w:rPr>
                <w:rFonts w:ascii="Garamond" w:hAnsi="Garamond"/>
                <w:sz w:val="22"/>
                <w:szCs w:val="22"/>
              </w:rPr>
              <w:t>Nazwa</w:t>
            </w:r>
          </w:p>
        </w:tc>
        <w:tc>
          <w:tcPr>
            <w:tcW w:w="3210" w:type="dxa"/>
          </w:tcPr>
          <w:p w:rsidR="00C74C42" w:rsidRPr="00B009F8" w:rsidRDefault="00C74C42" w:rsidP="00F85383">
            <w:pPr>
              <w:pStyle w:val="BodyText"/>
              <w:keepNext/>
              <w:keepLines/>
              <w:autoSpaceDE/>
              <w:autoSpaceDN/>
              <w:adjustRightInd/>
              <w:rPr>
                <w:rFonts w:ascii="Garamond" w:hAnsi="Garamond"/>
                <w:smallCaps/>
                <w:sz w:val="22"/>
                <w:szCs w:val="22"/>
              </w:rPr>
            </w:pPr>
            <w:r>
              <w:rPr>
                <w:rFonts w:ascii="Garamond" w:hAnsi="Garamond"/>
                <w:sz w:val="22"/>
                <w:szCs w:val="22"/>
              </w:rPr>
              <w:t>Limit szczególnego uwalniania (mg/kg żywności)</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Al</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Glin</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5</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Sb</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Antymon</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0,04</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Ag</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Srebro</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0,08</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Cr</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Chrom</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0,250</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Co</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Kobalt</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0,02</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Cu</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Miedź</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4</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Sn*</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Cyna</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100</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Fe</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Żelazo</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40</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Mg</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Magnez</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Mn</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Mangan</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1,8</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Mo</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Molibden</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0,12</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Ni</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Nikiel</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0,14</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Ti</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Tytan</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V</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Wanad</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0,01</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Zn</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Cynk</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5</w:t>
            </w:r>
          </w:p>
        </w:tc>
      </w:tr>
    </w:tbl>
    <w:p w:rsidR="00C74C42" w:rsidRPr="00B009F8" w:rsidRDefault="00C74C42" w:rsidP="00A47389">
      <w:pPr>
        <w:pStyle w:val="BodyText"/>
        <w:autoSpaceDE/>
        <w:autoSpaceDN/>
        <w:adjustRightInd/>
        <w:jc w:val="both"/>
        <w:rPr>
          <w:rFonts w:ascii="Garamond" w:hAnsi="Garamond"/>
          <w:sz w:val="22"/>
          <w:szCs w:val="22"/>
        </w:rPr>
      </w:pPr>
      <w:r>
        <w:rPr>
          <w:rFonts w:ascii="Garamond" w:hAnsi="Garamond"/>
          <w:sz w:val="22"/>
          <w:szCs w:val="22"/>
        </w:rPr>
        <w:t xml:space="preserve">* Z wyjątkiem zakresu zastosowania rozporządzenia (UE) nr 1881/2006 </w:t>
      </w:r>
    </w:p>
    <w:p w:rsidR="00C74C42" w:rsidRPr="00993C7F" w:rsidRDefault="00C74C42" w:rsidP="00A47389">
      <w:pPr>
        <w:jc w:val="both"/>
        <w:rPr>
          <w:rFonts w:ascii="Garamond" w:hAnsi="Garamond"/>
          <w:sz w:val="22"/>
          <w:szCs w:val="22"/>
        </w:rPr>
      </w:pPr>
    </w:p>
    <w:p w:rsidR="00C74C42" w:rsidRPr="00B009F8" w:rsidRDefault="00C74C42" w:rsidP="00A47389">
      <w:pPr>
        <w:pStyle w:val="BodyText"/>
        <w:keepNext/>
        <w:keepLines/>
        <w:autoSpaceDE/>
        <w:autoSpaceDN/>
        <w:adjustRightInd/>
        <w:jc w:val="both"/>
        <w:rPr>
          <w:rFonts w:ascii="Garamond" w:hAnsi="Garamond"/>
          <w:sz w:val="22"/>
          <w:szCs w:val="22"/>
        </w:rPr>
      </w:pPr>
      <w:r>
        <w:rPr>
          <w:rFonts w:ascii="Garamond" w:hAnsi="Garamond"/>
          <w:sz w:val="22"/>
          <w:szCs w:val="22"/>
        </w:rPr>
        <w:t>Tabela 2: Limit szczególnego uwalniania dla metali w formie zanieczyszczeń</w:t>
      </w:r>
    </w:p>
    <w:p w:rsidR="00C74C42" w:rsidRPr="00993C7F" w:rsidRDefault="00C74C42" w:rsidP="00F85383">
      <w:pPr>
        <w:pStyle w:val="BodyText"/>
        <w:keepNext/>
        <w:keepLines/>
        <w:autoSpaceDE/>
        <w:autoSpaceDN/>
        <w:adjustRightInd/>
        <w:rPr>
          <w:rFonts w:ascii="Garamond" w:hAnsi="Garamond"/>
          <w:sz w:val="22"/>
          <w:szCs w:val="22"/>
        </w:rPr>
      </w:pPr>
    </w:p>
    <w:tbl>
      <w:tblPr>
        <w:tblStyle w:val="TableGrid"/>
        <w:tblW w:w="0" w:type="auto"/>
        <w:tblLook w:val="04A0" w:firstRow="1" w:lastRow="0" w:firstColumn="1" w:lastColumn="0" w:noHBand="0" w:noVBand="1"/>
      </w:tblPr>
      <w:tblGrid>
        <w:gridCol w:w="3110"/>
        <w:gridCol w:w="3108"/>
        <w:gridCol w:w="3132"/>
      </w:tblGrid>
      <w:tr w:rsidR="00C74C42" w:rsidRPr="00B009F8" w:rsidTr="00F85383">
        <w:trPr>
          <w:cantSplit/>
        </w:trPr>
        <w:tc>
          <w:tcPr>
            <w:tcW w:w="3209" w:type="dxa"/>
          </w:tcPr>
          <w:p w:rsidR="00C74C42" w:rsidRPr="00B009F8" w:rsidRDefault="00C74C42" w:rsidP="00F85383">
            <w:pPr>
              <w:pStyle w:val="BodyText"/>
              <w:keepNext/>
              <w:keepLines/>
              <w:autoSpaceDE/>
              <w:autoSpaceDN/>
              <w:adjustRightInd/>
              <w:rPr>
                <w:rFonts w:ascii="Garamond" w:hAnsi="Garamond"/>
                <w:smallCaps/>
                <w:sz w:val="22"/>
                <w:szCs w:val="22"/>
              </w:rPr>
            </w:pPr>
            <w:r>
              <w:rPr>
                <w:rFonts w:ascii="Garamond" w:hAnsi="Garamond"/>
                <w:sz w:val="22"/>
                <w:szCs w:val="22"/>
              </w:rPr>
              <w:t>Symbol</w:t>
            </w:r>
          </w:p>
        </w:tc>
        <w:tc>
          <w:tcPr>
            <w:tcW w:w="3209" w:type="dxa"/>
          </w:tcPr>
          <w:p w:rsidR="00C74C42" w:rsidRPr="00B009F8" w:rsidRDefault="00C74C42" w:rsidP="00F85383">
            <w:pPr>
              <w:pStyle w:val="BodyText"/>
              <w:keepNext/>
              <w:keepLines/>
              <w:autoSpaceDE/>
              <w:autoSpaceDN/>
              <w:adjustRightInd/>
              <w:rPr>
                <w:rFonts w:ascii="Garamond" w:hAnsi="Garamond"/>
                <w:smallCaps/>
                <w:sz w:val="22"/>
                <w:szCs w:val="22"/>
              </w:rPr>
            </w:pPr>
            <w:r>
              <w:rPr>
                <w:rFonts w:ascii="Garamond" w:hAnsi="Garamond"/>
                <w:sz w:val="22"/>
                <w:szCs w:val="22"/>
              </w:rPr>
              <w:t>Nazwa</w:t>
            </w:r>
          </w:p>
        </w:tc>
        <w:tc>
          <w:tcPr>
            <w:tcW w:w="3210" w:type="dxa"/>
          </w:tcPr>
          <w:p w:rsidR="00C74C42" w:rsidRPr="00B009F8" w:rsidRDefault="00C74C42" w:rsidP="00F85383">
            <w:pPr>
              <w:pStyle w:val="BodyText"/>
              <w:keepNext/>
              <w:keepLines/>
              <w:autoSpaceDE/>
              <w:autoSpaceDN/>
              <w:adjustRightInd/>
              <w:rPr>
                <w:rFonts w:ascii="Garamond" w:hAnsi="Garamond"/>
                <w:smallCaps/>
                <w:sz w:val="22"/>
                <w:szCs w:val="22"/>
              </w:rPr>
            </w:pPr>
            <w:r>
              <w:rPr>
                <w:rFonts w:ascii="Garamond" w:hAnsi="Garamond"/>
                <w:sz w:val="22"/>
                <w:szCs w:val="22"/>
              </w:rPr>
              <w:t>Limit szczególnego uwalniania (mg/kg żywności)</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As</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Arsen</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0,002</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Ba</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Bar</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1,2</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Be</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Beryl</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0,01</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Cd</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 xml:space="preserve">Kadm </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0,005</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Li</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Lit</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0,048</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Hg</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Rtęć</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0,003</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Pb</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Ołów</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0,010</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Tl</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Tal</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szCs w:val="22"/>
              </w:rPr>
              <w:t>0,0001</w:t>
            </w:r>
          </w:p>
        </w:tc>
      </w:tr>
    </w:tbl>
    <w:p w:rsidR="00C74C42" w:rsidRPr="00B009F8" w:rsidRDefault="00C74C42" w:rsidP="00276E85">
      <w:pPr>
        <w:pStyle w:val="BodyText"/>
        <w:autoSpaceDE/>
        <w:autoSpaceDN/>
        <w:adjustRightInd/>
        <w:rPr>
          <w:rFonts w:ascii="Garamond" w:hAnsi="Garamond"/>
          <w:sz w:val="22"/>
          <w:szCs w:val="22"/>
          <w:lang w:val="nl-NL"/>
        </w:rPr>
      </w:pPr>
    </w:p>
    <w:p w:rsidR="00C74C42" w:rsidRPr="00B009F8" w:rsidRDefault="00C74C42" w:rsidP="00276E85">
      <w:pPr>
        <w:pStyle w:val="BodyText"/>
        <w:autoSpaceDE/>
        <w:autoSpaceDN/>
        <w:adjustRightInd/>
        <w:rPr>
          <w:rFonts w:ascii="Garamond" w:hAnsi="Garamond"/>
          <w:sz w:val="22"/>
          <w:szCs w:val="22"/>
          <w:lang w:val="nl-NL"/>
        </w:rPr>
      </w:pPr>
    </w:p>
    <w:p w:rsidR="00C74C42" w:rsidRPr="00B009F8" w:rsidRDefault="00C74C42" w:rsidP="00A47389">
      <w:pPr>
        <w:keepNext/>
        <w:keepLines/>
        <w:jc w:val="both"/>
        <w:rPr>
          <w:rFonts w:ascii="Garamond" w:hAnsi="Garamond"/>
          <w:smallCaps/>
          <w:sz w:val="22"/>
          <w:szCs w:val="22"/>
        </w:rPr>
      </w:pPr>
      <w:r>
        <w:rPr>
          <w:rFonts w:ascii="Garamond" w:hAnsi="Garamond"/>
          <w:smallCaps/>
          <w:sz w:val="22"/>
          <w:szCs w:val="22"/>
        </w:rPr>
        <w:t>Rozdział 2: Informacje, które muszą zostać zawarte w deklaracji zgodności.</w:t>
      </w:r>
    </w:p>
    <w:p w:rsidR="00C74C42" w:rsidRPr="00993C7F" w:rsidRDefault="00C74C42" w:rsidP="00A47389">
      <w:pPr>
        <w:keepNext/>
        <w:keepLines/>
        <w:autoSpaceDE w:val="0"/>
        <w:autoSpaceDN w:val="0"/>
        <w:adjustRightInd w:val="0"/>
        <w:jc w:val="both"/>
        <w:rPr>
          <w:rFonts w:ascii="Garamond" w:hAnsi="Garamond"/>
          <w:sz w:val="22"/>
          <w:szCs w:val="22"/>
        </w:rPr>
      </w:pPr>
    </w:p>
    <w:p w:rsidR="00C74C42" w:rsidRPr="00B009F8" w:rsidRDefault="00C74C42" w:rsidP="00A47389">
      <w:pPr>
        <w:keepNext/>
        <w:keepLines/>
        <w:autoSpaceDE w:val="0"/>
        <w:autoSpaceDN w:val="0"/>
        <w:adjustRightInd w:val="0"/>
        <w:jc w:val="both"/>
        <w:rPr>
          <w:rFonts w:ascii="Garamond" w:hAnsi="Garamond"/>
          <w:sz w:val="22"/>
          <w:szCs w:val="22"/>
        </w:rPr>
      </w:pPr>
      <w:r>
        <w:rPr>
          <w:rFonts w:ascii="Garamond" w:hAnsi="Garamond"/>
          <w:sz w:val="22"/>
          <w:szCs w:val="22"/>
        </w:rPr>
        <w:t>Pisemna deklaracja, o której mowa w art. 6 ust. 1, powinna zawierać następujące informacje:</w:t>
      </w:r>
    </w:p>
    <w:p w:rsidR="00C74C42" w:rsidRPr="00993C7F" w:rsidRDefault="00C74C42" w:rsidP="00A47389">
      <w:pPr>
        <w:keepNext/>
        <w:keepLines/>
        <w:autoSpaceDE w:val="0"/>
        <w:autoSpaceDN w:val="0"/>
        <w:adjustRightInd w:val="0"/>
        <w:jc w:val="both"/>
        <w:rPr>
          <w:rFonts w:ascii="Garamond" w:hAnsi="Garamond"/>
          <w:sz w:val="22"/>
          <w:szCs w:val="22"/>
          <w:highlight w:val="yellow"/>
        </w:rPr>
      </w:pPr>
    </w:p>
    <w:p w:rsidR="00C74C42" w:rsidRPr="00B009F8" w:rsidRDefault="00C74C42" w:rsidP="00A47389">
      <w:pPr>
        <w:numPr>
          <w:ilvl w:val="0"/>
          <w:numId w:val="4"/>
        </w:numPr>
        <w:jc w:val="both"/>
        <w:rPr>
          <w:rFonts w:ascii="Garamond" w:hAnsi="Garamond"/>
          <w:sz w:val="22"/>
          <w:szCs w:val="22"/>
        </w:rPr>
      </w:pPr>
      <w:r>
        <w:rPr>
          <w:rFonts w:ascii="Garamond" w:hAnsi="Garamond"/>
          <w:sz w:val="22"/>
          <w:szCs w:val="22"/>
        </w:rPr>
        <w:t>pełną nazwę i adres podmiotu gospodarczego produkującego lub importującego materiały i wyroby, bądź substancje przeznaczone do produkcji tych materiałów i wyrobów;</w:t>
      </w:r>
    </w:p>
    <w:p w:rsidR="00C74C42" w:rsidRPr="00B009F8" w:rsidRDefault="00C74C42" w:rsidP="00A47389">
      <w:pPr>
        <w:numPr>
          <w:ilvl w:val="0"/>
          <w:numId w:val="4"/>
        </w:numPr>
        <w:jc w:val="both"/>
        <w:rPr>
          <w:rFonts w:ascii="Garamond" w:hAnsi="Garamond"/>
          <w:sz w:val="22"/>
          <w:szCs w:val="22"/>
        </w:rPr>
      </w:pPr>
      <w:r>
        <w:rPr>
          <w:rFonts w:ascii="Garamond" w:hAnsi="Garamond"/>
          <w:sz w:val="22"/>
          <w:szCs w:val="22"/>
        </w:rPr>
        <w:t>pełną nazwę użytych metali i stopów przeznaczonych do produkcji tych materiałów i wyrobów;</w:t>
      </w:r>
    </w:p>
    <w:p w:rsidR="00C74C42" w:rsidRPr="00B009F8" w:rsidRDefault="00C74C42" w:rsidP="00A47389">
      <w:pPr>
        <w:numPr>
          <w:ilvl w:val="0"/>
          <w:numId w:val="4"/>
        </w:numPr>
        <w:jc w:val="both"/>
        <w:rPr>
          <w:rFonts w:ascii="Garamond" w:hAnsi="Garamond"/>
          <w:sz w:val="22"/>
          <w:szCs w:val="22"/>
        </w:rPr>
      </w:pPr>
      <w:r>
        <w:rPr>
          <w:rFonts w:ascii="Garamond" w:hAnsi="Garamond"/>
          <w:sz w:val="22"/>
          <w:szCs w:val="22"/>
        </w:rPr>
        <w:t>datę deklaracji;</w:t>
      </w:r>
    </w:p>
    <w:p w:rsidR="00C74C42" w:rsidRPr="00B009F8" w:rsidRDefault="00C74C42" w:rsidP="00A47389">
      <w:pPr>
        <w:numPr>
          <w:ilvl w:val="0"/>
          <w:numId w:val="4"/>
        </w:numPr>
        <w:jc w:val="both"/>
        <w:rPr>
          <w:rFonts w:ascii="Garamond" w:hAnsi="Garamond"/>
          <w:sz w:val="22"/>
          <w:szCs w:val="22"/>
        </w:rPr>
      </w:pPr>
      <w:r>
        <w:rPr>
          <w:rFonts w:ascii="Garamond" w:hAnsi="Garamond"/>
          <w:sz w:val="22"/>
          <w:szCs w:val="22"/>
        </w:rPr>
        <w:t>potwierdzenie, że materiały i wyroby spełniają odpowiednie wymagania ustanowione w niniejszym dekrecie i rozporządzeniu (WE) nr 1935/2004;</w:t>
      </w:r>
    </w:p>
    <w:p w:rsidR="00C74C42" w:rsidRPr="00B009F8" w:rsidRDefault="00C74C42" w:rsidP="00A47389">
      <w:pPr>
        <w:numPr>
          <w:ilvl w:val="0"/>
          <w:numId w:val="4"/>
        </w:numPr>
        <w:jc w:val="both"/>
        <w:rPr>
          <w:rFonts w:ascii="Garamond" w:hAnsi="Garamond"/>
          <w:sz w:val="22"/>
          <w:szCs w:val="22"/>
        </w:rPr>
      </w:pPr>
      <w:r>
        <w:rPr>
          <w:rFonts w:ascii="Garamond" w:hAnsi="Garamond"/>
          <w:sz w:val="22"/>
          <w:szCs w:val="22"/>
        </w:rPr>
        <w:t>odpowiednie informacje dotyczące wykorzystywanych metali, do których odnoszą się ograniczenia lub specyfikacje obowiązujące zgodnie z niniejszym dekretem, co umożliwi dostawcom zapewnienie zgodności z tymi ograniczeniami;</w:t>
      </w:r>
    </w:p>
    <w:p w:rsidR="00C74C42" w:rsidRPr="00B009F8" w:rsidRDefault="00C74C42" w:rsidP="00A47389">
      <w:pPr>
        <w:numPr>
          <w:ilvl w:val="0"/>
          <w:numId w:val="4"/>
        </w:numPr>
        <w:jc w:val="both"/>
        <w:rPr>
          <w:rFonts w:ascii="Garamond" w:hAnsi="Garamond"/>
          <w:sz w:val="22"/>
          <w:szCs w:val="22"/>
        </w:rPr>
      </w:pPr>
      <w:r>
        <w:rPr>
          <w:rFonts w:ascii="Garamond" w:hAnsi="Garamond"/>
          <w:sz w:val="22"/>
          <w:szCs w:val="22"/>
        </w:rPr>
        <w:t>odpowiednie informacje dotyczące metali podlegających ograniczeniom w żywności, uzyskane z danych doświadczalnych lub w drodze teoretycznych obliczeń dotyczących poziomu ich szczególnego uwalniania;</w:t>
      </w:r>
    </w:p>
    <w:p w:rsidR="00C74C42" w:rsidRPr="00B009F8" w:rsidRDefault="00C74C42" w:rsidP="00A47389">
      <w:pPr>
        <w:keepNext/>
        <w:keepLines/>
        <w:numPr>
          <w:ilvl w:val="0"/>
          <w:numId w:val="4"/>
        </w:numPr>
        <w:jc w:val="both"/>
        <w:rPr>
          <w:rFonts w:ascii="Garamond" w:hAnsi="Garamond"/>
          <w:sz w:val="22"/>
          <w:szCs w:val="22"/>
        </w:rPr>
      </w:pPr>
      <w:r>
        <w:rPr>
          <w:rFonts w:ascii="Garamond" w:hAnsi="Garamond"/>
          <w:sz w:val="22"/>
          <w:szCs w:val="22"/>
        </w:rPr>
        <w:t>specyfikacje dotyczące zastosowania materiału lub wyrobu, takie jak:</w:t>
      </w:r>
    </w:p>
    <w:p w:rsidR="00C74C42" w:rsidRPr="00B009F8" w:rsidRDefault="00C74C42" w:rsidP="00A47389">
      <w:pPr>
        <w:numPr>
          <w:ilvl w:val="1"/>
          <w:numId w:val="4"/>
        </w:numPr>
        <w:tabs>
          <w:tab w:val="clear" w:pos="1800"/>
          <w:tab w:val="num" w:pos="1440"/>
        </w:tabs>
        <w:jc w:val="both"/>
        <w:rPr>
          <w:rFonts w:ascii="Garamond" w:hAnsi="Garamond"/>
          <w:sz w:val="22"/>
          <w:szCs w:val="22"/>
        </w:rPr>
      </w:pPr>
      <w:r>
        <w:rPr>
          <w:rFonts w:ascii="Garamond" w:hAnsi="Garamond"/>
          <w:sz w:val="22"/>
          <w:szCs w:val="22"/>
        </w:rPr>
        <w:t>rodzaj lub rodzaje żywności, z jaką ma mieć kontakt dany materiał lub wyrób;</w:t>
      </w:r>
    </w:p>
    <w:p w:rsidR="00C74C42" w:rsidRPr="00B009F8" w:rsidRDefault="00C74C42" w:rsidP="00A47389">
      <w:pPr>
        <w:numPr>
          <w:ilvl w:val="1"/>
          <w:numId w:val="4"/>
        </w:numPr>
        <w:tabs>
          <w:tab w:val="clear" w:pos="1800"/>
          <w:tab w:val="num" w:pos="1440"/>
        </w:tabs>
        <w:jc w:val="both"/>
        <w:rPr>
          <w:rFonts w:ascii="Garamond" w:hAnsi="Garamond"/>
          <w:sz w:val="22"/>
          <w:szCs w:val="22"/>
        </w:rPr>
      </w:pPr>
      <w:r>
        <w:rPr>
          <w:rFonts w:ascii="Garamond" w:hAnsi="Garamond"/>
          <w:sz w:val="22"/>
          <w:szCs w:val="22"/>
        </w:rPr>
        <w:t>czas i temperatura obróbki i przechowywania w kontakcie z żywnością;</w:t>
      </w:r>
    </w:p>
    <w:p w:rsidR="00C74C42" w:rsidRPr="00B009F8" w:rsidRDefault="00C74C42" w:rsidP="00A47389">
      <w:pPr>
        <w:numPr>
          <w:ilvl w:val="1"/>
          <w:numId w:val="4"/>
        </w:numPr>
        <w:tabs>
          <w:tab w:val="clear" w:pos="1800"/>
          <w:tab w:val="num" w:pos="1440"/>
        </w:tabs>
        <w:jc w:val="both"/>
        <w:rPr>
          <w:rFonts w:ascii="Garamond" w:hAnsi="Garamond"/>
          <w:sz w:val="22"/>
          <w:szCs w:val="22"/>
        </w:rPr>
      </w:pPr>
      <w:r>
        <w:rPr>
          <w:rFonts w:ascii="Garamond" w:hAnsi="Garamond"/>
          <w:sz w:val="22"/>
          <w:szCs w:val="22"/>
        </w:rPr>
        <w:t>stosunek powierzchni kontaktu z żywnością do objętości, wykorzystywany do stwierdzenia zgodności materiału lub wyrobu.</w:t>
      </w:r>
    </w:p>
    <w:p w:rsidR="00C74C42" w:rsidRPr="00993C7F" w:rsidRDefault="00C74C42" w:rsidP="00A47389">
      <w:pPr>
        <w:jc w:val="both"/>
        <w:rPr>
          <w:rFonts w:ascii="Garamond" w:hAnsi="Garamond"/>
          <w:sz w:val="22"/>
          <w:szCs w:val="22"/>
        </w:rPr>
      </w:pPr>
    </w:p>
    <w:p w:rsidR="00C74C42" w:rsidRPr="00993C7F" w:rsidRDefault="00C74C42" w:rsidP="00A47389">
      <w:pPr>
        <w:jc w:val="both"/>
        <w:rPr>
          <w:rFonts w:ascii="Garamond" w:hAnsi="Garamond"/>
          <w:sz w:val="22"/>
          <w:szCs w:val="22"/>
        </w:rPr>
      </w:pPr>
    </w:p>
    <w:p w:rsidR="00C74C42" w:rsidRPr="00B009F8" w:rsidRDefault="00C74C42" w:rsidP="00A47389">
      <w:pPr>
        <w:jc w:val="both"/>
        <w:rPr>
          <w:rFonts w:ascii="Garamond" w:hAnsi="Garamond"/>
          <w:sz w:val="22"/>
          <w:szCs w:val="22"/>
        </w:rPr>
      </w:pPr>
      <w:r>
        <w:rPr>
          <w:rFonts w:ascii="Garamond" w:hAnsi="Garamond"/>
          <w:sz w:val="22"/>
          <w:szCs w:val="22"/>
        </w:rPr>
        <w:t>Pisemna deklaracja winna umożliwiać łatwą identyfikację materiałów, wyrobów lub substancji, których dotyczy. Deklarację należy odnawiać w sytuacji, gdy istotne zmiany w zakresie produkcji pociągają za sobą zmiany poziomu uwalniania metali lub gdy pojawią się nowe dane naukowe. W przypadku braku zmian w zakresie surowców, ich przetwarzania, zastosowania, procesu produkcyjnego itp. deklaracja zgodności zachowuje ważność przez okres nieprzekraczający 5 lat. Osoba odpowiedzialna za produkt może zadecydować o odnowieniu deklaracji zgodności również w przypadku niezmienionych okoliczności.</w:t>
      </w:r>
    </w:p>
    <w:p w:rsidR="00C74C42" w:rsidRPr="00993C7F" w:rsidRDefault="00C74C42" w:rsidP="00A47389">
      <w:pPr>
        <w:autoSpaceDE w:val="0"/>
        <w:autoSpaceDN w:val="0"/>
        <w:adjustRightInd w:val="0"/>
        <w:jc w:val="both"/>
        <w:rPr>
          <w:rFonts w:ascii="Garamond" w:hAnsi="Garamond"/>
          <w:sz w:val="22"/>
          <w:szCs w:val="22"/>
        </w:rPr>
      </w:pPr>
    </w:p>
    <w:p w:rsidR="00C74C42" w:rsidRPr="00B009F8" w:rsidRDefault="00C74C42" w:rsidP="00A47389">
      <w:pPr>
        <w:pStyle w:val="Heading4"/>
        <w:keepNext w:val="0"/>
        <w:ind w:left="0"/>
        <w:jc w:val="both"/>
        <w:rPr>
          <w:rFonts w:ascii="Garamond" w:hAnsi="Garamond"/>
          <w:sz w:val="22"/>
          <w:szCs w:val="22"/>
        </w:rPr>
      </w:pPr>
      <w:r>
        <w:rPr>
          <w:rFonts w:ascii="Garamond" w:hAnsi="Garamond"/>
          <w:sz w:val="22"/>
          <w:szCs w:val="22"/>
        </w:rPr>
        <w:t xml:space="preserve">Do załączenia do dekretu królewskiego z dnia ................................... w sprawie materiałów i wyrobów metalowych oraz stopów przeznaczonych do kontaktu z żywnością. </w:t>
      </w:r>
    </w:p>
    <w:p w:rsidR="00C74C42" w:rsidRPr="00993C7F" w:rsidRDefault="00C74C42" w:rsidP="00276E85">
      <w:pPr>
        <w:jc w:val="center"/>
        <w:rPr>
          <w:rFonts w:ascii="Garamond" w:hAnsi="Garamond"/>
          <w:sz w:val="22"/>
          <w:szCs w:val="22"/>
        </w:rPr>
      </w:pPr>
    </w:p>
    <w:tbl>
      <w:tblPr>
        <w:tblW w:w="0" w:type="auto"/>
        <w:jc w:val="center"/>
        <w:tblLook w:val="0000" w:firstRow="0" w:lastRow="0" w:firstColumn="0" w:lastColumn="0" w:noHBand="0" w:noVBand="0"/>
      </w:tblPr>
      <w:tblGrid>
        <w:gridCol w:w="4385"/>
      </w:tblGrid>
      <w:tr w:rsidR="00C74C42" w:rsidRPr="00B009F8" w:rsidTr="00F85383">
        <w:trPr>
          <w:cantSplit/>
          <w:jc w:val="center"/>
        </w:trPr>
        <w:tc>
          <w:tcPr>
            <w:tcW w:w="4385" w:type="dxa"/>
          </w:tcPr>
          <w:p w:rsidR="00C74C42" w:rsidRPr="00993C7F" w:rsidRDefault="00C74C42" w:rsidP="00276E85">
            <w:pPr>
              <w:jc w:val="both"/>
              <w:rPr>
                <w:rFonts w:ascii="Garamond" w:hAnsi="Garamond"/>
                <w:sz w:val="22"/>
                <w:szCs w:val="22"/>
              </w:rPr>
            </w:pPr>
          </w:p>
        </w:tc>
      </w:tr>
      <w:tr w:rsidR="00C74C42" w:rsidRPr="00B009F8" w:rsidTr="00F85383">
        <w:trPr>
          <w:cantSplit/>
          <w:jc w:val="center"/>
        </w:trPr>
        <w:tc>
          <w:tcPr>
            <w:tcW w:w="4385" w:type="dxa"/>
          </w:tcPr>
          <w:p w:rsidR="00C74C42" w:rsidRPr="00B009F8" w:rsidRDefault="00C74C42" w:rsidP="00276E85">
            <w:pPr>
              <w:jc w:val="center"/>
              <w:rPr>
                <w:rFonts w:ascii="Garamond" w:hAnsi="Garamond"/>
                <w:sz w:val="22"/>
                <w:szCs w:val="22"/>
              </w:rPr>
            </w:pPr>
            <w:r>
              <w:rPr>
                <w:rFonts w:ascii="Garamond" w:hAnsi="Garamond"/>
                <w:sz w:val="22"/>
                <w:szCs w:val="22"/>
              </w:rPr>
              <w:t>W imieniu Króla:</w:t>
            </w:r>
          </w:p>
        </w:tc>
      </w:tr>
      <w:tr w:rsidR="00C74C42" w:rsidRPr="00B009F8" w:rsidTr="00F85383">
        <w:trPr>
          <w:cantSplit/>
          <w:jc w:val="center"/>
        </w:trPr>
        <w:tc>
          <w:tcPr>
            <w:tcW w:w="4385" w:type="dxa"/>
          </w:tcPr>
          <w:p w:rsidR="00C74C42" w:rsidRPr="00B009F8" w:rsidRDefault="00C74C42" w:rsidP="00276E85">
            <w:pPr>
              <w:jc w:val="both"/>
              <w:rPr>
                <w:rFonts w:ascii="Garamond" w:hAnsi="Garamond"/>
                <w:sz w:val="22"/>
                <w:szCs w:val="22"/>
                <w:lang w:val="nl-NL"/>
              </w:rPr>
            </w:pPr>
          </w:p>
        </w:tc>
      </w:tr>
      <w:tr w:rsidR="00C74C42" w:rsidRPr="00B009F8" w:rsidTr="00F85383">
        <w:trPr>
          <w:cantSplit/>
          <w:jc w:val="center"/>
        </w:trPr>
        <w:tc>
          <w:tcPr>
            <w:tcW w:w="4385" w:type="dxa"/>
          </w:tcPr>
          <w:p w:rsidR="00C74C42" w:rsidRPr="00B009F8" w:rsidRDefault="00C74C42" w:rsidP="00276E85">
            <w:pPr>
              <w:jc w:val="center"/>
              <w:rPr>
                <w:rFonts w:ascii="Garamond" w:hAnsi="Garamond"/>
                <w:sz w:val="22"/>
                <w:szCs w:val="22"/>
              </w:rPr>
            </w:pPr>
            <w:r>
              <w:rPr>
                <w:rFonts w:ascii="Garamond" w:hAnsi="Garamond"/>
                <w:sz w:val="22"/>
                <w:szCs w:val="22"/>
              </w:rPr>
              <w:t>Minister Zdrowia Publicznego,</w:t>
            </w:r>
          </w:p>
        </w:tc>
      </w:tr>
      <w:tr w:rsidR="00C74C42" w:rsidRPr="00B009F8" w:rsidTr="00F85383">
        <w:trPr>
          <w:cantSplit/>
          <w:jc w:val="center"/>
        </w:trPr>
        <w:tc>
          <w:tcPr>
            <w:tcW w:w="4385" w:type="dxa"/>
          </w:tcPr>
          <w:p w:rsidR="00C74C42" w:rsidRPr="00B009F8" w:rsidRDefault="00C74C42" w:rsidP="00276E85">
            <w:pPr>
              <w:jc w:val="both"/>
              <w:rPr>
                <w:rFonts w:ascii="Garamond" w:hAnsi="Garamond"/>
                <w:sz w:val="22"/>
                <w:szCs w:val="22"/>
                <w:lang w:val="nl-NL"/>
              </w:rPr>
            </w:pPr>
          </w:p>
        </w:tc>
      </w:tr>
      <w:tr w:rsidR="00C74C42" w:rsidRPr="00B009F8" w:rsidTr="00F85383">
        <w:trPr>
          <w:cantSplit/>
          <w:jc w:val="center"/>
        </w:trPr>
        <w:tc>
          <w:tcPr>
            <w:tcW w:w="4385" w:type="dxa"/>
          </w:tcPr>
          <w:p w:rsidR="00C74C42" w:rsidRPr="00B009F8" w:rsidRDefault="00C74C42" w:rsidP="00276E85">
            <w:pPr>
              <w:jc w:val="center"/>
              <w:rPr>
                <w:rFonts w:ascii="Garamond" w:hAnsi="Garamond"/>
                <w:sz w:val="22"/>
                <w:szCs w:val="22"/>
              </w:rPr>
            </w:pPr>
            <w:r>
              <w:rPr>
                <w:rFonts w:ascii="Garamond" w:hAnsi="Garamond"/>
                <w:sz w:val="22"/>
                <w:szCs w:val="22"/>
              </w:rPr>
              <w:t>M. DE BLOCK</w:t>
            </w:r>
          </w:p>
        </w:tc>
      </w:tr>
      <w:tr w:rsidR="00C74C42" w:rsidRPr="00B009F8" w:rsidTr="00F85383">
        <w:trPr>
          <w:cantSplit/>
          <w:jc w:val="center"/>
        </w:trPr>
        <w:tc>
          <w:tcPr>
            <w:tcW w:w="4385" w:type="dxa"/>
          </w:tcPr>
          <w:p w:rsidR="00C74C42" w:rsidRPr="00B009F8" w:rsidRDefault="00C74C42" w:rsidP="00276E85">
            <w:pPr>
              <w:jc w:val="both"/>
              <w:rPr>
                <w:rFonts w:ascii="Garamond" w:hAnsi="Garamond"/>
                <w:sz w:val="22"/>
                <w:szCs w:val="22"/>
                <w:lang w:val="nl-NL"/>
              </w:rPr>
            </w:pPr>
          </w:p>
        </w:tc>
      </w:tr>
      <w:tr w:rsidR="00C74C42" w:rsidRPr="00B009F8" w:rsidTr="00F85383">
        <w:trPr>
          <w:cantSplit/>
          <w:jc w:val="center"/>
        </w:trPr>
        <w:tc>
          <w:tcPr>
            <w:tcW w:w="4385" w:type="dxa"/>
          </w:tcPr>
          <w:p w:rsidR="00C74C42" w:rsidRPr="00B009F8" w:rsidRDefault="00C74C42" w:rsidP="00276E85">
            <w:pPr>
              <w:jc w:val="center"/>
              <w:rPr>
                <w:rFonts w:ascii="Garamond" w:hAnsi="Garamond"/>
                <w:sz w:val="22"/>
                <w:szCs w:val="22"/>
              </w:rPr>
            </w:pPr>
            <w:r>
              <w:rPr>
                <w:rFonts w:ascii="Garamond" w:hAnsi="Garamond"/>
                <w:sz w:val="22"/>
                <w:szCs w:val="22"/>
              </w:rPr>
              <w:t>Minister Rolnictwa,</w:t>
            </w:r>
          </w:p>
        </w:tc>
      </w:tr>
      <w:tr w:rsidR="00C74C42" w:rsidRPr="00B009F8" w:rsidTr="00F85383">
        <w:trPr>
          <w:cantSplit/>
          <w:jc w:val="center"/>
        </w:trPr>
        <w:tc>
          <w:tcPr>
            <w:tcW w:w="4385" w:type="dxa"/>
          </w:tcPr>
          <w:p w:rsidR="00C74C42" w:rsidRPr="00B009F8" w:rsidRDefault="00C74C42" w:rsidP="00276E85">
            <w:pPr>
              <w:jc w:val="both"/>
              <w:rPr>
                <w:rFonts w:ascii="Garamond" w:hAnsi="Garamond"/>
                <w:sz w:val="22"/>
                <w:szCs w:val="22"/>
                <w:lang w:val="nl-NL"/>
              </w:rPr>
            </w:pPr>
          </w:p>
        </w:tc>
      </w:tr>
      <w:tr w:rsidR="00C74C42" w:rsidRPr="00B009F8" w:rsidTr="00F85383">
        <w:trPr>
          <w:cantSplit/>
          <w:jc w:val="center"/>
        </w:trPr>
        <w:tc>
          <w:tcPr>
            <w:tcW w:w="4385" w:type="dxa"/>
          </w:tcPr>
          <w:p w:rsidR="00C74C42" w:rsidRPr="00B009F8" w:rsidRDefault="00C74C42" w:rsidP="00276E85">
            <w:pPr>
              <w:jc w:val="center"/>
              <w:rPr>
                <w:rFonts w:ascii="Garamond" w:hAnsi="Garamond"/>
                <w:sz w:val="22"/>
                <w:szCs w:val="22"/>
              </w:rPr>
            </w:pPr>
            <w:r>
              <w:rPr>
                <w:rFonts w:ascii="Garamond" w:hAnsi="Garamond"/>
                <w:sz w:val="22"/>
                <w:szCs w:val="22"/>
              </w:rPr>
              <w:t>D. DUCARME</w:t>
            </w:r>
          </w:p>
        </w:tc>
      </w:tr>
    </w:tbl>
    <w:p w:rsidR="00D50D5D" w:rsidRPr="00B009F8" w:rsidRDefault="00D50D5D" w:rsidP="00F85383">
      <w:pPr>
        <w:rPr>
          <w:lang w:val="nl-NL"/>
        </w:rPr>
      </w:pPr>
    </w:p>
    <w:sectPr w:rsidR="00D50D5D" w:rsidRPr="00B009F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5AD1" w:rsidRDefault="00C55AD1" w:rsidP="000B55ED">
      <w:r>
        <w:separator/>
      </w:r>
    </w:p>
  </w:endnote>
  <w:endnote w:type="continuationSeparator" w:id="0">
    <w:p w:rsidR="00C55AD1" w:rsidRDefault="00C55AD1" w:rsidP="000B5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等线">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5AD1" w:rsidRDefault="00C55AD1" w:rsidP="000B55ED">
      <w:r>
        <w:separator/>
      </w:r>
    </w:p>
  </w:footnote>
  <w:footnote w:type="continuationSeparator" w:id="0">
    <w:p w:rsidR="00C55AD1" w:rsidRDefault="00C55AD1" w:rsidP="000B55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C7FA7"/>
    <w:multiLevelType w:val="hybridMultilevel"/>
    <w:tmpl w:val="373C74EE"/>
    <w:lvl w:ilvl="0" w:tplc="6008AA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DF3D32"/>
    <w:multiLevelType w:val="hybridMultilevel"/>
    <w:tmpl w:val="A1AA9EE4"/>
    <w:lvl w:ilvl="0" w:tplc="6008AA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FE688E"/>
    <w:multiLevelType w:val="hybridMultilevel"/>
    <w:tmpl w:val="1908CCC0"/>
    <w:lvl w:ilvl="0" w:tplc="6008AA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857206"/>
    <w:multiLevelType w:val="hybridMultilevel"/>
    <w:tmpl w:val="516E44AE"/>
    <w:lvl w:ilvl="0" w:tplc="F1866778">
      <w:start w:val="1"/>
      <w:numFmt w:val="decimal"/>
      <w:lvlText w:val="%1)"/>
      <w:lvlJc w:val="left"/>
      <w:pPr>
        <w:tabs>
          <w:tab w:val="num" w:pos="720"/>
        </w:tabs>
        <w:ind w:left="720" w:hanging="360"/>
      </w:pPr>
      <w:rPr>
        <w:rFonts w:hint="default"/>
        <w:b w:val="0"/>
        <w:i w:val="0"/>
      </w:rPr>
    </w:lvl>
    <w:lvl w:ilvl="1" w:tplc="EE6E92FE">
      <w:start w:val="1"/>
      <w:numFmt w:val="lowerRoman"/>
      <w:lvlText w:val="%2)"/>
      <w:lvlJc w:val="left"/>
      <w:pPr>
        <w:tabs>
          <w:tab w:val="num" w:pos="180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oNotHyphenateCaps/>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C42"/>
    <w:rsid w:val="000B55ED"/>
    <w:rsid w:val="00276E85"/>
    <w:rsid w:val="00617213"/>
    <w:rsid w:val="00695C9A"/>
    <w:rsid w:val="00712B78"/>
    <w:rsid w:val="008C5E75"/>
    <w:rsid w:val="00993C7F"/>
    <w:rsid w:val="00A47389"/>
    <w:rsid w:val="00B009F8"/>
    <w:rsid w:val="00C55AD1"/>
    <w:rsid w:val="00C74C42"/>
    <w:rsid w:val="00D50D5D"/>
    <w:rsid w:val="00E77776"/>
    <w:rsid w:val="00F853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03AED93-7877-4BFC-8D6C-7D67488FC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4C42"/>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C74C42"/>
    <w:pPr>
      <w:keepNext/>
      <w:jc w:val="center"/>
      <w:outlineLvl w:val="2"/>
    </w:pPr>
    <w:rPr>
      <w:szCs w:val="20"/>
      <w:lang w:eastAsia="fr-FR"/>
    </w:rPr>
  </w:style>
  <w:style w:type="paragraph" w:styleId="Heading4">
    <w:name w:val="heading 4"/>
    <w:basedOn w:val="Normal"/>
    <w:next w:val="Normal"/>
    <w:link w:val="Heading4Char"/>
    <w:qFormat/>
    <w:rsid w:val="00C74C42"/>
    <w:pPr>
      <w:keepNext/>
      <w:ind w:left="708"/>
      <w:jc w:val="center"/>
      <w:outlineLvl w:val="3"/>
    </w:pPr>
    <w:rPr>
      <w:szCs w:val="20"/>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C74C42"/>
    <w:pPr>
      <w:spacing w:before="120" w:after="120"/>
      <w:jc w:val="both"/>
    </w:pPr>
    <w:rPr>
      <w:sz w:val="20"/>
      <w:szCs w:val="20"/>
      <w:lang w:eastAsia="en-GB"/>
    </w:rPr>
  </w:style>
  <w:style w:type="character" w:customStyle="1" w:styleId="CommentTextChar">
    <w:name w:val="Comment Text Char"/>
    <w:basedOn w:val="DefaultParagraphFont"/>
    <w:link w:val="CommentText"/>
    <w:semiHidden/>
    <w:rsid w:val="00C74C42"/>
    <w:rPr>
      <w:rFonts w:ascii="Times New Roman" w:eastAsia="Times New Roman" w:hAnsi="Times New Roman" w:cs="Times New Roman"/>
      <w:sz w:val="20"/>
      <w:szCs w:val="20"/>
      <w:lang w:val="pl-PL" w:eastAsia="en-GB"/>
    </w:rPr>
  </w:style>
  <w:style w:type="paragraph" w:styleId="ListParagraph">
    <w:name w:val="List Paragraph"/>
    <w:basedOn w:val="Normal"/>
    <w:uiPriority w:val="34"/>
    <w:qFormat/>
    <w:rsid w:val="00C74C42"/>
    <w:pPr>
      <w:ind w:left="720"/>
      <w:contextualSpacing/>
    </w:pPr>
  </w:style>
  <w:style w:type="character" w:customStyle="1" w:styleId="Heading3Char">
    <w:name w:val="Heading 3 Char"/>
    <w:basedOn w:val="DefaultParagraphFont"/>
    <w:link w:val="Heading3"/>
    <w:rsid w:val="00C74C42"/>
    <w:rPr>
      <w:rFonts w:ascii="Times New Roman" w:eastAsia="Times New Roman" w:hAnsi="Times New Roman" w:cs="Times New Roman"/>
      <w:sz w:val="24"/>
      <w:szCs w:val="20"/>
      <w:lang w:val="pl-PL" w:eastAsia="fr-FR"/>
    </w:rPr>
  </w:style>
  <w:style w:type="character" w:customStyle="1" w:styleId="Heading4Char">
    <w:name w:val="Heading 4 Char"/>
    <w:basedOn w:val="DefaultParagraphFont"/>
    <w:link w:val="Heading4"/>
    <w:rsid w:val="00C74C42"/>
    <w:rPr>
      <w:rFonts w:ascii="Times New Roman" w:eastAsia="Times New Roman" w:hAnsi="Times New Roman" w:cs="Times New Roman"/>
      <w:sz w:val="24"/>
      <w:szCs w:val="20"/>
      <w:lang w:val="pl-PL" w:eastAsia="fr-FR"/>
    </w:rPr>
  </w:style>
  <w:style w:type="table" w:styleId="TableGrid">
    <w:name w:val="Table Grid"/>
    <w:basedOn w:val="TableNormal"/>
    <w:rsid w:val="00C74C42"/>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74C42"/>
    <w:pPr>
      <w:autoSpaceDE w:val="0"/>
      <w:autoSpaceDN w:val="0"/>
      <w:adjustRightInd w:val="0"/>
    </w:pPr>
    <w:rPr>
      <w:szCs w:val="19"/>
      <w:lang w:eastAsia="fr-FR"/>
    </w:rPr>
  </w:style>
  <w:style w:type="character" w:customStyle="1" w:styleId="BodyTextChar">
    <w:name w:val="Body Text Char"/>
    <w:basedOn w:val="DefaultParagraphFont"/>
    <w:link w:val="BodyText"/>
    <w:rsid w:val="00C74C42"/>
    <w:rPr>
      <w:rFonts w:ascii="Times New Roman" w:eastAsia="Times New Roman" w:hAnsi="Times New Roman" w:cs="Times New Roman"/>
      <w:sz w:val="24"/>
      <w:szCs w:val="19"/>
      <w:lang w:val="pl-PL" w:eastAsia="fr-FR"/>
    </w:rPr>
  </w:style>
  <w:style w:type="paragraph" w:styleId="PlainText">
    <w:name w:val="Plain Text"/>
    <w:basedOn w:val="Normal"/>
    <w:link w:val="PlainTextChar"/>
    <w:uiPriority w:val="99"/>
    <w:semiHidden/>
    <w:unhideWhenUsed/>
    <w:rsid w:val="00276E85"/>
    <w:rPr>
      <w:rFonts w:ascii="Courier New" w:hAnsi="Courier New" w:cs="Courier New"/>
      <w:sz w:val="20"/>
      <w:szCs w:val="20"/>
      <w:lang w:eastAsia="pl-PL"/>
    </w:rPr>
  </w:style>
  <w:style w:type="character" w:customStyle="1" w:styleId="PlainTextChar">
    <w:name w:val="Plain Text Char"/>
    <w:basedOn w:val="DefaultParagraphFont"/>
    <w:link w:val="PlainText"/>
    <w:uiPriority w:val="99"/>
    <w:semiHidden/>
    <w:rsid w:val="00276E85"/>
    <w:rPr>
      <w:rFonts w:ascii="Courier New" w:eastAsia="Times New Roman" w:hAnsi="Courier New" w:cs="Courier New"/>
      <w:sz w:val="20"/>
      <w:szCs w:val="20"/>
      <w:lang w:val="pl-PL" w:eastAsia="pl-PL"/>
    </w:rPr>
  </w:style>
  <w:style w:type="paragraph" w:styleId="Header">
    <w:name w:val="header"/>
    <w:basedOn w:val="Normal"/>
    <w:link w:val="HeaderChar"/>
    <w:uiPriority w:val="99"/>
    <w:unhideWhenUsed/>
    <w:rsid w:val="000B55ED"/>
    <w:pPr>
      <w:tabs>
        <w:tab w:val="center" w:pos="4320"/>
        <w:tab w:val="right" w:pos="8640"/>
      </w:tabs>
    </w:pPr>
  </w:style>
  <w:style w:type="character" w:customStyle="1" w:styleId="HeaderChar">
    <w:name w:val="Header Char"/>
    <w:basedOn w:val="DefaultParagraphFont"/>
    <w:link w:val="Header"/>
    <w:uiPriority w:val="99"/>
    <w:rsid w:val="000B55ED"/>
    <w:rPr>
      <w:rFonts w:ascii="Times New Roman" w:eastAsia="Times New Roman" w:hAnsi="Times New Roman" w:cs="Times New Roman"/>
      <w:sz w:val="24"/>
      <w:szCs w:val="24"/>
      <w:lang w:val="pl-PL"/>
    </w:rPr>
  </w:style>
  <w:style w:type="paragraph" w:styleId="Footer">
    <w:name w:val="footer"/>
    <w:basedOn w:val="Normal"/>
    <w:link w:val="FooterChar"/>
    <w:uiPriority w:val="99"/>
    <w:unhideWhenUsed/>
    <w:rsid w:val="000B55ED"/>
    <w:pPr>
      <w:tabs>
        <w:tab w:val="center" w:pos="4320"/>
        <w:tab w:val="right" w:pos="8640"/>
      </w:tabs>
    </w:pPr>
  </w:style>
  <w:style w:type="character" w:customStyle="1" w:styleId="FooterChar">
    <w:name w:val="Footer Char"/>
    <w:basedOn w:val="DefaultParagraphFont"/>
    <w:link w:val="Footer"/>
    <w:uiPriority w:val="99"/>
    <w:rsid w:val="000B55ED"/>
    <w:rPr>
      <w:rFonts w:ascii="Times New Roman" w:eastAsia="Times New Roman" w:hAnsi="Times New Roman" w:cs="Times New Roman"/>
      <w:sz w:val="24"/>
      <w:szCs w:val="24"/>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1681</Words>
  <Characters>9582</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Heyvaert Els</dc:creator>
  <cp:keywords/>
  <dc:description/>
  <cp:lastModifiedBy>Liu, Lei</cp:lastModifiedBy>
  <cp:revision>6</cp:revision>
  <dcterms:created xsi:type="dcterms:W3CDTF">2018-09-04T13:14:00Z</dcterms:created>
  <dcterms:modified xsi:type="dcterms:W3CDTF">2018-09-12T12:07:00Z</dcterms:modified>
</cp:coreProperties>
</file>