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rPr>
        <w:t>1. ------IND- 2020 0510 D-- CS-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Návrh Spolkového ministerstva výživy a zemědělství</w:t>
      </w:r>
    </w:p>
    <w:p w14:paraId="453D9A69" w14:textId="77777777" w:rsidR="006444D5" w:rsidRPr="00D43FA1" w:rsidRDefault="006444D5" w:rsidP="00D43FA1">
      <w:pPr>
        <w:pStyle w:val="Bezeichnungnderungsdokument"/>
        <w:keepNext/>
        <w:keepLines/>
      </w:pPr>
      <w:r>
        <w:t>Dvacáté druhé nařízení, kterým se mění nařízení o spotřebním zboží</w:t>
      </w:r>
      <w:r>
        <w:rPr>
          <w:rStyle w:val="FootnoteReference"/>
        </w:rPr>
        <w:footnoteReference w:customMarkFollows="1" w:id="1"/>
        <w:t>1)</w:t>
      </w:r>
      <w:r>
        <w:t xml:space="preserve"> </w:t>
      </w:r>
    </w:p>
    <w:p w14:paraId="6759776C" w14:textId="77777777" w:rsidR="006444D5" w:rsidRPr="00D43FA1" w:rsidRDefault="006444D5" w:rsidP="00D43FA1">
      <w:pPr>
        <w:pStyle w:val="Ausfertigungsdatumnderungsdokument"/>
        <w:keepNext/>
        <w:keepLines/>
      </w:pPr>
      <w:r>
        <w:t>ze dne ... 2020</w:t>
      </w:r>
    </w:p>
    <w:p w14:paraId="6E475CCC" w14:textId="77777777" w:rsidR="006444D5" w:rsidRPr="00D43FA1" w:rsidRDefault="006444D5" w:rsidP="000511BF">
      <w:pPr>
        <w:pStyle w:val="EingangsformelStandardnderungsdokument"/>
      </w:pPr>
      <w:r>
        <w:t xml:space="preserve">Spolkové ministerstvo výživy a zemědělství nařizuje na základě </w:t>
      </w:r>
    </w:p>
    <w:p w14:paraId="42BFF3E6" w14:textId="6B824740" w:rsidR="000511BF" w:rsidRPr="00D43FA1" w:rsidRDefault="006444D5" w:rsidP="00C74C74">
      <w:pPr>
        <w:pStyle w:val="EingangsformelStandardnderungsdokument"/>
        <w:numPr>
          <w:ilvl w:val="0"/>
          <w:numId w:val="1"/>
        </w:numPr>
        <w:ind w:left="0" w:firstLine="425"/>
      </w:pPr>
      <w:r>
        <w:t>§ 31 odst. 2 první věty bodu 2, rovněž ve spojení § 4 odst. 2 bodem 2,</w:t>
      </w:r>
      <w:r>
        <w:cr/>
        <w:t>a § 46 odst. 2 první větou bodu 1 písm. a) zákona o potravinách a krmivech ve znění zveřejněném dne 3. června 2013 (Spolk. věst. I s. 1426), jakož i</w:t>
      </w:r>
    </w:p>
    <w:p w14:paraId="58FC86B6" w14:textId="77777777" w:rsidR="006444D5" w:rsidRPr="00D43FA1" w:rsidRDefault="000511BF" w:rsidP="00C74C74">
      <w:pPr>
        <w:pStyle w:val="EingangsformelStandardnderungsdokument"/>
        <w:numPr>
          <w:ilvl w:val="0"/>
          <w:numId w:val="1"/>
        </w:numPr>
        <w:ind w:left="0" w:firstLine="425"/>
      </w:pPr>
      <w:r>
        <w:t>I s. 34) § 34 první věta bod 2, který byl změněn čl. 67 bodem 6 nařízení ze dne 31. srpna 2015 (Spolk. věst. I s. 1474), rovněž ve spojení s § 4 odst. 2 bodem 2 zákona o potravinách a krmivech ve znění vyhlášky ze dne 3. června 2013 (Spolk. věst. I s. 1426) se souhlasem Spolkového ministerstva hospodářství a energetiky:</w:t>
      </w:r>
    </w:p>
    <w:p w14:paraId="6AC8CAE2" w14:textId="1699357E" w:rsidR="006444D5" w:rsidRPr="00D43FA1" w:rsidRDefault="00D43FA1" w:rsidP="00D43FA1">
      <w:pPr>
        <w:pStyle w:val="ArtikelBezeichner"/>
        <w:keepLines/>
        <w:numPr>
          <w:ilvl w:val="0"/>
          <w:numId w:val="0"/>
        </w:numPr>
      </w:pPr>
      <w:r>
        <w:t>Článek 1</w:t>
      </w:r>
    </w:p>
    <w:p w14:paraId="37102DCC" w14:textId="1749B86C" w:rsidR="006444D5" w:rsidRPr="007E01A6" w:rsidRDefault="006444D5" w:rsidP="00D43FA1">
      <w:pPr>
        <w:pStyle w:val="Artikelberschrift"/>
        <w:keepLines/>
      </w:pPr>
      <w:r>
        <w:t>Změna nařízení o spotřebním zboží</w:t>
      </w:r>
    </w:p>
    <w:p w14:paraId="504DEE92" w14:textId="4F2C4E22" w:rsidR="00E24BD3" w:rsidRPr="007E01A6" w:rsidRDefault="00E24BD3" w:rsidP="00D43FA1">
      <w:pPr>
        <w:pStyle w:val="JuristischerAbsatznichtnummeriert"/>
        <w:keepNext/>
        <w:keepLines/>
        <w:rPr>
          <w:rStyle w:val="Marker"/>
          <w:color w:val="auto"/>
        </w:rPr>
      </w:pPr>
      <w:r>
        <w:rPr>
          <w:rStyle w:val="Marker"/>
          <w:color w:val="auto"/>
        </w:rPr>
        <w:t>Nařízení o spotřebním zboží ve znění vyhlášky ze dne úterý 23. prosince 1997 (Spolk. věst. 1998 I s. 5), v posledním znění upraveném článkem 2 odst. 1 zákona ze dne 15. února 2016 (Spolk. věst. I s. 198), se mění následovně:</w:t>
      </w:r>
    </w:p>
    <w:p w14:paraId="02B9B0F2" w14:textId="7CA490A4" w:rsidR="00846C2F" w:rsidRPr="00D43FA1" w:rsidRDefault="00846C2F" w:rsidP="00846C2F">
      <w:pPr>
        <w:pStyle w:val="NummerierungStufe1"/>
      </w:pPr>
      <w:r>
        <w:t>§ 2 se mění následovně:</w:t>
      </w:r>
    </w:p>
    <w:p w14:paraId="28C5F27B" w14:textId="77777777" w:rsidR="00846C2F" w:rsidRPr="00D43FA1" w:rsidRDefault="00846C2F" w:rsidP="00846C2F">
      <w:pPr>
        <w:pStyle w:val="NummerierungStufe2"/>
        <w:rPr>
          <w:rStyle w:val="Marker"/>
          <w:color w:val="auto"/>
        </w:rPr>
      </w:pPr>
      <w:r>
        <w:rPr>
          <w:rStyle w:val="Marker"/>
          <w:color w:val="auto"/>
        </w:rPr>
        <w:t>V bodu 6 se tečka na konci nahrazuje středníkem.</w:t>
      </w:r>
    </w:p>
    <w:p w14:paraId="4CF425DD" w14:textId="26F4A3C3" w:rsidR="00846C2F" w:rsidRPr="00D43FA1" w:rsidRDefault="003B2E93" w:rsidP="00846C2F">
      <w:pPr>
        <w:pStyle w:val="NummerierungStufe2"/>
        <w:rPr>
          <w:rStyle w:val="Marker"/>
          <w:color w:val="auto"/>
        </w:rPr>
      </w:pPr>
      <w:r>
        <w:rPr>
          <w:rStyle w:val="Marker"/>
          <w:color w:val="auto"/>
        </w:rPr>
        <w:t>Doplňují se následující body 7 až 10:</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„7. buničina z odpadního materiálu: vláknitý materiál získaný z odpadního papíru zpracovatelskými metodami pro výrobu papíru, lepenky nebo kartonu;</w:t>
      </w:r>
    </w:p>
    <w:p w14:paraId="0106737F" w14:textId="4BB05830" w:rsidR="00E24BD3" w:rsidRPr="00D43FA1" w:rsidRDefault="00E24BD3" w:rsidP="00067EA9">
      <w:pPr>
        <w:pStyle w:val="JuristischerAbsatznichtnummeriert"/>
        <w:ind w:left="850" w:firstLine="295"/>
      </w:pPr>
      <w:r>
        <w:rPr>
          <w:rStyle w:val="Marker"/>
          <w:color w:val="auto"/>
        </w:rPr>
        <w:t xml:space="preserve">8. </w:t>
      </w:r>
      <w:r>
        <w:t>aromatické uhlovodíky z minerálních olejů: alkylované aromatické uhlovodíky s uhlíkovými čísly C16 až C35, které obsahují jeden nebo více kruhů, s výjimkou diisopropylnaftalenů; čísla uhlíku jsou spojena s elučními rozsahy nebo retenčními časy odpovídajících n-alkanů v plynové chromatografické analýze na separační koloně potažené dimethylpolysiloxanem;</w:t>
      </w:r>
    </w:p>
    <w:p w14:paraId="1BECF263" w14:textId="3D179D1B" w:rsidR="00846C2F" w:rsidRPr="00D43FA1" w:rsidRDefault="00E24BD3" w:rsidP="00D43FA1">
      <w:pPr>
        <w:pStyle w:val="JuristischerAbsatznichtnummeriert"/>
        <w:keepNext/>
        <w:keepLines/>
        <w:ind w:left="425" w:firstLine="720"/>
      </w:pPr>
      <w:r>
        <w:rPr>
          <w:rStyle w:val="Marker"/>
          <w:color w:val="auto"/>
        </w:rPr>
        <w:t xml:space="preserve">9. </w:t>
      </w:r>
      <w:r>
        <w:t>funkční bariéra:</w:t>
      </w:r>
    </w:p>
    <w:p w14:paraId="74FD3E26" w14:textId="39827560" w:rsidR="00B643B8" w:rsidRPr="00D43FA1" w:rsidRDefault="002F7BDF" w:rsidP="00067EA9">
      <w:pPr>
        <w:pStyle w:val="JuristischerAbsatznichtnummeriert"/>
        <w:ind w:left="851" w:firstLine="589"/>
      </w:pPr>
      <w:r>
        <w:rPr>
          <w:rStyle w:val="Marker"/>
          <w:color w:val="auto"/>
        </w:rPr>
        <w:t xml:space="preserve">a) </w:t>
      </w:r>
      <w:r>
        <w:t>jedna nebo více vrstev nebo povlaků z materiálu přicházejícího do styku s potravinami nebo</w:t>
      </w:r>
    </w:p>
    <w:p w14:paraId="6C74E0DD" w14:textId="61F756EB" w:rsidR="002F7BDF" w:rsidRPr="00D43FA1" w:rsidRDefault="002F7BDF" w:rsidP="00CA5760">
      <w:pPr>
        <w:pStyle w:val="JuristischerAbsatznichtnummeriert"/>
        <w:keepNext/>
        <w:ind w:left="720" w:firstLine="720"/>
      </w:pPr>
      <w:r>
        <w:rPr>
          <w:rStyle w:val="Marker"/>
          <w:color w:val="auto"/>
        </w:rPr>
        <w:lastRenderedPageBreak/>
        <w:t>b) zabalení potraviny,</w:t>
      </w:r>
    </w:p>
    <w:p w14:paraId="326B7F41" w14:textId="0B4EE35B" w:rsidR="00E24BD3" w:rsidRPr="00D43FA1" w:rsidRDefault="00E24BD3" w:rsidP="00067EA9">
      <w:pPr>
        <w:pStyle w:val="JuristischerAbsatznichtnummeriert"/>
        <w:ind w:left="851" w:firstLine="0"/>
      </w:pPr>
      <w:r>
        <w:t>což zajišťuje, že určité látky z předmětů přicházejících do styku s potravinami nemigrují do potravin;</w:t>
      </w:r>
    </w:p>
    <w:p w14:paraId="4B18F3E3" w14:textId="70788493" w:rsidR="00846C2F" w:rsidRPr="00D43FA1" w:rsidRDefault="00E24BD3" w:rsidP="00067EA9">
      <w:pPr>
        <w:pStyle w:val="JuristischerAbsatznichtnummeriert"/>
        <w:ind w:left="851" w:firstLine="294"/>
      </w:pPr>
      <w:r>
        <w:rPr>
          <w:rStyle w:val="Marker"/>
          <w:color w:val="auto"/>
        </w:rPr>
        <w:t xml:space="preserve">10. </w:t>
      </w:r>
      <w:r>
        <w:t>Simulant potravin: Simulant potravin ve smyslu čl. 3 bodu 12 nařízení (EU) č.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Za § 6 se vkládá následující § 6a:</w:t>
      </w:r>
    </w:p>
    <w:p w14:paraId="254DF9EA" w14:textId="256D5011" w:rsidR="00846C2F" w:rsidRPr="00D43FA1" w:rsidRDefault="00846C2F" w:rsidP="007E01A6">
      <w:pPr>
        <w:pStyle w:val="RevisionParagraphBezeichnermanuell"/>
        <w:keepLines/>
        <w:ind w:left="425" w:hanging="75"/>
        <w:rPr>
          <w:color w:val="auto"/>
        </w:rPr>
      </w:pPr>
      <w:r>
        <w:rPr>
          <w:color w:val="auto"/>
        </w:rPr>
        <w:t xml:space="preserve">„§ </w:t>
      </w:r>
      <w:r>
        <w:rPr>
          <w:rStyle w:val="Marker"/>
          <w:color w:val="auto"/>
        </w:rPr>
        <w:t>6a</w:t>
      </w:r>
      <w:r>
        <w:rPr>
          <w:rStyle w:val="Marker"/>
          <w:color w:val="auto"/>
        </w:rPr>
        <w:cr/>
      </w:r>
      <w:r>
        <w:rPr>
          <w:rStyle w:val="Marker"/>
          <w:color w:val="auto"/>
        </w:rPr>
        <w:br/>
        <w:t>Materiály přicházející do styku s potravinami vyrobené z papíru, lepenky nebo lepenky obsahující recyklovaný papír</w:t>
      </w:r>
    </w:p>
    <w:p w14:paraId="393F6670" w14:textId="6F9EF356" w:rsidR="00756335" w:rsidRPr="007E01A6" w:rsidRDefault="00E24BD3" w:rsidP="00067EA9">
      <w:pPr>
        <w:pStyle w:val="JuristischerAbsatznichtnummeriert"/>
        <w:ind w:left="425" w:firstLine="295"/>
        <w:rPr>
          <w:rStyle w:val="Marker"/>
          <w:color w:val="auto"/>
        </w:rPr>
      </w:pPr>
      <w:r>
        <w:rPr>
          <w:rStyle w:val="Marker"/>
          <w:color w:val="auto"/>
        </w:rPr>
        <w:t xml:space="preserve">(1) Materiály přicházející do styku s potravinami vyrobené z papíru, kartonu nebo lepenky mohou být vyráběny a uváděny do oběhu pomocí buničiny z odpadního materiálu, pouze pokud funkční bariéra podle § 2 bodu 9 zajistí, že se z materiálu přicházejícího do styku s potravinami nepřenesou do potraviny žádné aromatické uhlovodíky z minerálních olejů. Má se za to, že k přenosu nedošlo, pokud </w:t>
      </w:r>
    </w:p>
    <w:p w14:paraId="16C207F7" w14:textId="77777777" w:rsidR="002F7BDF" w:rsidRPr="00D43FA1" w:rsidRDefault="002F7BDF" w:rsidP="00067EA9">
      <w:pPr>
        <w:pStyle w:val="JuristischerAbsatznichtnummeriert"/>
        <w:ind w:left="425" w:firstLine="0"/>
        <w:rPr>
          <w:szCs w:val="24"/>
        </w:rPr>
      </w:pPr>
      <w:r>
        <w:t xml:space="preserve">1. nebyl překročen detekční limit 0,5 miligramů součtu aromatických uhlovodíků z minerálních olejů na kilogram potraviny nebo </w:t>
      </w:r>
    </w:p>
    <w:p w14:paraId="172F3F97" w14:textId="20287DA3" w:rsidR="00C74C74" w:rsidRPr="007E01A6" w:rsidRDefault="002F7BDF" w:rsidP="00067EA9">
      <w:pPr>
        <w:pStyle w:val="JuristischerAbsatznichtnummeriert"/>
        <w:ind w:left="425" w:firstLine="0"/>
        <w:rPr>
          <w:szCs w:val="24"/>
        </w:rPr>
      </w:pPr>
      <w:r>
        <w:t xml:space="preserve">2. nebyl překročen detekční limit 0,15 miligramů součtu aromatických uhlovodíků z minerálních olejů na kilogram simulantu potravin. </w:t>
      </w:r>
    </w:p>
    <w:p w14:paraId="4CAF2837" w14:textId="266BC0F6" w:rsidR="00C74C74" w:rsidRPr="00D43FA1" w:rsidRDefault="00E24BD3" w:rsidP="00067EA9">
      <w:pPr>
        <w:pStyle w:val="JuristischerAbsatznichtnummeriert"/>
        <w:ind w:left="425" w:firstLine="295"/>
      </w:pPr>
      <w:r>
        <w:rPr>
          <w:rStyle w:val="Marker"/>
          <w:color w:val="auto"/>
        </w:rPr>
        <w:t>(2) O</w:t>
      </w:r>
      <w:r>
        <w:t>dst. 1 první věta se nepoužije, pokud je vyloučen přenos aromatických uhlovodíků z minerálních olejů z materiálu přicházejícího do styku s potravinami na potraviny ve smyslu odst. 1 druhé věty, protože</w:t>
      </w:r>
    </w:p>
    <w:p w14:paraId="6CBC600B" w14:textId="68240402" w:rsidR="002F7BDF" w:rsidRPr="00D43FA1" w:rsidRDefault="002F7BDF" w:rsidP="00067EA9">
      <w:pPr>
        <w:pStyle w:val="JuristischerAbsatznichtnummeriert"/>
        <w:ind w:left="425" w:firstLine="0"/>
      </w:pPr>
      <w:r>
        <w:rPr>
          <w:rStyle w:val="Marker"/>
          <w:color w:val="auto"/>
        </w:rPr>
        <w:t>1. zvláštní požadavky na výrobek přicházející do styku s potravinami jsou zejména v tom, že ve výrobku přicházejícím do styku s potravinami je pouze nízký obsah uhlovodíků aromatického minerálního oleje, nebo</w:t>
      </w:r>
    </w:p>
    <w:p w14:paraId="05A8EA42" w14:textId="0B5F5620" w:rsidR="00123700" w:rsidRPr="00D43FA1" w:rsidRDefault="002F7BDF" w:rsidP="00067EA9">
      <w:pPr>
        <w:pStyle w:val="JuristischerAbsatznichtnummeriert"/>
        <w:ind w:left="425" w:firstLine="0"/>
      </w:pPr>
      <w:r>
        <w:rPr>
          <w:rStyle w:val="Marker"/>
          <w:color w:val="auto"/>
        </w:rPr>
        <w:t xml:space="preserve">2. </w:t>
      </w:r>
      <w:r>
        <w:t>výrobce nebo distributor materiálu přicházejícího do styku s potravinami přijal jiná vhodná opatření k zabránění přenosu.</w:t>
      </w:r>
    </w:p>
    <w:p w14:paraId="0AD974E6" w14:textId="6D982343" w:rsidR="00735843" w:rsidRPr="00CA5760" w:rsidRDefault="00E24BD3" w:rsidP="00067EA9">
      <w:pPr>
        <w:pStyle w:val="JuristischerAbsatznichtnummeriert"/>
        <w:ind w:left="425" w:firstLine="295"/>
        <w:rPr>
          <w:spacing w:val="-4"/>
        </w:rPr>
      </w:pPr>
      <w:r w:rsidRPr="00CA5760">
        <w:rPr>
          <w:rStyle w:val="Marker"/>
          <w:color w:val="auto"/>
          <w:spacing w:val="-4"/>
        </w:rPr>
        <w:t>(3) B</w:t>
      </w:r>
      <w:r w:rsidRPr="00CA5760">
        <w:rPr>
          <w:spacing w:val="-4"/>
        </w:rPr>
        <w:t xml:space="preserve">ez ohledu na ustanovení odst. 1 první věty mohou být materiály uvedené v této příloze vyrobeny a uvedeny na trh bez funkční bariéry, pokud provozovatel potravinářského podniku, který materiál přicházející do styku s potravinami poprvé uvede do styku s potravinami zabalením nebo jiným způsobem, před dodáním o materiálu pro styk s potravinami písemně nebo elektronicky prohlašuje výrobce nebo distributora materiálu pro styk s potravinami, že se vzdá funkční bariéry podle § 2 bodu 9. </w:t>
      </w:r>
    </w:p>
    <w:p w14:paraId="789B1568" w14:textId="520EFB10" w:rsidR="00E24BD3" w:rsidRPr="00D43FA1" w:rsidRDefault="00E24BD3" w:rsidP="00067EA9">
      <w:pPr>
        <w:pStyle w:val="JuristischerAbsatznichtnummeriert"/>
        <w:ind w:left="425" w:firstLine="295"/>
      </w:pPr>
      <w:r>
        <w:rPr>
          <w:rStyle w:val="Marker"/>
          <w:color w:val="auto"/>
        </w:rPr>
        <w:t>(4)</w:t>
      </w:r>
      <w:r>
        <w:t xml:space="preserve"> V případech uvedených v odstavci 3 musí provozovatel potravinářského podniku, který používá materiál přicházející do styku s potravinami, zajistit, aby byl vyloučen přenos aromatických uhlovodíků z minerálního oleje z materiálu přicházejícího do styku s potravinami na potraviny ve smyslu odst. 1 druhé věty. K tomu musí použít funkční bariéru podle § 2 bodu 9 písm. b) nebo přijmout jiná vhodná opatření. Druhá věta se nepoužije, pokud zejména z důvodu povahy potraviny, která přichází do styku s materiálem přicházejícím do styku s potravinami, nebo kvůli zamýšleným podmínkám použití materiálu přicházejícího do styku s potravinami existují zvláštní podmínky, které vylučují přenos aromatických uhlovodíků minerálního oleje z materiálu přicházejícího do styku s potravinami na potravinu ve smyslu odstavce 1 druhé věty vyloučit.</w:t>
      </w:r>
    </w:p>
    <w:p w14:paraId="5366601D" w14:textId="03640CCF" w:rsidR="00313AFD" w:rsidRPr="00D43FA1" w:rsidRDefault="00E24BD3" w:rsidP="00C62066">
      <w:pPr>
        <w:pStyle w:val="JuristischerAbsatznichtnummeriert"/>
        <w:ind w:firstLine="720"/>
      </w:pPr>
      <w:r>
        <w:rPr>
          <w:rStyle w:val="Marker"/>
          <w:color w:val="auto"/>
        </w:rPr>
        <w:lastRenderedPageBreak/>
        <w:t xml:space="preserve">(5) </w:t>
      </w:r>
      <w:r>
        <w:t>Na žádost příslušného orgánu se dokládá:</w:t>
      </w:r>
    </w:p>
    <w:p w14:paraId="77519757" w14:textId="4193C14E" w:rsidR="002F7BDF" w:rsidRPr="007E01A6" w:rsidRDefault="002F7BDF" w:rsidP="00C62066">
      <w:pPr>
        <w:pStyle w:val="JuristischerAbsatznichtnummeriert"/>
        <w:ind w:left="425" w:firstLine="0"/>
        <w:rPr>
          <w:rStyle w:val="Marker"/>
          <w:color w:val="auto"/>
        </w:rPr>
      </w:pPr>
      <w:r>
        <w:rPr>
          <w:rStyle w:val="Marker"/>
          <w:color w:val="auto"/>
        </w:rPr>
        <w:t>1. dodržení požadavků odstavců 2 a 3 výrobcem nebo distributorem materiálu přicházejícího do styku s potravinami a</w:t>
      </w:r>
    </w:p>
    <w:p w14:paraId="2F2FD13A" w14:textId="19286176" w:rsidR="00313AFD" w:rsidRPr="007E01A6" w:rsidRDefault="002F7BDF" w:rsidP="00C62066">
      <w:pPr>
        <w:pStyle w:val="JuristischerAbsatznichtnummeriert"/>
        <w:ind w:left="425" w:firstLine="0"/>
        <w:rPr>
          <w:rStyle w:val="Marker"/>
          <w:color w:val="auto"/>
        </w:rPr>
      </w:pPr>
      <w:r>
        <w:rPr>
          <w:rStyle w:val="Marker"/>
          <w:color w:val="auto"/>
        </w:rPr>
        <w:t>2. dodržení požadavků odstavce 4 provozovatelem potravinářského podniku.</w:t>
      </w:r>
    </w:p>
    <w:p w14:paraId="587A74FC" w14:textId="6F4A63D4" w:rsidR="004F1DB4" w:rsidRPr="00CA5760" w:rsidRDefault="00E24BD3" w:rsidP="00C62066">
      <w:pPr>
        <w:pStyle w:val="JuristischerAbsatznichtnummeriert"/>
        <w:ind w:left="425" w:firstLine="0"/>
        <w:rPr>
          <w:spacing w:val="-4"/>
        </w:rPr>
      </w:pPr>
      <w:r w:rsidRPr="00CA5760">
        <w:rPr>
          <w:spacing w:val="-4"/>
        </w:rPr>
        <w:t>Osoby povinné podle první věty jsou povinny uchovávat doklady, které prokazují, že přenos aromatických uhlovodíků z minerálních olejů z materiálu přicházejícího do styku s potravinami na potraviny nebo simulanty potravin ve smyslu odst. 1 druhé věty je vyloučen.</w:t>
      </w:r>
    </w:p>
    <w:p w14:paraId="0AA413D8" w14:textId="1C6B2756" w:rsidR="007F06A5" w:rsidRPr="00D43FA1" w:rsidRDefault="00E24BD3" w:rsidP="00C62066">
      <w:pPr>
        <w:pStyle w:val="JuristischerAbsatznichtnummeriert"/>
        <w:ind w:left="425" w:firstLine="295"/>
      </w:pPr>
      <w:r>
        <w:rPr>
          <w:rStyle w:val="Marker"/>
          <w:color w:val="auto"/>
        </w:rPr>
        <w:t>(6) J</w:t>
      </w:r>
      <w:r>
        <w:t>e zakázáno uvádět na trh potraviny jako potraviny, které byly ošetřeny materiálem přicházejícím do styku s potravinami, aniž by byly splněny požadavky odst. 1 první věty nebo odst. 4 první věty.“</w:t>
      </w:r>
    </w:p>
    <w:p w14:paraId="6FA09614" w14:textId="6B4B06AD" w:rsidR="00D10507" w:rsidRPr="00D43FA1" w:rsidRDefault="00D10507" w:rsidP="00D43FA1">
      <w:pPr>
        <w:pStyle w:val="NummerierungStufe1"/>
        <w:keepNext/>
        <w:keepLines/>
      </w:pPr>
      <w:r>
        <w:t>V § 7 odst. 1 se údaj „6“ nahrazuje údajem „6a odst. 4“.</w:t>
      </w:r>
    </w:p>
    <w:p w14:paraId="7EAA6364" w14:textId="77777777" w:rsidR="00D10507" w:rsidRPr="00D43FA1" w:rsidRDefault="00634FE4" w:rsidP="00D43FA1">
      <w:pPr>
        <w:pStyle w:val="NummerierungStufe1"/>
        <w:keepNext/>
        <w:keepLines/>
      </w:pPr>
      <w:r>
        <w:t xml:space="preserve">§ 12 se mění následovně: </w:t>
      </w:r>
    </w:p>
    <w:p w14:paraId="69B3E358" w14:textId="77777777" w:rsidR="005068AC" w:rsidRPr="00D43FA1" w:rsidRDefault="005068AC" w:rsidP="00D43FA1">
      <w:pPr>
        <w:pStyle w:val="NummerierungStufe2"/>
        <w:keepNext/>
        <w:keepLines/>
        <w:rPr>
          <w:rStyle w:val="Marker"/>
          <w:color w:val="auto"/>
        </w:rPr>
      </w:pPr>
      <w:r>
        <w:rPr>
          <w:rStyle w:val="Marker"/>
          <w:color w:val="auto"/>
        </w:rPr>
        <w:t>Odstavec 2 se mění takto:</w:t>
      </w:r>
    </w:p>
    <w:p w14:paraId="35259617" w14:textId="77777777" w:rsidR="005068AC" w:rsidRPr="00D43FA1" w:rsidRDefault="00AC0D2A" w:rsidP="005068AC">
      <w:pPr>
        <w:pStyle w:val="NummerierungStufe3"/>
        <w:rPr>
          <w:rStyle w:val="Marker"/>
          <w:color w:val="auto"/>
        </w:rPr>
      </w:pPr>
      <w:r>
        <w:rPr>
          <w:rStyle w:val="Marker"/>
          <w:color w:val="auto"/>
        </w:rPr>
        <w:t>V bodu 3 se slovo „nebo“ nahrazuje čárkou.</w:t>
      </w:r>
    </w:p>
    <w:p w14:paraId="7DFBB224" w14:textId="77777777" w:rsidR="005068AC" w:rsidRPr="00D43FA1" w:rsidRDefault="00AC0D2A" w:rsidP="005068AC">
      <w:pPr>
        <w:pStyle w:val="NummerierungStufe3"/>
        <w:rPr>
          <w:rStyle w:val="Marker"/>
          <w:color w:val="auto"/>
        </w:rPr>
      </w:pPr>
      <w:r>
        <w:rPr>
          <w:rStyle w:val="Marker"/>
          <w:color w:val="auto"/>
        </w:rPr>
        <w:t>V bodu 4 se tečka na konci nahrazuje čárkou.</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t>Doplňují se následující čísla 5 a 6:</w:t>
      </w:r>
    </w:p>
    <w:p w14:paraId="33D0714E" w14:textId="1077FDEF" w:rsidR="00241B36" w:rsidRPr="00D43FA1" w:rsidRDefault="00E24BD3" w:rsidP="00E24BD3">
      <w:pPr>
        <w:pStyle w:val="JuristischerAbsatznichtnummeriert"/>
        <w:ind w:left="850" w:firstLine="426"/>
        <w:rPr>
          <w:rStyle w:val="Marker"/>
          <w:color w:val="auto"/>
        </w:rPr>
      </w:pPr>
      <w:r>
        <w:rPr>
          <w:rStyle w:val="Marker"/>
          <w:color w:val="auto"/>
        </w:rPr>
        <w:t xml:space="preserve">„5. oproti § 6a, odst. 1 první větě nebo odst. 6 uvádí na trh materiál přicházejícího do styku s potravinami nebo potravinu nebo </w:t>
      </w:r>
    </w:p>
    <w:p w14:paraId="5E978D5C" w14:textId="45631538" w:rsidR="00B77970" w:rsidRPr="00D43FA1" w:rsidRDefault="00E24BD3" w:rsidP="00E24BD3">
      <w:pPr>
        <w:pStyle w:val="JuristischerAbsatznichtnummeriert"/>
        <w:ind w:left="850" w:firstLine="426"/>
      </w:pPr>
      <w:r>
        <w:rPr>
          <w:rStyle w:val="Marker"/>
          <w:color w:val="auto"/>
        </w:rPr>
        <w:t xml:space="preserve">6. oproti § 6a odst. 4 první větou nezajišťuje vyloučení přenosu aromatických uhlovodíků z minerálních olejů.“ </w:t>
      </w:r>
    </w:p>
    <w:p w14:paraId="7716DBF5" w14:textId="4D9148FD" w:rsidR="005068AC" w:rsidRPr="00D43FA1" w:rsidRDefault="005068AC" w:rsidP="00D43FA1">
      <w:pPr>
        <w:pStyle w:val="NummerierungStufe2"/>
        <w:keepNext/>
        <w:keepLines/>
        <w:rPr>
          <w:rStyle w:val="Marker"/>
          <w:color w:val="auto"/>
        </w:rPr>
      </w:pPr>
      <w:r>
        <w:rPr>
          <w:rStyle w:val="Marker"/>
          <w:color w:val="auto"/>
        </w:rPr>
        <w:t>Odstavec 6 se mění takto:</w:t>
      </w:r>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Bodu 1 je předřazen následující bod 1:</w:t>
      </w:r>
    </w:p>
    <w:p w14:paraId="008549AE" w14:textId="466291BF" w:rsidR="00E24BD3" w:rsidRPr="007E01A6" w:rsidRDefault="00E24BD3" w:rsidP="00E24BD3">
      <w:pPr>
        <w:pStyle w:val="JuristischerAbsatznichtnummeriert"/>
        <w:ind w:left="720" w:firstLine="556"/>
        <w:rPr>
          <w:rStyle w:val="Marker"/>
          <w:color w:val="auto"/>
        </w:rPr>
      </w:pPr>
      <w:r>
        <w:rPr>
          <w:rStyle w:val="Marker"/>
          <w:color w:val="auto"/>
        </w:rPr>
        <w:t>„1. oproti § 6a odst. 5 druhé větě nepředloží informace a podklady, popř. je předloží nesprávné nebo neúplné,“.</w:t>
      </w:r>
    </w:p>
    <w:p w14:paraId="27C15FD7" w14:textId="64F26C1B" w:rsidR="005068AC" w:rsidRPr="00D43FA1" w:rsidRDefault="00504030" w:rsidP="00E53816">
      <w:pPr>
        <w:pStyle w:val="NummerierungStufe3"/>
      </w:pPr>
      <w:r>
        <w:rPr>
          <w:rStyle w:val="Marker"/>
          <w:color w:val="auto"/>
        </w:rPr>
        <w:t>Dosavadní bod 1 se stává bodem 2.</w:t>
      </w:r>
    </w:p>
    <w:p w14:paraId="40868CB4" w14:textId="77777777" w:rsidR="00DA7A9F" w:rsidRPr="00D43FA1" w:rsidRDefault="00DA7A9F" w:rsidP="00D43FA1">
      <w:pPr>
        <w:pStyle w:val="NummerierungStufe1"/>
        <w:keepNext/>
        <w:keepLines/>
      </w:pPr>
      <w:r>
        <w:t>K § 16 budou doplněny následující odstavce 15 a 16:</w:t>
      </w:r>
    </w:p>
    <w:p w14:paraId="53C2A8E8" w14:textId="4612D6D2" w:rsidR="002666C4" w:rsidRPr="00D43FA1" w:rsidRDefault="00C07FE5" w:rsidP="00C07FE5">
      <w:pPr>
        <w:pStyle w:val="JuristischerAbsatznichtnummeriert"/>
        <w:ind w:left="425" w:firstLine="295"/>
      </w:pPr>
      <w:r>
        <w:rPr>
          <w:rStyle w:val="Marker"/>
          <w:color w:val="auto"/>
        </w:rPr>
        <w:t xml:space="preserve">„(15) Ustanovení § 6a </w:t>
      </w:r>
      <w:r>
        <w:t>je účinné až od ... [vložit: datum prvního dne třicátého sedmého kalendářního měsíce následujícího po vyhlášení tohoto nařízení].</w:t>
      </w:r>
    </w:p>
    <w:p w14:paraId="0BC81A17" w14:textId="18B7C145" w:rsidR="00C07FE5" w:rsidRPr="00D43FA1" w:rsidRDefault="00C07FE5" w:rsidP="00C07FE5">
      <w:pPr>
        <w:pStyle w:val="JuristischerAbsatznichtnummeriert"/>
        <w:tabs>
          <w:tab w:val="left" w:pos="1134"/>
          <w:tab w:val="left" w:pos="1418"/>
        </w:tabs>
        <w:ind w:left="425" w:firstLine="295"/>
      </w:pPr>
      <w:r>
        <w:t>(16) Materiály přicházející do styku s potravinami, které byly vyrobeny z buničiny z odpadového materiálu, který byl vyroben v souladu s předpisy platnými do okamžiku uvedeného v odstavci 15, mohou být nadále uváděny na trh a používány do ... [vložit: datum prvního dne šedesátého prvního kalendářního měsíce následujícího po vyhlášení tohoto nařízení].“</w:t>
      </w:r>
    </w:p>
    <w:p w14:paraId="6DD6BE05" w14:textId="1E96CDA2" w:rsidR="00C86A55" w:rsidRPr="00D43FA1" w:rsidRDefault="00D43FA1" w:rsidP="00D43FA1">
      <w:pPr>
        <w:pStyle w:val="ArtikelBezeichner"/>
        <w:numPr>
          <w:ilvl w:val="0"/>
          <w:numId w:val="0"/>
        </w:numPr>
        <w:ind w:left="720" w:hanging="720"/>
      </w:pPr>
      <w:r>
        <w:lastRenderedPageBreak/>
        <w:t>Článek 2</w:t>
      </w:r>
    </w:p>
    <w:p w14:paraId="6244BBAD" w14:textId="77777777" w:rsidR="00C86A55" w:rsidRPr="00D43FA1" w:rsidRDefault="000B2DB8" w:rsidP="00C86A55">
      <w:pPr>
        <w:pStyle w:val="Artikelberschrift"/>
      </w:pPr>
      <w:r>
        <w:t>Svolení k oznámení</w:t>
      </w:r>
    </w:p>
    <w:p w14:paraId="01E0D16A" w14:textId="290C3238" w:rsidR="00C86A55" w:rsidRPr="00D43FA1" w:rsidRDefault="00C86A55" w:rsidP="00B643B8">
      <w:pPr>
        <w:pStyle w:val="JuristischerAbsatznichtnummeriert"/>
      </w:pPr>
      <w:r>
        <w:t>Spolkové ministerstvo výživy a zemědělství může zveřejnit nařízení o spotřebním zboží ve znění platném od ... [vložit: datum vstupu tohoto nařízení v platnost] ve Spolkovém věstníku.</w:t>
      </w:r>
    </w:p>
    <w:p w14:paraId="28CE82C3" w14:textId="25904053" w:rsidR="006444D5" w:rsidRPr="00D43FA1" w:rsidRDefault="00D43FA1" w:rsidP="00D43FA1">
      <w:pPr>
        <w:pStyle w:val="ArtikelBezeichner"/>
        <w:numPr>
          <w:ilvl w:val="0"/>
          <w:numId w:val="0"/>
        </w:numPr>
      </w:pPr>
      <w:r>
        <w:t>Článek 3</w:t>
      </w:r>
    </w:p>
    <w:p w14:paraId="157B2F9D" w14:textId="77777777" w:rsidR="006444D5" w:rsidRPr="00D43FA1" w:rsidRDefault="006444D5" w:rsidP="00612652">
      <w:pPr>
        <w:pStyle w:val="Artikelberschrift"/>
      </w:pPr>
      <w:r>
        <w:rPr>
          <w:rStyle w:val="Marker"/>
          <w:color w:val="auto"/>
        </w:rPr>
        <w:t>Nabytí platnosti</w:t>
      </w:r>
    </w:p>
    <w:p w14:paraId="31DE4A11" w14:textId="77777777" w:rsidR="006444D5" w:rsidRPr="00D43FA1" w:rsidRDefault="00C86A55" w:rsidP="00612652">
      <w:pPr>
        <w:pStyle w:val="JuristischerAbsatznichtnummeriert"/>
      </w:pPr>
      <w:r>
        <w:rPr>
          <w:rStyle w:val="Marker"/>
          <w:color w:val="auto"/>
        </w:rPr>
        <w:t>Toto nařízení nabývá platnosti v den po jeho oznámení.</w:t>
      </w:r>
    </w:p>
    <w:p w14:paraId="37CC3236" w14:textId="77777777" w:rsidR="006444D5" w:rsidRPr="00D43FA1" w:rsidRDefault="006444D5" w:rsidP="006444D5">
      <w:pPr>
        <w:pStyle w:val="Schlussformel"/>
        <w:rPr>
          <w:rStyle w:val="Marker"/>
          <w:color w:val="auto"/>
        </w:rPr>
      </w:pPr>
      <w:r>
        <w:rPr>
          <w:rStyle w:val="Marker"/>
          <w:color w:val="auto"/>
        </w:rPr>
        <w:t>Spolková rada vyslovila souhlas.</w:t>
      </w:r>
    </w:p>
    <w:p w14:paraId="2FAF18C3" w14:textId="5D4D10CB" w:rsidR="00646A3B" w:rsidRPr="00D43FA1" w:rsidRDefault="001B10CC" w:rsidP="00646A3B">
      <w:pPr>
        <w:pStyle w:val="OrtDatum"/>
      </w:pPr>
      <w:r>
        <w:t>V Bonnu, dne…..2020</w:t>
      </w:r>
    </w:p>
    <w:p w14:paraId="6B55ADD4" w14:textId="5958D35B" w:rsidR="00646A3B" w:rsidRPr="00D43FA1" w:rsidRDefault="00646A3B" w:rsidP="00646A3B">
      <w:pPr>
        <w:pStyle w:val="Organisation"/>
        <w:rPr>
          <w:spacing w:val="0"/>
        </w:rPr>
      </w:pPr>
    </w:p>
    <w:p w14:paraId="50FA98AC" w14:textId="24B1EF63" w:rsidR="00646A3B" w:rsidRPr="00CA5760" w:rsidRDefault="00646A3B" w:rsidP="00646A3B">
      <w:pPr>
        <w:pStyle w:val="Organisation"/>
        <w:rPr>
          <w:spacing w:val="0"/>
        </w:rPr>
      </w:pPr>
      <w:r w:rsidRPr="00CA5760">
        <w:rPr>
          <w:spacing w:val="0"/>
        </w:rPr>
        <w:t xml:space="preserve">Spolková ministryně </w:t>
      </w:r>
    </w:p>
    <w:p w14:paraId="38BFE5A9" w14:textId="2AF85087" w:rsidR="00646A3B" w:rsidRPr="00CA5760" w:rsidRDefault="00646A3B" w:rsidP="00646A3B">
      <w:pPr>
        <w:pStyle w:val="Organisation"/>
        <w:rPr>
          <w:spacing w:val="0"/>
        </w:rPr>
      </w:pPr>
      <w:r w:rsidRPr="00CA5760">
        <w:rPr>
          <w:spacing w:val="0"/>
        </w:rPr>
        <w:t>výživy a zemědělství</w:t>
      </w:r>
    </w:p>
    <w:p w14:paraId="390D4D95" w14:textId="18482467" w:rsidR="006444D5" w:rsidRPr="00D43FA1" w:rsidRDefault="006444D5" w:rsidP="00D43FA1">
      <w:pPr>
        <w:pStyle w:val="BegrndungTitel"/>
        <w:keepLines/>
        <w:pageBreakBefore/>
      </w:pPr>
      <w:r>
        <w:lastRenderedPageBreak/>
        <w:t>Odůvodnění</w:t>
      </w:r>
    </w:p>
    <w:p w14:paraId="4E661150" w14:textId="77777777" w:rsidR="006444D5" w:rsidRPr="00D43FA1" w:rsidRDefault="006444D5" w:rsidP="00D43FA1">
      <w:pPr>
        <w:pStyle w:val="BegrndungAllgemeinerTeil"/>
        <w:keepLines/>
      </w:pPr>
      <w:r>
        <w:t>A. Všeobecná část</w:t>
      </w:r>
    </w:p>
    <w:p w14:paraId="3CB30F24" w14:textId="77777777" w:rsidR="006444D5" w:rsidRPr="00D43FA1" w:rsidRDefault="006444D5" w:rsidP="00D43FA1">
      <w:pPr>
        <w:pStyle w:val="berschriftrmischBegrndung"/>
        <w:keepLines/>
      </w:pPr>
      <w:r>
        <w:t>Stanovení cíle a potřeb předpisů</w:t>
      </w:r>
    </w:p>
    <w:p w14:paraId="3C58B331" w14:textId="65DA7301" w:rsidR="00CB5E99" w:rsidRPr="00D43FA1" w:rsidRDefault="00CB5E99" w:rsidP="00CB5E99">
      <w:pPr>
        <w:pStyle w:val="Text"/>
      </w:pPr>
      <w:r>
        <w:t xml:space="preserve">Potraviny mohou být kontaminovány minerálním olejem, jak prokázala m.j. zjištění výzkumného projektu financovaného Spolkovým ministerstvem výživy a zemědělství (rozsah migrace nežádoucích látek z obalových materiálů z odpadového papíru do potravin – zvláštní zpráva o rozboru „119 potravin“ týkající se nežádoucích látek z odpadového papíru, kód financování 2809HS012). Kromě jiných vstupních zdrojů je hlavní příčinou balení potravin vyrobené z papíru, lepenky nebo kartonu, zejména obaly vyrobené z recyklovaného papíru. </w:t>
      </w:r>
    </w:p>
    <w:p w14:paraId="31DF33D8" w14:textId="77777777" w:rsidR="00CB5E99" w:rsidRPr="00CA5760" w:rsidRDefault="00CB5E99" w:rsidP="00CB5E99">
      <w:pPr>
        <w:pStyle w:val="Text"/>
        <w:rPr>
          <w:spacing w:val="-4"/>
        </w:rPr>
      </w:pPr>
      <w:r w:rsidRPr="00CA5760">
        <w:rPr>
          <w:spacing w:val="-4"/>
        </w:rPr>
        <w:t>Minerální olej se může dostat do recyklačního papíru získáním odpadního papíru. Recyklovaný papír obsahuje vlákno, které se získává z odpadního papíru (tzv. buničina z odpadového materiálu). Odpadní papír sestává v zásadě z novin, reklamních papírů, časopisů, katalogů a jiných grafických papírů a balicího papíru. K tisku na tyto papíry se používají tiskařské barvy, které v závislosti na procesu tisku a oblasti aplikace také obsahují minerální olej.</w:t>
      </w:r>
    </w:p>
    <w:p w14:paraId="5AD4C587" w14:textId="19035162" w:rsidR="00CB5E99" w:rsidRPr="00CC55B6" w:rsidRDefault="00CB5E99" w:rsidP="00CB5E99">
      <w:pPr>
        <w:pStyle w:val="Text"/>
        <w:rPr>
          <w:spacing w:val="-6"/>
        </w:rPr>
      </w:pPr>
      <w:r w:rsidRPr="00CC55B6">
        <w:rPr>
          <w:spacing w:val="-6"/>
        </w:rPr>
        <w:t>Minerální olej se získává z ropy a je složitou směsí, která se skládá převážně z nasycených (řetězových a kruhových) a aromatických (většinou alkylovaných) uhlovodíků. V některých případech bylo v potravě nalezeno značné množství uhlovodíků z minerálního oleje. To zahrnuje také aromatické uhlovodíky z minerálních olejů (MOAH). Podle názoru Spolkového ústavu pro hodnocení rizik (BfR) by měl být příjem MOAH minimalizován (např. stanovisko BfR č. 008/2010, tisková zpráva BfR 41/2012, FAQ BfR ze dne 30. listopadu 2012/26. listopadu 2015), protože nelze vyloučit, že MOAH obsahují látky, které jsou již v nepatrném množství zdraví škodlivé a mohou například způsobit rakovinu. Evropský úřad pro bezpečnost potravin (EFSA) rovněž vyjádřil obavy ve svém stanovisku ze dne 3. května 2012 (Věstník EFSA z roku 2012;10(6):2704), pokud jde o vystavení MOAH kvůli jejich možnému karcinogennímu potenciálu. EFSA rovněž zjistil, že obaly potravin založené na odpadním papíru mohou významně přispět k expozici uhlovodíků z minerálních olejů z potravin.</w:t>
      </w:r>
    </w:p>
    <w:p w14:paraId="2FAAA0A3" w14:textId="77777777" w:rsidR="00612652" w:rsidRPr="007E01A6" w:rsidRDefault="00612652">
      <w:pPr>
        <w:pStyle w:val="Text"/>
      </w:pPr>
      <w:r>
        <w:t>Účelem tohoto nařízení je výrazně zlepšit ochranu spotřebitelů před možnými zdravotními riziky způsobenými materiály přicházejícími do styku s potravinami vyrobenými z papíru, kartonu nebo lepenky, které jsou vyráběny z recyklovaného papíru a ze kterých lze MOAH přenášet do potravin.</w:t>
      </w:r>
    </w:p>
    <w:p w14:paraId="3FE169D4" w14:textId="0217AD32" w:rsidR="006444D5" w:rsidRPr="00D43FA1" w:rsidRDefault="006444D5">
      <w:pPr>
        <w:pStyle w:val="berschriftrmischBegrndung"/>
      </w:pPr>
      <w:r>
        <w:lastRenderedPageBreak/>
        <w:t>Hlavní obsahové body</w:t>
      </w:r>
    </w:p>
    <w:p w14:paraId="45A5B0F9" w14:textId="00E7D335" w:rsidR="00F04D45" w:rsidRPr="00CC55B6" w:rsidRDefault="00F04D45" w:rsidP="00CC55B6">
      <w:pPr>
        <w:pStyle w:val="Text"/>
        <w:keepLines/>
        <w:rPr>
          <w:spacing w:val="-4"/>
          <w:szCs w:val="24"/>
        </w:rPr>
      </w:pPr>
      <w:r w:rsidRPr="00CC55B6">
        <w:rPr>
          <w:spacing w:val="-4"/>
        </w:rPr>
        <w:t>Účelem tohoto nařízení je co nejvíce omezit přechod MOAH z materiálů přicházejících do styku s potravinami vyrobených z papíru, kartonu nebo kartonu, které jsou vyráběny z recyklovaného papíru, na potraviny. Vhodným způsobem zavedení takového omezení je funkční bariéra. Proto je vytvořena základní povinnost vybavit příslušné materiály přicházející do styku s potravinami takovou funkční bariérou. Podle tohoto nařízení je funkčnost bariéry určována detekčním limitem 0,5 miligramů MOAH na kilogram potravy pro přechod z materiálu přicházejícího do styku s potravinami. Při testování v simulantech potravin platí detekční limit 0,15 miligramů MOAH na kilogram simulantu potravin. Povinnost výrobce nebo distributora materiálů přicházejících do styku s potravinami vybavit materiály přicházející do styku s potravinami funkční bariérou však odpadá, pokud provozovatel potravinářského podniku, který nakupuje materiál přicházející do styku s potravinami, prohlásí výrobci nebo distributorovi, že před dodáním nepoužívá funkční bariéru. V tomto případě musí provozovatel potravinářského podniku přijmout vlastní opatření, aby zajistil, že nedojde k přechodu MOAH na potraviny, pokud neexistují zvláštní podmínky, např. s ohledem na povahu potravin, které brání přenosu MOAH na potraviny. Povinnost vybavit materiály přicházející do styku s potravinami funkční bariérou rovněž odpadá, pokud výrobce nebo distributor materiálů přicházejících do styku s potravinami může jiným způsobem než je použití funkční bariéry zaručit, že je zabráněno přenosu MOAH na potraviny. K tomu by mohl například dojít v případě, že obsah MOAH v papíru, lepence nebo kartonu je tak nízký, že nedochází k přenosu MOAH na potraviny nad detekční limit.</w:t>
      </w:r>
    </w:p>
    <w:p w14:paraId="00831AD3" w14:textId="77777777" w:rsidR="006444D5" w:rsidRPr="00D43FA1" w:rsidRDefault="006444D5">
      <w:pPr>
        <w:pStyle w:val="berschriftrmischBegrndung"/>
      </w:pPr>
      <w:r>
        <w:t>Alternativy</w:t>
      </w:r>
    </w:p>
    <w:p w14:paraId="40A8C660" w14:textId="4C5EB003" w:rsidR="00CB5E99" w:rsidRPr="00D43FA1" w:rsidRDefault="00E53816" w:rsidP="00CB5E99">
      <w:pPr>
        <w:pStyle w:val="Text"/>
      </w:pPr>
      <w:r>
        <w:t xml:space="preserve">Žádné. Za účelem ochrany zdraví spotřebitelů a zajištění jednotné manipulace se vyžadují odpovídající právní požadavky a závazné uplatňování detekčního limitu pro MOAH v potravinách. </w:t>
      </w:r>
    </w:p>
    <w:p w14:paraId="25CF33C9" w14:textId="77777777" w:rsidR="00F279DE" w:rsidRPr="00D43FA1" w:rsidRDefault="00F279DE">
      <w:pPr>
        <w:pStyle w:val="berschriftrmischBegrndung"/>
      </w:pPr>
      <w:r>
        <w:t>Legislativní pravomoc</w:t>
      </w:r>
    </w:p>
    <w:p w14:paraId="19025BF8" w14:textId="613F8FF1" w:rsidR="00F279DE" w:rsidRPr="00D43FA1" w:rsidRDefault="007525FC" w:rsidP="00F279DE">
      <w:pPr>
        <w:pStyle w:val="Text"/>
      </w:pPr>
      <w:r>
        <w:t>Na základě ustanovení § 31 odst. 2 první věty bodu 2 LFGB, rovněž ve spojení s § 4 odst. 2 bodem 2 a § 46 odst. 2 první větou bodem 1 písm. a) LFGB, jakož i § 34 první větou bodem 2, jakož i ve spojení s § 4 odst. 2 bodem 2 LFGB, je Spolkové ministerstvo výživy a zemědělství oprávněno k vydání tohoto nařízení.</w:t>
      </w:r>
    </w:p>
    <w:p w14:paraId="0A8F0A8B" w14:textId="77777777" w:rsidR="00CD79FA" w:rsidRPr="00D43FA1" w:rsidRDefault="00CD79FA">
      <w:pPr>
        <w:pStyle w:val="berschriftrmischBegrndung"/>
      </w:pPr>
      <w:r>
        <w:t>Slučitelnost s právem Evropské unie a mezinárodně právními smlouvami</w:t>
      </w:r>
    </w:p>
    <w:p w14:paraId="2C943AFB" w14:textId="238938AF" w:rsidR="00CD79FA" w:rsidRPr="00D43FA1" w:rsidRDefault="00CD79FA" w:rsidP="00CD79FA">
      <w:pPr>
        <w:pStyle w:val="Text"/>
      </w:pPr>
      <w:r>
        <w:t>Právní předpisy EU o materiálech přicházejících do styku s potravinami dosud nebyly zcela harmonizovány. Nařízení (ES) č. 1935/2004 stanoví obecné požadavky. Jednotlivá opatření však dosud existovala pouze pro jednotlivé skupiny materiálů. Článek 6 nařízení (ES) č. 1935/2004 umožňuje členským státům EU zachovat nebo přijmout vnitrostátní předpisy pro skupiny materiálů a předmětů, pro které nebyla na úrovni EU přijata žádná jednotlivá opatření. Pro materiály přicházející do styku s potravinami vyrobené z papíru, lepenky nebo kartonu – jak z čerstvé vlákniny, tak i z buničiny z odpadového materiálu – žádná taková jednotlivá opatření EU neexistují. V tomto ohledu zde panuje slučitelnost s právními předpisy EU. Mezinárodní smlouvy tím nejsou dotčeny.</w:t>
      </w:r>
    </w:p>
    <w:p w14:paraId="4DA789C5" w14:textId="77777777" w:rsidR="006444D5" w:rsidRPr="00D43FA1" w:rsidRDefault="006444D5">
      <w:pPr>
        <w:pStyle w:val="berschriftrmischBegrndung"/>
      </w:pPr>
      <w:r>
        <w:lastRenderedPageBreak/>
        <w:t>Právní důsledky</w:t>
      </w:r>
    </w:p>
    <w:p w14:paraId="2F5D3B8F" w14:textId="77777777" w:rsidR="009809AB" w:rsidRPr="00D43FA1" w:rsidRDefault="009809AB">
      <w:pPr>
        <w:pStyle w:val="berschriftarabischBegrndung"/>
      </w:pPr>
      <w:r>
        <w:t>Právní a správní zjednodušení</w:t>
      </w:r>
    </w:p>
    <w:p w14:paraId="26C2B37E" w14:textId="16E58B47" w:rsidR="009809AB" w:rsidRPr="00D43FA1" w:rsidRDefault="009809AB" w:rsidP="00CC55B6">
      <w:pPr>
        <w:pStyle w:val="Text"/>
        <w:keepLines/>
      </w:pPr>
      <w:r>
        <w:t xml:space="preserve">Toto nařízení nestanovuje zjednodušení nebo zrušení předpisů. Požadavky týkající se zamezení přenosu MOAH z materiálů přicházejících do styku s potravinami vyrobených z papíru, lepenky nebo kartonu obsahujícího recyklovaný papír však budou standardizovány, čímž se výrazně zlepší právní jistota jak pro příslušné orgány spolkových zemí, tak pro dotčené hospodářství. </w:t>
      </w:r>
    </w:p>
    <w:p w14:paraId="166CBABF" w14:textId="77777777" w:rsidR="006444D5" w:rsidRPr="00D43FA1" w:rsidRDefault="006444D5">
      <w:pPr>
        <w:pStyle w:val="berschriftarabischBegrndung"/>
      </w:pPr>
      <w:r>
        <w:t>Aspekty udržitelnosti</w:t>
      </w:r>
    </w:p>
    <w:p w14:paraId="64450049" w14:textId="6C431023" w:rsidR="00612652" w:rsidRPr="00CC55B6" w:rsidRDefault="00B269E6">
      <w:pPr>
        <w:pStyle w:val="Text"/>
        <w:rPr>
          <w:spacing w:val="-4"/>
        </w:rPr>
      </w:pPr>
      <w:r w:rsidRPr="00CC55B6">
        <w:rPr>
          <w:spacing w:val="-4"/>
        </w:rPr>
        <w:t xml:space="preserve">Posuzování dopadu na udržitelnost podle § 44 odst. 1 čtvrté věty společného jednacího řádu spolkových ministerstev (GGO) byla provedena. Současná nařízení jsou udržitelná ve smyslu německé strategie udržitelnosti. Obzvláště důležitý je 3. cíl globální udržitelnosti. „Zajistit zdravý život lidí všech věkových skupin a podporovat jejich pohodu“. Dále se bere v úvahu zásada udržitelného rozvoje dle ustanovení bodu 3 písm. b): „Vyvarujte se nebezpečí a nepřijatelných rizik pro lidské zdraví“. Přispívá také ke 12. globálnímu cíli „Zajistit udržitelné vzorce spotřeby a výroby“. V zájmu udržitelnosti bude v budoucnu možné také použití recyklačních materiálů pro materiály přicházející do styku s potravinami vyrobené z papíru, kartonu nebo lepenky za předpokladu, že budou splněny požadavky na ochranu spotřebitele uvedené v tomto nařízení. Nařízením se zajišťuje, aby spotřebitelé nebyli nepříznivě ovlivněni komponenty minerálních olejů z materiálů přicházejících do styku s potravinami vyrobených z papíru, lepenky nebo kartonu, které byly vyrobeny z buničiny z odpadového materiálu. Slouží k ochraně zdraví spotřebitelů, a tím přispívá k udržitelnému rozvoji. </w:t>
      </w:r>
    </w:p>
    <w:p w14:paraId="4628D4A0" w14:textId="77777777" w:rsidR="006444D5" w:rsidRPr="00D43FA1" w:rsidRDefault="006444D5">
      <w:pPr>
        <w:pStyle w:val="berschriftarabischBegrndung"/>
      </w:pPr>
      <w:r>
        <w:t>Rozpočtové výdaje bez realizačních nákladů</w:t>
      </w:r>
    </w:p>
    <w:p w14:paraId="2771CB61" w14:textId="77777777" w:rsidR="003923C4" w:rsidRPr="00D43FA1" w:rsidRDefault="00CB5E99">
      <w:pPr>
        <w:pStyle w:val="Text"/>
      </w:pPr>
      <w:r>
        <w:t>Veřejné rozpočty nejsou zatíženy rozpočtovými výdaji bez nákladů na vymáhání.</w:t>
      </w:r>
    </w:p>
    <w:p w14:paraId="53940621" w14:textId="77777777" w:rsidR="006444D5" w:rsidRPr="00D43FA1" w:rsidRDefault="006444D5" w:rsidP="0070360F">
      <w:pPr>
        <w:pStyle w:val="berschriftarabischBegrndung"/>
        <w:keepLines/>
      </w:pPr>
      <w:r>
        <w:t>Realizační náklady</w:t>
      </w:r>
    </w:p>
    <w:p w14:paraId="70BBFB2C" w14:textId="77777777" w:rsidR="00D25113" w:rsidRPr="00D43FA1" w:rsidRDefault="00D25113" w:rsidP="0070360F">
      <w:pPr>
        <w:pStyle w:val="Text"/>
        <w:keepNext/>
        <w:keepLines/>
        <w:rPr>
          <w:u w:val="single"/>
        </w:rPr>
      </w:pPr>
      <w:r>
        <w:rPr>
          <w:u w:val="single"/>
        </w:rPr>
        <w:t>a) Realizační náklady na dodržování předpisů</w:t>
      </w:r>
    </w:p>
    <w:p w14:paraId="769FC95B" w14:textId="77777777" w:rsidR="00612652" w:rsidRPr="00D43FA1" w:rsidRDefault="00612652" w:rsidP="0070360F">
      <w:pPr>
        <w:pStyle w:val="Text"/>
        <w:keepNext/>
        <w:keepLines/>
      </w:pPr>
      <w:r>
        <w:t>Nařízení nepředstavuje žádné další náklady pro správní úřady.</w:t>
      </w:r>
      <w:r>
        <w:cr/>
      </w:r>
      <w:r>
        <w:br/>
        <w:t xml:space="preserve"> </w:t>
      </w:r>
    </w:p>
    <w:p w14:paraId="6AFCAA5B" w14:textId="10F350A1" w:rsidR="00AD0A9D" w:rsidRPr="00D43FA1" w:rsidRDefault="006A578D" w:rsidP="0070360F">
      <w:pPr>
        <w:pStyle w:val="Text"/>
        <w:keepNext/>
        <w:keepLines/>
      </w:pPr>
      <w:r>
        <w:t>Na základě informací poskytnutých jednotlivými zeměmi vznikají správě úřadů následující dodatečné realizační náklady na dodržování předpisů kvůli dodatečným monitorovacím a kontrolním činnostem prostřednictvím nařízení:</w:t>
      </w:r>
    </w:p>
    <w:tbl>
      <w:tblPr>
        <w:tblStyle w:val="TableGrid"/>
        <w:tblW w:w="0" w:type="auto"/>
        <w:tblLook w:val="04A0" w:firstRow="1" w:lastRow="0" w:firstColumn="1" w:lastColumn="0" w:noHBand="0" w:noVBand="1"/>
      </w:tblPr>
      <w:tblGrid>
        <w:gridCol w:w="4398"/>
        <w:gridCol w:w="4381"/>
      </w:tblGrid>
      <w:tr w:rsidR="00AD0A9D" w:rsidRPr="00D43FA1" w14:paraId="6E6BEC6C" w14:textId="77777777" w:rsidTr="007905CF">
        <w:tc>
          <w:tcPr>
            <w:tcW w:w="4464" w:type="dxa"/>
          </w:tcPr>
          <w:p w14:paraId="7A206076" w14:textId="77777777" w:rsidR="00AD0A9D" w:rsidRPr="00D43FA1" w:rsidRDefault="00E77C05" w:rsidP="007905CF">
            <w:pPr>
              <w:pStyle w:val="Text"/>
            </w:pPr>
            <w:r>
              <w:t>Jednorázové náklady na materiál</w:t>
            </w:r>
          </w:p>
        </w:tc>
        <w:tc>
          <w:tcPr>
            <w:tcW w:w="4465" w:type="dxa"/>
          </w:tcPr>
          <w:p w14:paraId="4721955D" w14:textId="77777777" w:rsidR="00AD0A9D" w:rsidRPr="00D43FA1" w:rsidRDefault="00AD0A9D" w:rsidP="009969BE">
            <w:pPr>
              <w:pStyle w:val="Text"/>
              <w:jc w:val="left"/>
            </w:pPr>
            <w:r>
              <w:t>ca.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Jednorázové personální náklady</w:t>
            </w:r>
          </w:p>
        </w:tc>
        <w:tc>
          <w:tcPr>
            <w:tcW w:w="4465" w:type="dxa"/>
          </w:tcPr>
          <w:p w14:paraId="38C1D206" w14:textId="77777777" w:rsidR="00AD0A9D" w:rsidRPr="00D43FA1" w:rsidRDefault="00AD0A9D" w:rsidP="009969BE">
            <w:pPr>
              <w:pStyle w:val="Text"/>
              <w:jc w:val="left"/>
            </w:pPr>
            <w:r>
              <w:t>ca.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Roční náklady na materiál</w:t>
            </w:r>
          </w:p>
        </w:tc>
        <w:tc>
          <w:tcPr>
            <w:tcW w:w="4465" w:type="dxa"/>
          </w:tcPr>
          <w:p w14:paraId="4080915D" w14:textId="77777777" w:rsidR="00AD0A9D" w:rsidRPr="00D43FA1" w:rsidRDefault="00AD0A9D" w:rsidP="009969BE">
            <w:pPr>
              <w:pStyle w:val="Text"/>
              <w:jc w:val="left"/>
            </w:pPr>
            <w:r>
              <w:t>ca.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Roční personální náklady</w:t>
            </w:r>
          </w:p>
        </w:tc>
        <w:tc>
          <w:tcPr>
            <w:tcW w:w="4465" w:type="dxa"/>
          </w:tcPr>
          <w:p w14:paraId="21ABAEB6" w14:textId="77777777" w:rsidR="00AD0A9D" w:rsidRPr="00D43FA1" w:rsidRDefault="00AD0A9D" w:rsidP="000636B3">
            <w:pPr>
              <w:pStyle w:val="Text"/>
              <w:jc w:val="left"/>
            </w:pPr>
            <w:r>
              <w:t>ca. 292 000 EUR</w:t>
            </w:r>
          </w:p>
        </w:tc>
      </w:tr>
    </w:tbl>
    <w:p w14:paraId="6B8CCD1C" w14:textId="77777777" w:rsidR="00E6133B" w:rsidRPr="00D43FA1" w:rsidRDefault="00E6133B" w:rsidP="00612652">
      <w:pPr>
        <w:pStyle w:val="Text"/>
      </w:pPr>
      <w:r>
        <w:t xml:space="preserve">Výsledkem jsou průměrné jednorázové realizační náklady ve výši 236 200 EUR a průměrné roční realizační náklady ve výši 74 400 EUR. </w:t>
      </w:r>
    </w:p>
    <w:p w14:paraId="525979E7" w14:textId="108FCA64" w:rsidR="00891D8C" w:rsidRPr="007E01A6" w:rsidRDefault="007C7B00" w:rsidP="00E24BD3">
      <w:pPr>
        <w:pStyle w:val="Text"/>
      </w:pPr>
      <w:r>
        <w:t xml:space="preserve">Tyto náklady se skládají z následujících položek v souladu s níže uvedenými údaji jednotlivých zemí. Ne všechny země ohlásily dopad nařízení na náklady. To může být odůvodněna např. tím, že taková vyšetřování nejsou zpočátku prováděna nebo jsou prováděna ve spolupráci s jinými zeměmi. </w:t>
      </w:r>
    </w:p>
    <w:p w14:paraId="4DA66B7C" w14:textId="77777777" w:rsidR="007C7B00" w:rsidRPr="00D43FA1" w:rsidRDefault="007C7B00" w:rsidP="0070360F">
      <w:pPr>
        <w:pStyle w:val="Text"/>
        <w:keepNext/>
        <w:keepLines/>
        <w:tabs>
          <w:tab w:val="left" w:pos="0"/>
        </w:tabs>
        <w:spacing w:before="0" w:after="0"/>
        <w:rPr>
          <w:u w:val="single"/>
        </w:rPr>
      </w:pPr>
      <w:r>
        <w:rPr>
          <w:u w:val="single"/>
        </w:rPr>
        <w:lastRenderedPageBreak/>
        <w:t>Bádensko-Württembersko:</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4"/>
        <w:gridCol w:w="4395"/>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Jednorázové náklady na materiál:</w:t>
            </w:r>
          </w:p>
        </w:tc>
        <w:tc>
          <w:tcPr>
            <w:tcW w:w="4465" w:type="dxa"/>
          </w:tcPr>
          <w:p w14:paraId="633997F1" w14:textId="77777777" w:rsidR="009969BE" w:rsidRPr="00D43FA1" w:rsidRDefault="000636B3" w:rsidP="000636B3">
            <w:pPr>
              <w:pStyle w:val="Text"/>
            </w:pPr>
            <w:r>
              <w:t xml:space="preserve">220 000 EUR (pořízení zařízení)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Jednorázové personální náklady: </w:t>
            </w:r>
          </w:p>
        </w:tc>
        <w:tc>
          <w:tcPr>
            <w:tcW w:w="4465" w:type="dxa"/>
          </w:tcPr>
          <w:p w14:paraId="65DA8490" w14:textId="77777777" w:rsidR="009969BE" w:rsidRPr="00D43FA1" w:rsidRDefault="000636B3" w:rsidP="000636B3">
            <w:pPr>
              <w:pStyle w:val="Text"/>
              <w:tabs>
                <w:tab w:val="left" w:pos="0"/>
              </w:tabs>
              <w:jc w:val="left"/>
            </w:pPr>
            <w:r>
              <w:t>35 000 EUR (zavedení standardizované analýzy bez měření rutinních vzorků)</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Roční náklady na materiál:</w:t>
            </w:r>
          </w:p>
        </w:tc>
        <w:tc>
          <w:tcPr>
            <w:tcW w:w="4465" w:type="dxa"/>
          </w:tcPr>
          <w:p w14:paraId="77320B51" w14:textId="77777777" w:rsidR="009969BE" w:rsidRPr="00D43FA1" w:rsidRDefault="009969BE" w:rsidP="000636B3">
            <w:pPr>
              <w:pStyle w:val="Text"/>
              <w:jc w:val="left"/>
            </w:pPr>
            <w:r>
              <w:t>cca 10 000 EUR (odhad) (údržba zařízení, spotřební materiál, opravy atd.)</w:t>
            </w:r>
            <w:r>
              <w:cr/>
            </w:r>
            <w:r>
              <w:br/>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Roční personální náklady:</w:t>
            </w:r>
          </w:p>
        </w:tc>
        <w:tc>
          <w:tcPr>
            <w:tcW w:w="4465" w:type="dxa"/>
          </w:tcPr>
          <w:p w14:paraId="440A534D" w14:textId="10CD4318" w:rsidR="000636B3" w:rsidRPr="00D43FA1" w:rsidRDefault="000636B3" w:rsidP="00E24BD3">
            <w:pPr>
              <w:contextualSpacing/>
              <w:jc w:val="left"/>
            </w:pPr>
            <w:r>
              <w:t>ca. 60 000 EUR (za předpokladu, že CTA a vedoucí laboratoře jsou nasazeny na 50 %; skutečné roční náklady na zaměstnance jsou závislé na skutečném počtu vzorků a skutečném úsilí o kontrolu dokumentů).</w:t>
            </w:r>
          </w:p>
        </w:tc>
      </w:tr>
    </w:tbl>
    <w:p w14:paraId="08E5AD35" w14:textId="2F20F6E7" w:rsidR="007C7B00" w:rsidRPr="00D43FA1" w:rsidRDefault="007C7B00" w:rsidP="009969BE">
      <w:pPr>
        <w:pStyle w:val="Text"/>
        <w:spacing w:before="0" w:after="0"/>
      </w:pPr>
    </w:p>
    <w:p w14:paraId="37B8C963" w14:textId="77777777" w:rsidR="00D43FA1" w:rsidRDefault="007C7B00" w:rsidP="00BE6637">
      <w:pPr>
        <w:pStyle w:val="ListParagraph"/>
        <w:ind w:left="0"/>
        <w:contextualSpacing/>
        <w:rPr>
          <w:rFonts w:ascii="Arial" w:hAnsi="Arial" w:cs="Arial"/>
          <w:sz w:val="22"/>
          <w:szCs w:val="22"/>
        </w:rPr>
      </w:pPr>
      <w:r>
        <w:rPr>
          <w:rFonts w:ascii="Arial" w:hAnsi="Arial"/>
          <w:sz w:val="22"/>
        </w:rPr>
        <w:t xml:space="preserve">Jmenovité náklady zahrnují úsilí vynaložené na analýzu a náklady pouze na část přezkumu dokumentů ve zkušebním zařízení, protože neexistuje povinnost registrovat společnosti v oblasti výroby a uvádění materiálů přicházejících do styku s potravinami na trhu, a proto neexistují žádné úplné údaje o počtu těchto výrobců a nařízení se vztahuje na distributora materiálů pro styk s potravinami.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t>Bavorsko:</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98"/>
        <w:gridCol w:w="4381"/>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Jednorázové náklady na materiál:</w:t>
            </w:r>
          </w:p>
        </w:tc>
        <w:tc>
          <w:tcPr>
            <w:tcW w:w="4465" w:type="dxa"/>
          </w:tcPr>
          <w:p w14:paraId="368558E6" w14:textId="77777777" w:rsidR="000636B3" w:rsidRPr="00D43FA1" w:rsidRDefault="000636B3" w:rsidP="000636B3">
            <w:pPr>
              <w:pStyle w:val="Text"/>
              <w:rPr>
                <w:color w:val="000000"/>
              </w:rPr>
            </w:pPr>
            <w:r>
              <w:rPr>
                <w:color w:val="000000"/>
              </w:rPr>
              <w:t xml:space="preserve">ca. 200 000 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Roční personální náklady:</w:t>
            </w:r>
          </w:p>
        </w:tc>
        <w:tc>
          <w:tcPr>
            <w:tcW w:w="4465" w:type="dxa"/>
          </w:tcPr>
          <w:p w14:paraId="670B56AD" w14:textId="77777777" w:rsidR="000636B3" w:rsidRPr="00D43FA1" w:rsidRDefault="000636B3" w:rsidP="000636B3">
            <w:pPr>
              <w:pStyle w:val="Text"/>
              <w:rPr>
                <w:color w:val="000000"/>
              </w:rPr>
            </w:pPr>
            <w:r>
              <w:rPr>
                <w:color w:val="000000"/>
              </w:rPr>
              <w:t xml:space="preserve">ca. 72 000 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Roční náklady na materiál: </w:t>
            </w:r>
          </w:p>
        </w:tc>
        <w:tc>
          <w:tcPr>
            <w:tcW w:w="4465" w:type="dxa"/>
          </w:tcPr>
          <w:p w14:paraId="3AA9289D" w14:textId="77777777" w:rsidR="000636B3" w:rsidRPr="00D43FA1" w:rsidRDefault="000636B3" w:rsidP="000636B3">
            <w:pPr>
              <w:pStyle w:val="Text"/>
              <w:rPr>
                <w:color w:val="000000"/>
              </w:rPr>
            </w:pPr>
            <w:r>
              <w:rPr>
                <w:color w:val="000000"/>
              </w:rPr>
              <w:t xml:space="preserve">ca. 10 000 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Dolní Sasko:</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91"/>
        <w:gridCol w:w="4388"/>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Jednorázové náklady na materiál: </w:t>
            </w:r>
          </w:p>
        </w:tc>
        <w:tc>
          <w:tcPr>
            <w:tcW w:w="4465" w:type="dxa"/>
          </w:tcPr>
          <w:p w14:paraId="3E9249EF" w14:textId="7A6FADAD" w:rsidR="0092712D" w:rsidRPr="00D43FA1" w:rsidRDefault="0092712D" w:rsidP="00CB2B7C">
            <w:pPr>
              <w:spacing w:before="0" w:after="0"/>
              <w:jc w:val="left"/>
            </w:pPr>
            <w:r>
              <w:t>170 000 EUR (náklady na zařízení pro spojení HPLC-GC)</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Roční náklady:</w:t>
            </w:r>
          </w:p>
        </w:tc>
        <w:tc>
          <w:tcPr>
            <w:tcW w:w="4465" w:type="dxa"/>
          </w:tcPr>
          <w:p w14:paraId="51489E53" w14:textId="640CCC19" w:rsidR="0092712D" w:rsidRPr="00D43FA1" w:rsidRDefault="0092712D" w:rsidP="00CB2B7C">
            <w:pPr>
              <w:pStyle w:val="Text"/>
              <w:spacing w:before="0" w:after="0"/>
              <w:jc w:val="left"/>
              <w:rPr>
                <w:u w:val="single"/>
              </w:rPr>
            </w:pPr>
            <w:r>
              <w:t>52 000 EUR (na základě 200 vzorků, které mají být vyšetřeny, a 40 revizí dokumentů za rok</w:t>
            </w:r>
            <w:r>
              <w:rPr>
                <w:rFonts w:ascii="Calibri" w:hAnsi="Calibri"/>
              </w:rPr>
              <w:t>)</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Šlesvicko-Holštýnsko:</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8"/>
        <w:gridCol w:w="4391"/>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Jednorázové náklady na materiál:</w:t>
            </w:r>
          </w:p>
        </w:tc>
        <w:tc>
          <w:tcPr>
            <w:tcW w:w="4465" w:type="dxa"/>
          </w:tcPr>
          <w:p w14:paraId="48B6D078" w14:textId="77777777" w:rsidR="0092712D" w:rsidRPr="00D43FA1" w:rsidRDefault="0092712D" w:rsidP="00CB2B7C">
            <w:pPr>
              <w:pStyle w:val="Text"/>
              <w:jc w:val="left"/>
              <w:rPr>
                <w:color w:val="000000"/>
              </w:rPr>
            </w:pPr>
            <w:r>
              <w:rPr>
                <w:color w:val="000000"/>
              </w:rPr>
              <w:t>238 000 EUR (náklady na zařízení pro spojení LC-GC; zařízení bylo zakoupeno v březnu/dubnu 2017)</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t xml:space="preserve">Jednorázové personální náklady: </w:t>
            </w:r>
          </w:p>
        </w:tc>
        <w:tc>
          <w:tcPr>
            <w:tcW w:w="4465" w:type="dxa"/>
          </w:tcPr>
          <w:p w14:paraId="5F896AF4" w14:textId="77777777" w:rsidR="0092712D" w:rsidRPr="00D43FA1" w:rsidRDefault="0092712D" w:rsidP="0092712D">
            <w:pPr>
              <w:pStyle w:val="Text"/>
              <w:rPr>
                <w:color w:val="000000"/>
              </w:rPr>
            </w:pPr>
            <w:r>
              <w:rPr>
                <w:color w:val="000000"/>
              </w:rPr>
              <w:t>5 000 EUR (školení)</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t xml:space="preserve">Roční personální náklady: </w:t>
            </w:r>
          </w:p>
        </w:tc>
        <w:tc>
          <w:tcPr>
            <w:tcW w:w="4465" w:type="dxa"/>
          </w:tcPr>
          <w:p w14:paraId="3D3A8607" w14:textId="77777777" w:rsidR="0092712D" w:rsidRPr="00D43FA1" w:rsidRDefault="00234C16" w:rsidP="00CB2B7C">
            <w:pPr>
              <w:pStyle w:val="Text"/>
              <w:tabs>
                <w:tab w:val="left" w:pos="2694"/>
              </w:tabs>
              <w:spacing w:after="0"/>
              <w:jc w:val="left"/>
              <w:rPr>
                <w:color w:val="000000"/>
              </w:rPr>
            </w:pPr>
            <w:r>
              <w:rPr>
                <w:color w:val="000000"/>
              </w:rPr>
              <w:t>ca. 70 000 EUR (0,5 pozice pro vědecké pracovníky E14</w:t>
            </w:r>
          </w:p>
          <w:p w14:paraId="093480AE" w14:textId="77777777" w:rsidR="0092712D" w:rsidRPr="00D43FA1" w:rsidRDefault="0092712D" w:rsidP="0092712D">
            <w:pPr>
              <w:pStyle w:val="Text"/>
              <w:tabs>
                <w:tab w:val="left" w:pos="2694"/>
              </w:tabs>
              <w:spacing w:before="0"/>
              <w:rPr>
                <w:color w:val="000000"/>
              </w:rPr>
            </w:pPr>
            <w:r>
              <w:rPr>
                <w:color w:val="000000"/>
              </w:rPr>
              <w:t>1 pozice pro technického zaměstnanec 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lastRenderedPageBreak/>
        <w:t>Sasko:</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90"/>
        <w:gridCol w:w="4389"/>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Jednorázové náklady na materiál:</w:t>
            </w:r>
          </w:p>
        </w:tc>
        <w:tc>
          <w:tcPr>
            <w:tcW w:w="4465" w:type="dxa"/>
          </w:tcPr>
          <w:p w14:paraId="071DBD33" w14:textId="77777777" w:rsidR="00891D8C" w:rsidRPr="00D43FA1" w:rsidRDefault="00891D8C" w:rsidP="00CB2B7C">
            <w:pPr>
              <w:pStyle w:val="Text"/>
              <w:tabs>
                <w:tab w:val="left" w:pos="0"/>
              </w:tabs>
              <w:jc w:val="left"/>
            </w:pPr>
            <w:r>
              <w:t>230 000 EUR (pořízení zařízení)</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Jednorázové personální náklady:</w:t>
            </w:r>
          </w:p>
        </w:tc>
        <w:tc>
          <w:tcPr>
            <w:tcW w:w="4465" w:type="dxa"/>
          </w:tcPr>
          <w:p w14:paraId="6E7CBC6B" w14:textId="77777777" w:rsidR="00891D8C" w:rsidRPr="00D43FA1" w:rsidRDefault="00891D8C" w:rsidP="00CB2B7C">
            <w:pPr>
              <w:pStyle w:val="Text"/>
              <w:jc w:val="left"/>
              <w:rPr>
                <w:color w:val="000000"/>
                <w:u w:val="single"/>
              </w:rPr>
            </w:pPr>
            <w:r>
              <w:t>83 000 EUR (0,5 výplatní skupina FTE 13+ a 1,0 výplatní skupina FTE 6 ve fázi seznámení s příslušnými analytickými zařízeními a za použití metody)</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Roční náklady na materiál: </w:t>
            </w:r>
          </w:p>
        </w:tc>
        <w:tc>
          <w:tcPr>
            <w:tcW w:w="4465" w:type="dxa"/>
          </w:tcPr>
          <w:p w14:paraId="3563608C" w14:textId="77777777" w:rsidR="00891D8C" w:rsidRPr="00D43FA1" w:rsidRDefault="00891D8C" w:rsidP="00CB2B7C">
            <w:pPr>
              <w:pStyle w:val="Text"/>
              <w:tabs>
                <w:tab w:val="left" w:pos="0"/>
              </w:tabs>
              <w:jc w:val="left"/>
              <w:rPr>
                <w:color w:val="000000"/>
                <w:u w:val="single"/>
              </w:rPr>
            </w:pPr>
            <w:r>
              <w:t>ca. 6 000 až 8 000 EUR (údržba zařízení, spotřební materiál, opravy)</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Roční personální náklady: </w:t>
            </w:r>
          </w:p>
        </w:tc>
        <w:tc>
          <w:tcPr>
            <w:tcW w:w="4465" w:type="dxa"/>
          </w:tcPr>
          <w:p w14:paraId="09C3AC3F" w14:textId="77777777" w:rsidR="00891D8C" w:rsidRPr="00D43FA1" w:rsidRDefault="00891D8C" w:rsidP="00CB2B7C">
            <w:pPr>
              <w:pStyle w:val="Text"/>
              <w:tabs>
                <w:tab w:val="left" w:pos="0"/>
              </w:tabs>
              <w:jc w:val="left"/>
              <w:rPr>
                <w:color w:val="000000"/>
                <w:u w:val="single"/>
              </w:rPr>
            </w:pPr>
            <w:r>
              <w:t>ca. 90 000 EUR (2,0 výplatní skupiny FTE 6 v běžném provozu)</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color w:val="000000"/>
          <w:u w:val="single"/>
        </w:rPr>
        <w:t>Sasko-Anhaltsko</w:t>
      </w:r>
      <w:r>
        <w:rPr>
          <w:color w:val="000000"/>
        </w:rPr>
        <w:t xml:space="preserve"> </w:t>
      </w:r>
      <w:r>
        <w:t>dosud nebylo schopno vyčíslit jednorázové a opakující se náklady.</w:t>
      </w:r>
    </w:p>
    <w:p w14:paraId="3F91406B" w14:textId="494897A8" w:rsidR="00977AB9" w:rsidRPr="00D43FA1" w:rsidRDefault="00042625" w:rsidP="00E24BD3">
      <w:pPr>
        <w:pStyle w:val="Text"/>
        <w:spacing w:before="0" w:after="0"/>
      </w:pPr>
      <w:r>
        <w:t xml:space="preserve"> </w:t>
      </w:r>
    </w:p>
    <w:p w14:paraId="2291BC65" w14:textId="155E3607" w:rsidR="00042625" w:rsidRDefault="00042625" w:rsidP="00E24BD3">
      <w:pPr>
        <w:pStyle w:val="Text"/>
        <w:spacing w:before="0" w:after="0"/>
        <w:rPr>
          <w:color w:val="000000"/>
        </w:rPr>
      </w:pPr>
      <w:r>
        <w:rPr>
          <w:color w:val="000000"/>
          <w:u w:val="single"/>
        </w:rPr>
        <w:t>Durynsko</w:t>
      </w:r>
      <w:r>
        <w:rPr>
          <w:color w:val="000000"/>
        </w:rPr>
        <w:t xml:space="preserve"> oznámilo, že jsou pravděpodobné jednorázové náklady v nezanedbatelných částkách. Podrobná specifikace nákladů není v této fázi pro Durynsko možná.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b) Realizační náklady pro ekonomiku</w:t>
      </w:r>
    </w:p>
    <w:p w14:paraId="1AC16888" w14:textId="187C182C" w:rsidR="00755B7A" w:rsidRPr="00D43FA1" w:rsidRDefault="004D5050" w:rsidP="007C7B00">
      <w:pPr>
        <w:pStyle w:val="Text"/>
      </w:pPr>
      <w:r>
        <w:t>Pokud jde o realizační náklady pro ekonomiku, způsobuje nařízení dodatečné náklady, zejména pro středně velké společnosti. Protože problém kontaminace potravin složkami minerálních olejů z materiálů přicházejících do styku s potravinami je znám již dlouhou dobu, řada obalů již byla přeměněna. Namísto vláken na bázi recyklovaného papíru lze použít meziprodukty, povlaky nebo panenská vlákna. Změny však budou nyní vyžadovány také u významného dalšího podílu materiálů přicházejících do styku s potravinami, pokud nebude použita plánovaná výjimka.</w:t>
      </w:r>
    </w:p>
    <w:p w14:paraId="08D3E308" w14:textId="77777777" w:rsidR="0082568F" w:rsidRPr="00D43FA1" w:rsidRDefault="0082568F" w:rsidP="007C7B00">
      <w:pPr>
        <w:pStyle w:val="Text"/>
      </w:pPr>
      <w:r>
        <w:t xml:space="preserve">Předběžný odhad Spolkového statistického úřadu vedl k jednorázovým realizačním nákladům (náklady na přeměnu) ve výši přibližně 9 280 000 EUR a ročním dodatečným realizačním nákladům ve výši přibližně 8 160 000 EUR. Spolkový statistický úřad odhaduje, že dvě nové informační povinnosti – písemné nebo elektronické prohlášení, je-li upuštěno od funkční bariéry podle § 6a odst. 3, a povinnost prokázat vyloučení přenosu MOAH podle § 6a odst. 5 – mají za následek pouze malé náklady. </w:t>
      </w:r>
    </w:p>
    <w:p w14:paraId="43B9512B" w14:textId="77777777" w:rsidR="006B7BFE" w:rsidRPr="00D43FA1" w:rsidRDefault="006B7BFE" w:rsidP="0070360F">
      <w:pPr>
        <w:pStyle w:val="Text"/>
        <w:keepNext/>
        <w:keepLines/>
      </w:pPr>
      <w:r>
        <w:rPr>
          <w:b/>
        </w:rPr>
        <w:t xml:space="preserve">Tabulka 1: Shrnutí realizačních nákladů </w:t>
      </w:r>
    </w:p>
    <w:tbl>
      <w:tblPr>
        <w:tblStyle w:val="TableGrid"/>
        <w:tblW w:w="9171" w:type="dxa"/>
        <w:tblLayout w:type="fixed"/>
        <w:tblLook w:val="04A0" w:firstRow="1" w:lastRow="0" w:firstColumn="1" w:lastColumn="0" w:noHBand="0" w:noVBand="1"/>
      </w:tblPr>
      <w:tblGrid>
        <w:gridCol w:w="1696"/>
        <w:gridCol w:w="3470"/>
        <w:gridCol w:w="1912"/>
        <w:gridCol w:w="2093"/>
      </w:tblGrid>
      <w:tr w:rsidR="0082568F" w:rsidRPr="00CC55B6" w14:paraId="720AC6FB" w14:textId="77777777" w:rsidTr="00CC55B6">
        <w:tc>
          <w:tcPr>
            <w:tcW w:w="1696" w:type="dxa"/>
          </w:tcPr>
          <w:p w14:paraId="376BBF5B" w14:textId="77777777" w:rsidR="0082568F" w:rsidRPr="00CC55B6" w:rsidRDefault="0082568F" w:rsidP="0070360F">
            <w:pPr>
              <w:pStyle w:val="Text"/>
              <w:keepNext/>
              <w:keepLines/>
              <w:jc w:val="center"/>
              <w:rPr>
                <w:b/>
                <w:spacing w:val="-4"/>
              </w:rPr>
            </w:pPr>
            <w:r w:rsidRPr="00CC55B6">
              <w:rPr>
                <w:b/>
                <w:spacing w:val="-4"/>
              </w:rPr>
              <w:t>Regulace</w:t>
            </w:r>
          </w:p>
        </w:tc>
        <w:tc>
          <w:tcPr>
            <w:tcW w:w="3470" w:type="dxa"/>
          </w:tcPr>
          <w:p w14:paraId="3B98CCA4" w14:textId="77777777" w:rsidR="0082568F" w:rsidRPr="00CC55B6" w:rsidRDefault="0082568F" w:rsidP="0070360F">
            <w:pPr>
              <w:pStyle w:val="Text"/>
              <w:keepNext/>
              <w:keepLines/>
              <w:jc w:val="center"/>
              <w:rPr>
                <w:b/>
                <w:spacing w:val="-4"/>
              </w:rPr>
            </w:pPr>
            <w:r w:rsidRPr="00CC55B6">
              <w:rPr>
                <w:b/>
                <w:spacing w:val="-4"/>
              </w:rPr>
              <w:t>Požadavek nebo informační povinnost</w:t>
            </w:r>
          </w:p>
        </w:tc>
        <w:tc>
          <w:tcPr>
            <w:tcW w:w="1912" w:type="dxa"/>
          </w:tcPr>
          <w:p w14:paraId="6FEF8D76" w14:textId="77777777" w:rsidR="0082568F" w:rsidRPr="00CC55B6" w:rsidRDefault="0082568F" w:rsidP="0070360F">
            <w:pPr>
              <w:pStyle w:val="Text"/>
              <w:keepNext/>
              <w:keepLines/>
              <w:jc w:val="center"/>
              <w:rPr>
                <w:b/>
                <w:spacing w:val="-4"/>
              </w:rPr>
            </w:pPr>
            <w:r w:rsidRPr="00CC55B6">
              <w:rPr>
                <w:b/>
                <w:spacing w:val="-4"/>
              </w:rPr>
              <w:t xml:space="preserve">Zůstatek roční poplatek </w:t>
            </w:r>
          </w:p>
        </w:tc>
        <w:tc>
          <w:tcPr>
            <w:tcW w:w="2093" w:type="dxa"/>
          </w:tcPr>
          <w:p w14:paraId="5412D88F" w14:textId="77777777" w:rsidR="0082568F" w:rsidRPr="00CC55B6" w:rsidRDefault="00295A54" w:rsidP="0070360F">
            <w:pPr>
              <w:pStyle w:val="Text"/>
              <w:keepNext/>
              <w:keepLines/>
              <w:jc w:val="center"/>
              <w:rPr>
                <w:b/>
                <w:spacing w:val="-4"/>
              </w:rPr>
            </w:pPr>
            <w:r w:rsidRPr="00CC55B6">
              <w:rPr>
                <w:b/>
                <w:spacing w:val="-4"/>
              </w:rPr>
              <w:t xml:space="preserve">Jednorázové náklady na konverzi </w:t>
            </w:r>
          </w:p>
        </w:tc>
      </w:tr>
      <w:tr w:rsidR="0082568F" w:rsidRPr="00CC55B6" w14:paraId="28659270" w14:textId="77777777" w:rsidTr="00CC55B6">
        <w:tc>
          <w:tcPr>
            <w:tcW w:w="1696" w:type="dxa"/>
          </w:tcPr>
          <w:p w14:paraId="22806DA4" w14:textId="2D7CD670" w:rsidR="0082568F" w:rsidRPr="00CC55B6" w:rsidRDefault="0082568F" w:rsidP="00E24BD3">
            <w:pPr>
              <w:pStyle w:val="Text"/>
              <w:jc w:val="left"/>
              <w:rPr>
                <w:spacing w:val="-4"/>
              </w:rPr>
            </w:pPr>
            <w:r w:rsidRPr="00CC55B6">
              <w:rPr>
                <w:spacing w:val="-4"/>
              </w:rPr>
              <w:t>§ 6a odst. 1 a 4</w:t>
            </w:r>
          </w:p>
        </w:tc>
        <w:tc>
          <w:tcPr>
            <w:tcW w:w="3470" w:type="dxa"/>
          </w:tcPr>
          <w:p w14:paraId="33FAFA21" w14:textId="77777777" w:rsidR="0082568F" w:rsidRPr="00CC55B6" w:rsidRDefault="0082568F" w:rsidP="00295A54">
            <w:pPr>
              <w:pStyle w:val="Text"/>
              <w:jc w:val="left"/>
              <w:rPr>
                <w:spacing w:val="-4"/>
              </w:rPr>
            </w:pPr>
            <w:r w:rsidRPr="00CC55B6">
              <w:rPr>
                <w:spacing w:val="-4"/>
              </w:rPr>
              <w:t>Funkční bariéra pro materiály přicházející do styku s potravinami vyrobené z buničiny z odpadového materiálu</w:t>
            </w:r>
          </w:p>
        </w:tc>
        <w:tc>
          <w:tcPr>
            <w:tcW w:w="1912" w:type="dxa"/>
          </w:tcPr>
          <w:p w14:paraId="3E5A9DC1" w14:textId="77777777" w:rsidR="0082568F" w:rsidRPr="00CC55B6" w:rsidRDefault="000F6183" w:rsidP="00295A54">
            <w:pPr>
              <w:pStyle w:val="Text"/>
              <w:jc w:val="left"/>
              <w:rPr>
                <w:spacing w:val="-4"/>
              </w:rPr>
            </w:pPr>
            <w:r w:rsidRPr="00CC55B6">
              <w:rPr>
                <w:spacing w:val="-4"/>
              </w:rPr>
              <w:t xml:space="preserve"> 8 160 000 EUR</w:t>
            </w:r>
          </w:p>
        </w:tc>
        <w:tc>
          <w:tcPr>
            <w:tcW w:w="2093" w:type="dxa"/>
          </w:tcPr>
          <w:p w14:paraId="3562BFD1" w14:textId="77777777" w:rsidR="0082568F" w:rsidRPr="00CC55B6" w:rsidRDefault="000F6183" w:rsidP="00295A54">
            <w:pPr>
              <w:pStyle w:val="Text"/>
              <w:jc w:val="left"/>
              <w:rPr>
                <w:spacing w:val="-4"/>
              </w:rPr>
            </w:pPr>
            <w:r w:rsidRPr="00CC55B6">
              <w:rPr>
                <w:spacing w:val="-4"/>
              </w:rPr>
              <w:t>9 280 000 EUR</w:t>
            </w:r>
          </w:p>
        </w:tc>
      </w:tr>
      <w:tr w:rsidR="0082568F" w:rsidRPr="00CC55B6" w14:paraId="0106BED3" w14:textId="77777777" w:rsidTr="00CC55B6">
        <w:tc>
          <w:tcPr>
            <w:tcW w:w="1696" w:type="dxa"/>
          </w:tcPr>
          <w:p w14:paraId="5BAFA089" w14:textId="0EFB06F8" w:rsidR="0082568F" w:rsidRPr="00CC55B6" w:rsidRDefault="0082568F" w:rsidP="00E24BD3">
            <w:pPr>
              <w:pStyle w:val="Text"/>
              <w:jc w:val="left"/>
              <w:rPr>
                <w:spacing w:val="-4"/>
              </w:rPr>
            </w:pPr>
            <w:r w:rsidRPr="00CC55B6">
              <w:rPr>
                <w:spacing w:val="-4"/>
              </w:rPr>
              <w:t>§ 6a odst. 3</w:t>
            </w:r>
          </w:p>
        </w:tc>
        <w:tc>
          <w:tcPr>
            <w:tcW w:w="3470" w:type="dxa"/>
          </w:tcPr>
          <w:p w14:paraId="7BAE9D67" w14:textId="77777777" w:rsidR="0082568F" w:rsidRPr="00CC55B6" w:rsidRDefault="0082568F" w:rsidP="00295A54">
            <w:pPr>
              <w:pStyle w:val="Text"/>
              <w:jc w:val="left"/>
              <w:rPr>
                <w:spacing w:val="-4"/>
              </w:rPr>
            </w:pPr>
            <w:r w:rsidRPr="00CC55B6">
              <w:rPr>
                <w:spacing w:val="-4"/>
              </w:rPr>
              <w:t>Písemné nebo elektronické prohlášení o vzdání se funkčních bariér</w:t>
            </w:r>
          </w:p>
        </w:tc>
        <w:tc>
          <w:tcPr>
            <w:tcW w:w="1912" w:type="dxa"/>
          </w:tcPr>
          <w:p w14:paraId="74D97F5C" w14:textId="77777777" w:rsidR="0082568F" w:rsidRPr="00CC55B6" w:rsidRDefault="0082568F" w:rsidP="00295A54">
            <w:pPr>
              <w:pStyle w:val="Text"/>
              <w:jc w:val="left"/>
              <w:rPr>
                <w:spacing w:val="-4"/>
              </w:rPr>
            </w:pPr>
            <w:r w:rsidRPr="00CC55B6">
              <w:rPr>
                <w:spacing w:val="-4"/>
              </w:rPr>
              <w:t>Mírné další úsilí</w:t>
            </w:r>
          </w:p>
        </w:tc>
        <w:tc>
          <w:tcPr>
            <w:tcW w:w="2093" w:type="dxa"/>
          </w:tcPr>
          <w:p w14:paraId="56F7F1DE" w14:textId="77777777" w:rsidR="0082568F" w:rsidRPr="00CC55B6" w:rsidRDefault="0082568F" w:rsidP="00295A54">
            <w:pPr>
              <w:pStyle w:val="Text"/>
              <w:jc w:val="left"/>
              <w:rPr>
                <w:spacing w:val="-4"/>
              </w:rPr>
            </w:pPr>
            <w:r w:rsidRPr="00CC55B6">
              <w:rPr>
                <w:spacing w:val="-4"/>
              </w:rPr>
              <w:t>-</w:t>
            </w:r>
          </w:p>
        </w:tc>
      </w:tr>
      <w:tr w:rsidR="0082568F" w:rsidRPr="00CC55B6" w14:paraId="3E200EA4" w14:textId="77777777" w:rsidTr="00CC55B6">
        <w:tc>
          <w:tcPr>
            <w:tcW w:w="1696" w:type="dxa"/>
          </w:tcPr>
          <w:p w14:paraId="7AD34AB6" w14:textId="3F27C1E4" w:rsidR="0082568F" w:rsidRPr="00CC55B6" w:rsidRDefault="0082568F" w:rsidP="00E24BD3">
            <w:pPr>
              <w:pStyle w:val="Text"/>
              <w:jc w:val="left"/>
              <w:rPr>
                <w:spacing w:val="-4"/>
              </w:rPr>
            </w:pPr>
            <w:r w:rsidRPr="00CC55B6">
              <w:rPr>
                <w:spacing w:val="-4"/>
              </w:rPr>
              <w:lastRenderedPageBreak/>
              <w:t>§ 6a odst. 5</w:t>
            </w:r>
          </w:p>
        </w:tc>
        <w:tc>
          <w:tcPr>
            <w:tcW w:w="3470" w:type="dxa"/>
          </w:tcPr>
          <w:p w14:paraId="16E632D0" w14:textId="77777777" w:rsidR="0082568F" w:rsidRPr="00CC55B6" w:rsidRDefault="0082568F" w:rsidP="00295A54">
            <w:pPr>
              <w:pStyle w:val="Text"/>
              <w:jc w:val="left"/>
              <w:rPr>
                <w:spacing w:val="-4"/>
              </w:rPr>
            </w:pPr>
            <w:r w:rsidRPr="00CC55B6">
              <w:rPr>
                <w:spacing w:val="-4"/>
              </w:rPr>
              <w:t>Povinnost poskytnout důkaz o vyloučení přenosu MOAH v souladu s § 6a odst. 1, 2, 4</w:t>
            </w:r>
          </w:p>
        </w:tc>
        <w:tc>
          <w:tcPr>
            <w:tcW w:w="1912" w:type="dxa"/>
          </w:tcPr>
          <w:p w14:paraId="18381CF9" w14:textId="77777777" w:rsidR="0082568F" w:rsidRPr="00CC55B6" w:rsidRDefault="0082568F" w:rsidP="00295A54">
            <w:pPr>
              <w:pStyle w:val="Text"/>
              <w:jc w:val="left"/>
              <w:rPr>
                <w:spacing w:val="-4"/>
              </w:rPr>
            </w:pPr>
            <w:r w:rsidRPr="00CC55B6">
              <w:rPr>
                <w:spacing w:val="-4"/>
              </w:rPr>
              <w:t>Mírné další úsilí</w:t>
            </w:r>
          </w:p>
        </w:tc>
        <w:tc>
          <w:tcPr>
            <w:tcW w:w="2093" w:type="dxa"/>
          </w:tcPr>
          <w:p w14:paraId="3BBC33E8" w14:textId="77777777" w:rsidR="0082568F" w:rsidRPr="00CC55B6" w:rsidRDefault="0082568F" w:rsidP="00295A54">
            <w:pPr>
              <w:pStyle w:val="Text"/>
              <w:jc w:val="left"/>
              <w:rPr>
                <w:spacing w:val="-4"/>
              </w:rPr>
            </w:pPr>
            <w:r w:rsidRPr="00CC55B6">
              <w:rPr>
                <w:spacing w:val="-4"/>
              </w:rPr>
              <w:t>-</w:t>
            </w:r>
          </w:p>
        </w:tc>
      </w:tr>
      <w:tr w:rsidR="0082568F" w:rsidRPr="00CC55B6" w14:paraId="2CE5F889" w14:textId="77777777" w:rsidTr="00CC55B6">
        <w:tc>
          <w:tcPr>
            <w:tcW w:w="1696" w:type="dxa"/>
            <w:shd w:val="clear" w:color="auto" w:fill="D9D9D9" w:themeFill="background1" w:themeFillShade="D9"/>
          </w:tcPr>
          <w:p w14:paraId="6EDE8EBB" w14:textId="77777777" w:rsidR="0082568F" w:rsidRPr="00CC55B6" w:rsidRDefault="0082568F" w:rsidP="00295A54">
            <w:pPr>
              <w:pStyle w:val="Text"/>
              <w:jc w:val="left"/>
              <w:rPr>
                <w:b/>
                <w:spacing w:val="-4"/>
              </w:rPr>
            </w:pPr>
          </w:p>
        </w:tc>
        <w:tc>
          <w:tcPr>
            <w:tcW w:w="3470" w:type="dxa"/>
            <w:shd w:val="clear" w:color="auto" w:fill="D9D9D9" w:themeFill="background1" w:themeFillShade="D9"/>
          </w:tcPr>
          <w:p w14:paraId="6B167E03" w14:textId="77777777" w:rsidR="0082568F" w:rsidRPr="00CC55B6" w:rsidRDefault="0082568F" w:rsidP="00295A54">
            <w:pPr>
              <w:pStyle w:val="Text"/>
              <w:jc w:val="left"/>
              <w:rPr>
                <w:b/>
                <w:spacing w:val="-4"/>
              </w:rPr>
            </w:pPr>
            <w:r w:rsidRPr="00CC55B6">
              <w:rPr>
                <w:b/>
                <w:spacing w:val="-4"/>
              </w:rPr>
              <w:t xml:space="preserve">Celkem </w:t>
            </w:r>
          </w:p>
        </w:tc>
        <w:tc>
          <w:tcPr>
            <w:tcW w:w="1912" w:type="dxa"/>
            <w:shd w:val="clear" w:color="auto" w:fill="D9D9D9" w:themeFill="background1" w:themeFillShade="D9"/>
          </w:tcPr>
          <w:p w14:paraId="58ED3073" w14:textId="77777777" w:rsidR="0082568F" w:rsidRPr="00CC55B6" w:rsidRDefault="00AD0A9D" w:rsidP="00295A54">
            <w:pPr>
              <w:pStyle w:val="Text"/>
              <w:jc w:val="left"/>
              <w:rPr>
                <w:b/>
                <w:spacing w:val="-4"/>
              </w:rPr>
            </w:pPr>
            <w:r w:rsidRPr="00CC55B6">
              <w:rPr>
                <w:b/>
                <w:spacing w:val="-4"/>
              </w:rPr>
              <w:t xml:space="preserve"> 8 160 000 EUR</w:t>
            </w:r>
          </w:p>
        </w:tc>
        <w:tc>
          <w:tcPr>
            <w:tcW w:w="2093" w:type="dxa"/>
            <w:shd w:val="clear" w:color="auto" w:fill="D9D9D9" w:themeFill="background1" w:themeFillShade="D9"/>
          </w:tcPr>
          <w:p w14:paraId="1E689341" w14:textId="77777777" w:rsidR="0082568F" w:rsidRPr="00CC55B6" w:rsidRDefault="000F6183" w:rsidP="00295A54">
            <w:pPr>
              <w:pStyle w:val="Text"/>
              <w:jc w:val="left"/>
              <w:rPr>
                <w:b/>
                <w:spacing w:val="-4"/>
              </w:rPr>
            </w:pPr>
            <w:r w:rsidRPr="00CC55B6">
              <w:rPr>
                <w:b/>
                <w:spacing w:val="-4"/>
              </w:rPr>
              <w:t>9 280 000 EUR</w:t>
            </w:r>
          </w:p>
        </w:tc>
      </w:tr>
    </w:tbl>
    <w:p w14:paraId="0D7C6408" w14:textId="77777777" w:rsidR="006B7BFE" w:rsidRPr="00D43FA1" w:rsidRDefault="006B7BFE" w:rsidP="00612652">
      <w:pPr>
        <w:pStyle w:val="Text"/>
      </w:pPr>
    </w:p>
    <w:p w14:paraId="78164C96" w14:textId="211348C1" w:rsidR="009140F6" w:rsidRPr="00D43FA1" w:rsidRDefault="0082568F" w:rsidP="0070360F">
      <w:pPr>
        <w:pStyle w:val="Text"/>
        <w:keepNext/>
        <w:keepLines/>
        <w:tabs>
          <w:tab w:val="left" w:pos="0"/>
        </w:tabs>
      </w:pPr>
      <w:r>
        <w:t>Výsledek předběžného odhadu je založen na těchto zásadách:</w:t>
      </w:r>
    </w:p>
    <w:p w14:paraId="0A8513DA" w14:textId="77777777" w:rsidR="006B7BFE" w:rsidRPr="00D43FA1" w:rsidRDefault="006B7BFE" w:rsidP="0070360F">
      <w:pPr>
        <w:pStyle w:val="Text"/>
        <w:keepNext/>
        <w:keepLines/>
        <w:tabs>
          <w:tab w:val="left" w:pos="0"/>
        </w:tabs>
      </w:pPr>
      <w:r>
        <w:t xml:space="preserve">Předběžný odhad se týká dvou informačních povinností a další specifikace pro ekonomiku, které všechny vyplývají z nového § 6a nařízení o spotřebním zboží: </w:t>
      </w:r>
    </w:p>
    <w:p w14:paraId="2E574154" w14:textId="77777777" w:rsidR="006B7BFE" w:rsidRPr="00D43FA1" w:rsidRDefault="006B7BFE" w:rsidP="0070360F">
      <w:pPr>
        <w:pStyle w:val="Text"/>
        <w:keepNext/>
        <w:keepLines/>
        <w:numPr>
          <w:ilvl w:val="0"/>
          <w:numId w:val="2"/>
        </w:numPr>
        <w:ind w:left="0" w:firstLine="0"/>
      </w:pPr>
      <w:r>
        <w:t xml:space="preserve">Recyklované papírové materiály přicházející do styku s potravinami mohou být vyráběny a uváděny na trh pouze s funkční bariérou (odst. 1 první věta; odstavec 4). Výjimky z tohoto pravidla platí, pokud </w:t>
      </w:r>
    </w:p>
    <w:p w14:paraId="6471F0A8" w14:textId="5F5ECE82" w:rsidR="006B7BFE" w:rsidRPr="00D43FA1" w:rsidRDefault="000F1682" w:rsidP="00557D18">
      <w:pPr>
        <w:pStyle w:val="Text"/>
        <w:numPr>
          <w:ilvl w:val="0"/>
          <w:numId w:val="4"/>
        </w:numPr>
        <w:ind w:left="1134" w:hanging="425"/>
      </w:pPr>
      <w:r>
        <w:t>je obsah MOAH v materiálu přicházejícím do styku s potravinami tak nízký, že nedochází k přenosu na potraviny (odst. 2 první věta);</w:t>
      </w:r>
    </w:p>
    <w:p w14:paraId="022A3F44" w14:textId="64B85AD9" w:rsidR="006B7BFE" w:rsidRPr="00D43FA1" w:rsidRDefault="006B7BFE" w:rsidP="00557D18">
      <w:pPr>
        <w:pStyle w:val="Text"/>
        <w:numPr>
          <w:ilvl w:val="0"/>
          <w:numId w:val="4"/>
        </w:numPr>
        <w:ind w:left="1134" w:hanging="425"/>
      </w:pPr>
      <w:r>
        <w:t>byla přijata jiná vhodná opatření, aby se zabránilo přenosu MOAH na potraviny (odst. 2 druhá věta).</w:t>
      </w:r>
    </w:p>
    <w:p w14:paraId="29C9CC33" w14:textId="77777777" w:rsidR="006B7BFE" w:rsidRPr="00D43FA1" w:rsidRDefault="006B7BFE" w:rsidP="00557D18">
      <w:pPr>
        <w:pStyle w:val="Text"/>
        <w:numPr>
          <w:ilvl w:val="0"/>
          <w:numId w:val="3"/>
        </w:numPr>
        <w:ind w:left="0" w:firstLine="0"/>
      </w:pPr>
      <w:r>
        <w:t xml:space="preserve">Pokud provozovatel potravinářského podniku sám používá funkční bariéru (mezilehlý sáček nebo podobné) nebo přijme jiná opatření k ochraně proti přenosu MOAH na potraviny, a proto nevyžaduje, aby výrobce nebo distributor výrobku přicházejícího do styku s potravinami vybavil výrobek přicházejícího do styku s potravinami funkční bariérou před dodáním materiálu, který přichází do styku s potravinami, k čemuž výrobci nebo distributorovi vydává písemné nebo elektronické prohlášení (odstavec 3). </w:t>
      </w:r>
    </w:p>
    <w:p w14:paraId="3DAB98B9" w14:textId="77777777" w:rsidR="006B7BFE" w:rsidRPr="00D43FA1" w:rsidRDefault="006B7BFE" w:rsidP="0070360F">
      <w:pPr>
        <w:pStyle w:val="Text"/>
        <w:keepNext/>
        <w:keepLines/>
        <w:numPr>
          <w:ilvl w:val="0"/>
          <w:numId w:val="3"/>
        </w:numPr>
        <w:ind w:left="709" w:hanging="709"/>
      </w:pPr>
      <w:r>
        <w:t xml:space="preserve">Povinnost poskytnout důkaz o vyloučení přenosu MOAH (odstavec 5). </w:t>
      </w:r>
    </w:p>
    <w:p w14:paraId="7B0EB3AA" w14:textId="77777777" w:rsidR="006B7BFE" w:rsidRPr="00D43FA1" w:rsidRDefault="000447FD" w:rsidP="009140F6">
      <w:pPr>
        <w:pStyle w:val="Text"/>
      </w:pPr>
      <w:r>
        <w:t>Tento odhad se řídil „Pokyny pro stanovení a prezentaci realizačních nákladů v regulačních projektech spolkové vlády“</w:t>
      </w:r>
      <w:r w:rsidR="006B7BFE" w:rsidRPr="00D43FA1">
        <w:rPr>
          <w:rStyle w:val="FootnoteReference"/>
        </w:rPr>
        <w:footnoteReference w:id="2"/>
      </w:r>
      <w:r>
        <w:t xml:space="preserve">. Společnosti a výzkumné instituce byly dotazovány telefonicky, aby odhadly počet případů, jakož i čas a materiálové výdaje. Výpočet počtu případů zahrnuje údaje z oficiálních statistik. </w:t>
      </w:r>
    </w:p>
    <w:p w14:paraId="7E0F8561" w14:textId="4AAB2740" w:rsidR="006B7BFE" w:rsidRPr="007E01A6" w:rsidRDefault="006B7BFE" w:rsidP="0070360F">
      <w:pPr>
        <w:pStyle w:val="Text"/>
        <w:keepNext/>
        <w:keepLines/>
        <w:rPr>
          <w:b/>
          <w:bCs/>
          <w:u w:val="single"/>
        </w:rPr>
      </w:pPr>
      <w:r>
        <w:rPr>
          <w:b/>
          <w:u w:val="single"/>
        </w:rPr>
        <w:t>Funkční bariéra pro materiály přicházející do styku s potravinami podle § 6a odst. 1 a 4</w:t>
      </w:r>
    </w:p>
    <w:p w14:paraId="347CC78F" w14:textId="77777777" w:rsidR="006B7BFE" w:rsidRPr="00D43FA1" w:rsidRDefault="006B7BFE" w:rsidP="0070360F">
      <w:pPr>
        <w:pStyle w:val="Text"/>
        <w:keepNext/>
        <w:keepLines/>
      </w:pPr>
      <w:r>
        <w:t xml:space="preserve">a) Jednorázové náklady na přepracování </w:t>
      </w:r>
    </w:p>
    <w:p w14:paraId="32009364" w14:textId="77777777" w:rsidR="006B7BFE" w:rsidRPr="00D43FA1" w:rsidRDefault="006B7BFE" w:rsidP="009140F6">
      <w:pPr>
        <w:pStyle w:val="Text"/>
      </w:pPr>
      <w:r>
        <w:rPr>
          <w:i/>
        </w:rPr>
        <w:t>Náklady na přepracování zahrnují personální a materiálové náklady na prvotní testování potravin a materiálů přicházejících do styku s potravinami a na vývoj, inspekci a zavedení vhodného balení podle § 6a</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color w:val="000000"/>
        </w:rPr>
        <w:lastRenderedPageBreak/>
        <w:t xml:space="preserve">Počet případů </w:t>
      </w:r>
    </w:p>
    <w:p w14:paraId="6D903E99" w14:textId="3B4681BE" w:rsidR="006B7BFE" w:rsidRPr="00D43FA1" w:rsidRDefault="006B7BFE" w:rsidP="0070360F">
      <w:pPr>
        <w:pStyle w:val="Text"/>
        <w:keepNext/>
        <w:keepLines/>
        <w:rPr>
          <w:color w:val="000000"/>
        </w:rPr>
      </w:pPr>
      <w:r>
        <w:rPr>
          <w:color w:val="000000"/>
        </w:rPr>
        <w:t>Pro odvození počtu případů (= dotčené produkty: potraviny a materiály přicházející do styku s potravinami), byly použity údaje získané z rozhovorů a průzkum struktury nákladů ve zpracovatelském sektoru.</w:t>
      </w:r>
      <w:r w:rsidRPr="00D43FA1">
        <w:rPr>
          <w:rStyle w:val="FootnoteReference"/>
          <w:color w:val="000000"/>
        </w:rPr>
        <w:footnoteReference w:id="3"/>
      </w:r>
      <w:r>
        <w:rPr>
          <w:color w:val="000000"/>
          <w:vertAlign w:val="superscript"/>
        </w:rPr>
        <w:t xml:space="preserve"> </w:t>
      </w:r>
      <w:r>
        <w:rPr>
          <w:color w:val="000000"/>
        </w:rPr>
        <w:t>Na základě rozhovorů bylo možné získat údaje o počtu produktů jednotlivých společností. Údaje o obratu podniků byly převzaty z veřejně dostupných zdrojů.</w:t>
      </w:r>
      <w:r w:rsidR="00CC55B6">
        <w:rPr>
          <w:color w:val="000000"/>
        </w:rPr>
        <w:t xml:space="preserve"> </w:t>
      </w:r>
      <w:r>
        <w:rPr>
          <w:color w:val="000000"/>
        </w:rPr>
        <w:t>Na základě těchto hodnot byl stanoven obrat na produkt pro pět podniků, který v průměru činí přibližně 2,5 milionu EUR.</w:t>
      </w:r>
      <w:r w:rsidR="00CC55B6">
        <w:rPr>
          <w:color w:val="000000"/>
        </w:rPr>
        <w:t xml:space="preserve"> </w:t>
      </w:r>
      <w:r>
        <w:rPr>
          <w:color w:val="000000"/>
        </w:rPr>
        <w:t xml:space="preserve">Průzkum struktury nákladů obsahuje informace o počtu a obratu podniků v odvětvích zpracovatelského průmyslu (podle klasifikace odvětví průmyslu, vydání 2008). Na základě informací z rozhovorů bylo možné identifikovat sedm dotčených hospodářských odvětví: </w:t>
      </w:r>
    </w:p>
    <w:p w14:paraId="51BE6B2B" w14:textId="32C7E412" w:rsidR="006B7BFE" w:rsidRPr="00D43FA1" w:rsidRDefault="006B7BFE" w:rsidP="0070360F">
      <w:pPr>
        <w:pStyle w:val="Text"/>
        <w:keepNext/>
        <w:keepLines/>
        <w:spacing w:before="0" w:after="0"/>
        <w:rPr>
          <w:color w:val="000000"/>
        </w:rPr>
      </w:pPr>
      <w:r>
        <w:rPr>
          <w:color w:val="000000"/>
        </w:rPr>
        <w:t>Výroba</w:t>
      </w:r>
    </w:p>
    <w:p w14:paraId="11222691" w14:textId="77777777" w:rsidR="006B7BFE" w:rsidRPr="00D43FA1" w:rsidRDefault="006B7BFE" w:rsidP="009140F6">
      <w:pPr>
        <w:pStyle w:val="Text"/>
        <w:spacing w:before="0" w:after="0"/>
        <w:rPr>
          <w:color w:val="000000"/>
        </w:rPr>
      </w:pPr>
      <w:r>
        <w:rPr>
          <w:color w:val="000000"/>
        </w:rPr>
        <w:t xml:space="preserve">• Škrob a škrobové výrobky </w:t>
      </w:r>
    </w:p>
    <w:p w14:paraId="662E4943" w14:textId="77777777" w:rsidR="006B7BFE" w:rsidRPr="00D43FA1" w:rsidRDefault="006B7BFE" w:rsidP="009140F6">
      <w:pPr>
        <w:pStyle w:val="Text"/>
        <w:spacing w:before="0" w:after="0"/>
        <w:rPr>
          <w:color w:val="000000"/>
        </w:rPr>
      </w:pPr>
      <w:r>
        <w:rPr>
          <w:color w:val="000000"/>
        </w:rPr>
        <w:t xml:space="preserve">• Pečené zboží s dlouhou životností </w:t>
      </w:r>
    </w:p>
    <w:p w14:paraId="18BD7F36" w14:textId="77777777" w:rsidR="006B7BFE" w:rsidRPr="00D43FA1" w:rsidRDefault="006B7BFE" w:rsidP="009140F6">
      <w:pPr>
        <w:pStyle w:val="Text"/>
        <w:spacing w:before="0" w:after="0"/>
        <w:rPr>
          <w:color w:val="000000"/>
        </w:rPr>
      </w:pPr>
      <w:r>
        <w:rPr>
          <w:color w:val="000000"/>
        </w:rPr>
        <w:t xml:space="preserve">• Těstoviny </w:t>
      </w:r>
    </w:p>
    <w:p w14:paraId="38C5F55D" w14:textId="77777777" w:rsidR="006B7BFE" w:rsidRPr="00D43FA1" w:rsidRDefault="006B7BFE" w:rsidP="009140F6">
      <w:pPr>
        <w:pStyle w:val="Text"/>
        <w:spacing w:before="0" w:after="0"/>
        <w:rPr>
          <w:color w:val="000000"/>
        </w:rPr>
      </w:pPr>
      <w:r>
        <w:rPr>
          <w:color w:val="000000"/>
        </w:rPr>
        <w:t xml:space="preserve">• Cukrovinky </w:t>
      </w:r>
    </w:p>
    <w:p w14:paraId="1D62B3D9" w14:textId="77777777" w:rsidR="006B7BFE" w:rsidRPr="00D43FA1" w:rsidRDefault="006B7BFE" w:rsidP="009140F6">
      <w:pPr>
        <w:pStyle w:val="Text"/>
        <w:spacing w:before="0" w:after="0"/>
        <w:rPr>
          <w:color w:val="000000"/>
        </w:rPr>
      </w:pPr>
      <w:r>
        <w:rPr>
          <w:color w:val="000000"/>
        </w:rPr>
        <w:t xml:space="preserve">• Káva/čaj </w:t>
      </w:r>
    </w:p>
    <w:p w14:paraId="6E9A551C" w14:textId="77777777" w:rsidR="006B7BFE" w:rsidRPr="00D43FA1" w:rsidRDefault="006B7BFE" w:rsidP="009140F6">
      <w:pPr>
        <w:pStyle w:val="Text"/>
        <w:spacing w:before="0" w:after="0"/>
        <w:rPr>
          <w:color w:val="000000"/>
        </w:rPr>
      </w:pPr>
      <w:r>
        <w:rPr>
          <w:color w:val="000000"/>
        </w:rPr>
        <w:t xml:space="preserve">• Mleté a loupané produkty </w:t>
      </w:r>
    </w:p>
    <w:p w14:paraId="31C005BD" w14:textId="3394A96C" w:rsidR="006B7BFE" w:rsidRDefault="006B7BFE" w:rsidP="00557D18">
      <w:pPr>
        <w:pStyle w:val="Text"/>
        <w:spacing w:before="0" w:after="0"/>
        <w:jc w:val="left"/>
        <w:rPr>
          <w:color w:val="000000"/>
        </w:rPr>
      </w:pPr>
      <w:r>
        <w:rPr>
          <w:color w:val="000000"/>
        </w:rPr>
        <w:t xml:space="preserve">• Hotová jídla </w:t>
      </w:r>
    </w:p>
    <w:p w14:paraId="69346562" w14:textId="77777777" w:rsidR="00D43FA1" w:rsidRPr="00D43FA1" w:rsidRDefault="00D43FA1" w:rsidP="00557D18">
      <w:pPr>
        <w:pStyle w:val="Text"/>
        <w:spacing w:before="0" w:after="0"/>
        <w:jc w:val="left"/>
        <w:rPr>
          <w:color w:val="000000"/>
        </w:rPr>
      </w:pPr>
    </w:p>
    <w:p w14:paraId="6EE2F31E" w14:textId="7D5A1896" w:rsidR="006B7BFE" w:rsidRDefault="006B7BFE" w:rsidP="00557D18">
      <w:pPr>
        <w:pStyle w:val="Text"/>
        <w:spacing w:before="0" w:after="0"/>
        <w:rPr>
          <w:color w:val="000000"/>
        </w:rPr>
      </w:pPr>
      <w:r>
        <w:rPr>
          <w:color w:val="000000"/>
        </w:rPr>
        <w:t xml:space="preserve">Celkový obrat 415 dotčených podniků činí přibližně 26 miliard EUR. Na základě celkového obratu se odhaduje, kolik produktů (= potraviny plus související materiály přicházející do styku s potravinami) tyto společnosti vyrábějí pro německý trh: při celkovém obratu 26 miliard EUR a obratu na produkt 2,5 milionu EUR to připadá na přibližně </w:t>
      </w:r>
      <w:r>
        <w:rPr>
          <w:b/>
          <w:color w:val="000000"/>
        </w:rPr>
        <w:t>10 000 výrobků</w:t>
      </w:r>
      <w:r>
        <w:rPr>
          <w:color w:val="000000"/>
        </w:rPr>
        <w:t xml:space="preserve">. Pouze část balení produktů musí být skutečně změněna, protože ne všechny podniky jsou dotčeny stejně: Zatímco některé podniky musí převést celou škálu svých produktů, u jiný je dotčeno pouze několik produktů. U všech produktů je však třeba zkontrolovat, zda stávající obal přiměřeně brání přenosu MOAH na potraviny. Testovány jsou také potraviny balené výhradně ve fólii, protože tyto výrobky jsou obvykle dále baleny a dodávány v lepenkových krabicích vyrobených z recyklovaného odpadního papíru.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color w:val="000000"/>
        </w:rPr>
        <w:t xml:space="preserve">Materiálové náklady </w:t>
      </w:r>
    </w:p>
    <w:p w14:paraId="20856574" w14:textId="77777777" w:rsidR="00D43FA1" w:rsidRPr="00D43FA1" w:rsidRDefault="00D43FA1" w:rsidP="0070360F">
      <w:pPr>
        <w:keepNext/>
        <w:keepLines/>
        <w:spacing w:before="0" w:after="0"/>
      </w:pPr>
    </w:p>
    <w:p w14:paraId="3F2BE815" w14:textId="0DDDAA09" w:rsidR="006B7BFE" w:rsidRPr="00D43FA1" w:rsidRDefault="006B7BFE" w:rsidP="009140F6">
      <w:pPr>
        <w:pStyle w:val="Text"/>
        <w:spacing w:before="0" w:after="0"/>
        <w:rPr>
          <w:color w:val="000000"/>
        </w:rPr>
      </w:pPr>
      <w:r>
        <w:rPr>
          <w:color w:val="000000"/>
        </w:rPr>
        <w:t>Náklady na materiál se skládají z nákladů na analýzu při počátečním testování potravin a materiálů přicházejících do styku s potravinami (obvykle balení), jakož i na vývoj a používání nových obalů. Náklady vyplývají z poptávky externích zkušebních laboratoří. Jen málo podniků provádí analýzy úplně samy. V každém případě byly požadovány celkové náklady na všechny dotčené produkty podniku a tyto celkové náklady byly přiděleny počtu produktů podniku, které spadají do působnosti nařízení.</w:t>
      </w:r>
    </w:p>
    <w:p w14:paraId="12734BF7" w14:textId="0BD0DC03" w:rsidR="006B7BFE" w:rsidRPr="00D43FA1" w:rsidRDefault="006B7BFE" w:rsidP="009140F6">
      <w:pPr>
        <w:pStyle w:val="Text"/>
        <w:spacing w:before="0" w:after="0"/>
        <w:rPr>
          <w:color w:val="000000"/>
        </w:rPr>
      </w:pPr>
      <w:r>
        <w:rPr>
          <w:color w:val="000000"/>
        </w:rPr>
        <w:t xml:space="preserve">Na základě rozhovorů bylo možné určit, že kontrola potravin a souvisejících materiálů přicházejících do styku s potravinami bude stát kolem </w:t>
      </w:r>
      <w:r>
        <w:rPr>
          <w:b/>
          <w:color w:val="000000"/>
        </w:rPr>
        <w:t>290 eur na produkt</w:t>
      </w:r>
      <w:r>
        <w:rPr>
          <w:color w:val="000000"/>
        </w:rPr>
        <w:t>. Náklady se vztahují na všech 10 000 produktů.</w:t>
      </w:r>
    </w:p>
    <w:p w14:paraId="6C361081" w14:textId="0FBEA951" w:rsidR="006B7BFE" w:rsidRPr="00D43FA1" w:rsidRDefault="006B7BFE" w:rsidP="009140F6">
      <w:pPr>
        <w:pStyle w:val="Text"/>
        <w:spacing w:before="0" w:after="0"/>
        <w:rPr>
          <w:color w:val="000000"/>
        </w:rPr>
      </w:pPr>
      <w:r>
        <w:rPr>
          <w:color w:val="000000"/>
        </w:rPr>
        <w:t xml:space="preserve">Předpokládá se, že balení musí být změněno u 50 % testovaných produktů, tj. u 5 000 produktů. To by mělo za následek v průměru </w:t>
      </w:r>
      <w:r>
        <w:rPr>
          <w:b/>
          <w:color w:val="000000"/>
        </w:rPr>
        <w:t>550 EUR na materiálové náklady na produkt</w:t>
      </w:r>
      <w:r>
        <w:rPr>
          <w:color w:val="000000"/>
        </w:rPr>
        <w:t>.</w:t>
      </w:r>
    </w:p>
    <w:p w14:paraId="71241388" w14:textId="7F9A1A7C" w:rsidR="00C23235" w:rsidRPr="00D43FA1" w:rsidRDefault="006B7BFE" w:rsidP="0070360F">
      <w:pPr>
        <w:pStyle w:val="Text"/>
        <w:keepNext/>
        <w:keepLines/>
        <w:spacing w:before="0" w:after="0"/>
        <w:rPr>
          <w:color w:val="000000"/>
        </w:rPr>
      </w:pPr>
      <w:r>
        <w:rPr>
          <w:color w:val="000000"/>
        </w:rPr>
        <w:t>Jednorázové materiálové náklady tedy vyplývají z následujícího výpočtu:</w:t>
      </w:r>
    </w:p>
    <w:p w14:paraId="0AE849C1" w14:textId="0BE5CE3F" w:rsidR="006B7BFE" w:rsidRDefault="006B7BFE" w:rsidP="009140F6">
      <w:pPr>
        <w:pStyle w:val="Text"/>
        <w:spacing w:before="0" w:after="0"/>
        <w:rPr>
          <w:color w:val="000000"/>
        </w:rPr>
      </w:pPr>
      <w:r>
        <w:rPr>
          <w:color w:val="000000"/>
        </w:rPr>
        <w:t xml:space="preserve">Náklady na inspekci 290 EUR x 10 000 testovaných produktů + náklady na materiál 550 EUR x 5 000 balení produktu, které je třeba předělat = 5 650 000 EUR.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color w:val="000000"/>
        </w:rPr>
        <w:lastRenderedPageBreak/>
        <w:t xml:space="preserve">Personální náklady </w:t>
      </w:r>
    </w:p>
    <w:p w14:paraId="3CDF1E12" w14:textId="77777777" w:rsidR="00D43FA1" w:rsidRPr="00D43FA1" w:rsidRDefault="00D43FA1" w:rsidP="0070360F">
      <w:pPr>
        <w:pStyle w:val="Text"/>
        <w:keepNext/>
        <w:keepLines/>
        <w:spacing w:before="0" w:after="0"/>
        <w:ind w:left="360"/>
        <w:rPr>
          <w:u w:val="single"/>
        </w:rPr>
      </w:pPr>
    </w:p>
    <w:p w14:paraId="060CC136" w14:textId="0224181D" w:rsidR="006B7BFE" w:rsidRPr="00CC55B6" w:rsidRDefault="006B7BFE" w:rsidP="00CC55B6">
      <w:pPr>
        <w:pStyle w:val="Text"/>
        <w:keepLines/>
        <w:spacing w:before="0" w:after="0"/>
        <w:rPr>
          <w:spacing w:val="-4"/>
        </w:rPr>
      </w:pPr>
      <w:r w:rsidRPr="00CC55B6">
        <w:rPr>
          <w:spacing w:val="-4"/>
        </w:rPr>
        <w:t>Personální náklady se skládají z doby potřebné k testování potravin a souvisejících materiálů přicházejících do styku s potravinami (obvykle balení), jakož i k přeměně obalů (příprava a sledování laboratorních testů; samotná analýza se provádí převážně externě). V každém případě byly požadovány celkové náklady na všechny dotčené produkty podniku a tyto celkové náklady byly přiděleny počtu produktů podniku, které spadají do působnosti nařízení.</w:t>
      </w:r>
    </w:p>
    <w:p w14:paraId="325CED0A" w14:textId="3DBDD0D3" w:rsidR="006B7BFE" w:rsidRPr="00D43FA1" w:rsidRDefault="006B7BFE" w:rsidP="009140F6">
      <w:pPr>
        <w:pStyle w:val="Text"/>
        <w:spacing w:before="0" w:after="0"/>
      </w:pPr>
      <w:r>
        <w:t xml:space="preserve">Na základě rozhovorů bylo možné stanovit časovou náročnost asi </w:t>
      </w:r>
      <w:r>
        <w:rPr>
          <w:b/>
        </w:rPr>
        <w:t>tři hodiny na produkt</w:t>
      </w:r>
      <w:r>
        <w:t xml:space="preserve"> pro kontrolu potravin a souvisejících materiálů přicházejících do styku s potravinami. Kromě analýzy MOAH to zahrnuje také přípravné práce, jako je odběr vzorků. Mzdová sazba je stanovena na 60,50 EUR / hod.</w:t>
      </w:r>
      <w:r>
        <w:rPr>
          <w:rStyle w:val="FootnoteReference"/>
        </w:rPr>
        <w:footnoteReference w:customMarkFollows="1" w:id="4"/>
        <w:t>3</w:t>
      </w:r>
      <w:r>
        <w:rPr>
          <w:vertAlign w:val="superscript"/>
        </w:rPr>
        <w:t xml:space="preserve"> </w:t>
      </w:r>
      <w:r>
        <w:t>Tyto náklady se vztahují na všech 10 000 produktů.</w:t>
      </w:r>
    </w:p>
    <w:p w14:paraId="31FE69DB" w14:textId="3FC8EC24" w:rsidR="006B7BFE" w:rsidRPr="00D43FA1" w:rsidRDefault="002201EF" w:rsidP="009140F6">
      <w:pPr>
        <w:pStyle w:val="Text"/>
        <w:spacing w:before="0" w:after="0"/>
      </w:pPr>
      <w:r>
        <w:t xml:space="preserve">časová náročnost na přepracování obalu produktu je přibližně </w:t>
      </w:r>
      <w:r>
        <w:rPr>
          <w:b/>
        </w:rPr>
        <w:t>šest hodin práce na produkt</w:t>
      </w:r>
      <w:r>
        <w:t>. Mzdová sazba je stanovena na 60,50 EUR / hod.</w:t>
      </w:r>
      <w:r>
        <w:rPr>
          <w:vertAlign w:val="superscript"/>
        </w:rPr>
        <w:t xml:space="preserve">3 </w:t>
      </w:r>
      <w:r>
        <w:t xml:space="preserve"> Za předpokladu, že přibližně 50 % všech produktů musí být přepracováno, vznikají mzdové náklady za 5 000 produktů.</w:t>
      </w:r>
    </w:p>
    <w:p w14:paraId="082FCC81" w14:textId="77777777" w:rsidR="002201EF" w:rsidRPr="0086292F" w:rsidRDefault="006B7BFE" w:rsidP="009140F6">
      <w:pPr>
        <w:pStyle w:val="Text"/>
        <w:spacing w:before="0" w:after="0"/>
      </w:pPr>
      <w:r>
        <w:t xml:space="preserve">Jednorázové personální náklady tedy vyplývají z následujícího výpočtu: </w:t>
      </w:r>
    </w:p>
    <w:p w14:paraId="0A22DD87" w14:textId="5FCF7C89" w:rsidR="00D43FA1" w:rsidRDefault="006B7BFE" w:rsidP="009140F6">
      <w:pPr>
        <w:pStyle w:val="Text"/>
        <w:spacing w:before="0" w:after="0"/>
      </w:pPr>
      <w:r>
        <w:t>3 hodiny testování x 60,50 EUR mzdová sazba x 10 000 testovaných produktů + 6 hodin konverze x 60,50 EUR mzdová sazba x 5 000 produktů, které je třeba předělat = 3 630 000 EUR.</w:t>
      </w:r>
    </w:p>
    <w:p w14:paraId="2406F8A6" w14:textId="7A9A3CFE" w:rsidR="006B7BFE" w:rsidRPr="00D43FA1" w:rsidRDefault="006B7BFE" w:rsidP="009140F6">
      <w:pPr>
        <w:pStyle w:val="Text"/>
        <w:spacing w:before="0" w:after="0"/>
      </w:pPr>
    </w:p>
    <w:p w14:paraId="3A7DB30D" w14:textId="77777777" w:rsidR="006B7BFE" w:rsidRPr="00D43FA1" w:rsidRDefault="006B7BFE" w:rsidP="0070360F">
      <w:pPr>
        <w:pStyle w:val="Text"/>
        <w:keepNext/>
        <w:keepLines/>
        <w:spacing w:before="0" w:after="0"/>
        <w:rPr>
          <w:u w:val="single"/>
        </w:rPr>
      </w:pPr>
      <w:r>
        <w:rPr>
          <w:b/>
        </w:rPr>
        <w:t xml:space="preserve">Tabulka 2: Přehled nákladů na přepracování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1701"/>
        <w:gridCol w:w="1275"/>
        <w:gridCol w:w="1560"/>
        <w:gridCol w:w="1276"/>
        <w:gridCol w:w="1276"/>
      </w:tblGrid>
      <w:tr w:rsidR="006B7BFE" w:rsidRPr="00CC55B6" w14:paraId="3E0ACA00" w14:textId="77777777" w:rsidTr="00CC55B6">
        <w:tc>
          <w:tcPr>
            <w:tcW w:w="2263" w:type="dxa"/>
            <w:gridSpan w:val="2"/>
          </w:tcPr>
          <w:p w14:paraId="6539344C" w14:textId="6E1D7699" w:rsidR="006B7BFE" w:rsidRPr="00CC55B6" w:rsidRDefault="006B7BFE" w:rsidP="0070360F">
            <w:pPr>
              <w:pStyle w:val="Default"/>
              <w:rPr>
                <w:rFonts w:ascii="Arial" w:hAnsi="Arial" w:cs="Arial"/>
                <w:b/>
                <w:spacing w:val="-6"/>
                <w:sz w:val="22"/>
                <w:szCs w:val="22"/>
              </w:rPr>
            </w:pPr>
            <w:r w:rsidRPr="00CC55B6">
              <w:rPr>
                <w:rFonts w:ascii="Arial" w:hAnsi="Arial"/>
                <w:b/>
                <w:spacing w:val="-6"/>
                <w:sz w:val="22"/>
              </w:rPr>
              <w:t xml:space="preserve">Zadání / informační povinnost (IP) </w:t>
            </w:r>
          </w:p>
        </w:tc>
        <w:tc>
          <w:tcPr>
            <w:tcW w:w="1701" w:type="dxa"/>
          </w:tcPr>
          <w:p w14:paraId="49FCAF62" w14:textId="0B6392AB" w:rsidR="006B7BFE" w:rsidRPr="00CC55B6" w:rsidRDefault="006B7BFE" w:rsidP="0070360F">
            <w:pPr>
              <w:pStyle w:val="Default"/>
              <w:rPr>
                <w:rFonts w:ascii="Arial" w:hAnsi="Arial" w:cs="Arial"/>
                <w:b/>
                <w:spacing w:val="-6"/>
                <w:sz w:val="22"/>
                <w:szCs w:val="22"/>
              </w:rPr>
            </w:pPr>
            <w:r w:rsidRPr="00CC55B6">
              <w:rPr>
                <w:rFonts w:ascii="Arial" w:hAnsi="Arial"/>
                <w:b/>
                <w:spacing w:val="-6"/>
                <w:sz w:val="22"/>
              </w:rPr>
              <w:t xml:space="preserve">Časová náročnost jednorázově v hodinách </w:t>
            </w:r>
          </w:p>
        </w:tc>
        <w:tc>
          <w:tcPr>
            <w:tcW w:w="1275" w:type="dxa"/>
          </w:tcPr>
          <w:p w14:paraId="3FB6B09A" w14:textId="66935CB6" w:rsidR="006B7BFE" w:rsidRPr="00CC55B6" w:rsidRDefault="006B7BFE" w:rsidP="0070360F">
            <w:pPr>
              <w:pStyle w:val="Default"/>
              <w:rPr>
                <w:rFonts w:ascii="Arial" w:hAnsi="Arial" w:cs="Arial"/>
                <w:b/>
                <w:spacing w:val="-6"/>
                <w:sz w:val="22"/>
                <w:szCs w:val="22"/>
              </w:rPr>
            </w:pPr>
            <w:r w:rsidRPr="00CC55B6">
              <w:rPr>
                <w:rFonts w:ascii="Arial" w:hAnsi="Arial"/>
                <w:b/>
                <w:spacing w:val="-6"/>
                <w:sz w:val="22"/>
              </w:rPr>
              <w:t xml:space="preserve">Mzdová sazba v eurech za hodinu </w:t>
            </w:r>
          </w:p>
        </w:tc>
        <w:tc>
          <w:tcPr>
            <w:tcW w:w="1560" w:type="dxa"/>
          </w:tcPr>
          <w:p w14:paraId="0F54C0E3" w14:textId="1127C6E8" w:rsidR="006B7BFE" w:rsidRPr="00CC55B6" w:rsidRDefault="006B7BFE" w:rsidP="0070360F">
            <w:pPr>
              <w:pStyle w:val="Default"/>
              <w:rPr>
                <w:rFonts w:ascii="Arial" w:hAnsi="Arial" w:cs="Arial"/>
                <w:b/>
                <w:spacing w:val="-6"/>
                <w:sz w:val="22"/>
                <w:szCs w:val="22"/>
              </w:rPr>
            </w:pPr>
            <w:r w:rsidRPr="00CC55B6">
              <w:rPr>
                <w:rFonts w:ascii="Arial" w:hAnsi="Arial"/>
                <w:b/>
                <w:spacing w:val="-6"/>
                <w:sz w:val="22"/>
              </w:rPr>
              <w:t xml:space="preserve">Jednorázové personální náklady v eurech </w:t>
            </w:r>
          </w:p>
        </w:tc>
        <w:tc>
          <w:tcPr>
            <w:tcW w:w="1276" w:type="dxa"/>
          </w:tcPr>
          <w:p w14:paraId="2AD81DFC" w14:textId="468BB395" w:rsidR="006B7BFE" w:rsidRPr="00CC55B6" w:rsidRDefault="006B7BFE" w:rsidP="0070360F">
            <w:pPr>
              <w:pStyle w:val="Default"/>
              <w:rPr>
                <w:rFonts w:ascii="Arial" w:hAnsi="Arial" w:cs="Arial"/>
                <w:b/>
                <w:spacing w:val="-6"/>
                <w:sz w:val="22"/>
                <w:szCs w:val="22"/>
              </w:rPr>
            </w:pPr>
            <w:r w:rsidRPr="00CC55B6">
              <w:rPr>
                <w:rFonts w:ascii="Arial" w:hAnsi="Arial"/>
                <w:b/>
                <w:spacing w:val="-6"/>
                <w:sz w:val="22"/>
              </w:rPr>
              <w:t>Jedno</w:t>
            </w:r>
            <w:r w:rsidR="00CC55B6">
              <w:rPr>
                <w:rFonts w:ascii="Arial" w:hAnsi="Arial"/>
                <w:b/>
                <w:spacing w:val="-6"/>
                <w:sz w:val="22"/>
              </w:rPr>
              <w:t>-</w:t>
            </w:r>
            <w:r w:rsidRPr="00CC55B6">
              <w:rPr>
                <w:rFonts w:ascii="Arial" w:hAnsi="Arial"/>
                <w:b/>
                <w:spacing w:val="-6"/>
                <w:sz w:val="22"/>
              </w:rPr>
              <w:t xml:space="preserve">rázové náklady na materiál v eurech </w:t>
            </w:r>
          </w:p>
        </w:tc>
        <w:tc>
          <w:tcPr>
            <w:tcW w:w="1276" w:type="dxa"/>
          </w:tcPr>
          <w:p w14:paraId="50C55997" w14:textId="787533FE" w:rsidR="006B7BFE" w:rsidRPr="00CC55B6" w:rsidRDefault="006B7BFE" w:rsidP="0070360F">
            <w:pPr>
              <w:pStyle w:val="Default"/>
              <w:rPr>
                <w:rFonts w:ascii="Arial" w:hAnsi="Arial" w:cs="Arial"/>
                <w:b/>
                <w:spacing w:val="-6"/>
                <w:sz w:val="22"/>
                <w:szCs w:val="22"/>
              </w:rPr>
            </w:pPr>
            <w:r w:rsidRPr="00CC55B6">
              <w:rPr>
                <w:rFonts w:ascii="Arial" w:hAnsi="Arial"/>
                <w:b/>
                <w:spacing w:val="-6"/>
                <w:sz w:val="22"/>
              </w:rPr>
              <w:t>Jedno</w:t>
            </w:r>
            <w:r w:rsidR="00CC55B6">
              <w:rPr>
                <w:rFonts w:ascii="Arial" w:hAnsi="Arial"/>
                <w:b/>
                <w:spacing w:val="-6"/>
                <w:sz w:val="22"/>
              </w:rPr>
              <w:t>-</w:t>
            </w:r>
            <w:r w:rsidRPr="00CC55B6">
              <w:rPr>
                <w:rFonts w:ascii="Arial" w:hAnsi="Arial"/>
                <w:b/>
                <w:spacing w:val="-6"/>
                <w:sz w:val="22"/>
              </w:rPr>
              <w:t xml:space="preserve">rázové realizační náklady v eurech </w:t>
            </w:r>
          </w:p>
        </w:tc>
      </w:tr>
      <w:tr w:rsidR="006B7BFE" w:rsidRPr="00CC55B6" w14:paraId="19635ABD" w14:textId="77777777" w:rsidTr="00CC55B6">
        <w:tc>
          <w:tcPr>
            <w:tcW w:w="1129" w:type="dxa"/>
          </w:tcPr>
          <w:p w14:paraId="3EF43B2A" w14:textId="77777777" w:rsidR="006B7BFE" w:rsidRPr="00CC55B6" w:rsidRDefault="006B7BFE" w:rsidP="006B7BFE">
            <w:pPr>
              <w:pStyle w:val="Default"/>
              <w:rPr>
                <w:rFonts w:ascii="Arial" w:hAnsi="Arial" w:cs="Arial"/>
                <w:spacing w:val="-6"/>
                <w:sz w:val="22"/>
                <w:szCs w:val="22"/>
              </w:rPr>
            </w:pPr>
            <w:r w:rsidRPr="00CC55B6">
              <w:rPr>
                <w:rFonts w:ascii="Arial" w:hAnsi="Arial"/>
                <w:spacing w:val="-6"/>
                <w:sz w:val="22"/>
              </w:rPr>
              <w:t xml:space="preserve">Funkční bariéra </w:t>
            </w:r>
          </w:p>
        </w:tc>
        <w:tc>
          <w:tcPr>
            <w:tcW w:w="1134" w:type="dxa"/>
          </w:tcPr>
          <w:p w14:paraId="3A8E99F1" w14:textId="77777777" w:rsidR="006B7BFE" w:rsidRPr="00CC55B6" w:rsidRDefault="006B7BFE" w:rsidP="000F1682">
            <w:pPr>
              <w:pStyle w:val="Default"/>
              <w:rPr>
                <w:rFonts w:ascii="Arial" w:hAnsi="Arial" w:cs="Arial"/>
                <w:spacing w:val="-6"/>
                <w:sz w:val="22"/>
                <w:szCs w:val="22"/>
              </w:rPr>
            </w:pPr>
            <w:r w:rsidRPr="00CC55B6">
              <w:rPr>
                <w:rFonts w:ascii="Arial" w:hAnsi="Arial"/>
                <w:spacing w:val="-6"/>
                <w:sz w:val="22"/>
              </w:rPr>
              <w:t xml:space="preserve">§ 6a odst. 1 a 4 </w:t>
            </w:r>
          </w:p>
        </w:tc>
        <w:tc>
          <w:tcPr>
            <w:tcW w:w="1701" w:type="dxa"/>
          </w:tcPr>
          <w:p w14:paraId="0BB48AAC" w14:textId="77777777" w:rsidR="006B7BFE" w:rsidRPr="00CC55B6" w:rsidRDefault="006B7BFE" w:rsidP="002F4768">
            <w:pPr>
              <w:pStyle w:val="Default"/>
              <w:rPr>
                <w:rFonts w:ascii="Arial" w:hAnsi="Arial" w:cs="Arial"/>
                <w:spacing w:val="-6"/>
                <w:sz w:val="22"/>
                <w:szCs w:val="22"/>
              </w:rPr>
            </w:pPr>
            <w:r w:rsidRPr="00CC55B6">
              <w:rPr>
                <w:rFonts w:ascii="Arial" w:hAnsi="Arial"/>
                <w:spacing w:val="-6"/>
                <w:sz w:val="22"/>
              </w:rPr>
              <w:t xml:space="preserve">60 000 </w:t>
            </w:r>
          </w:p>
        </w:tc>
        <w:tc>
          <w:tcPr>
            <w:tcW w:w="1275" w:type="dxa"/>
          </w:tcPr>
          <w:p w14:paraId="28388CFA" w14:textId="77777777" w:rsidR="006B7BFE" w:rsidRPr="00CC55B6" w:rsidRDefault="00A4031B" w:rsidP="006B7BFE">
            <w:pPr>
              <w:pStyle w:val="Default"/>
              <w:rPr>
                <w:rFonts w:ascii="Arial" w:hAnsi="Arial" w:cs="Arial"/>
                <w:spacing w:val="-6"/>
                <w:sz w:val="22"/>
                <w:szCs w:val="22"/>
              </w:rPr>
            </w:pPr>
            <w:r w:rsidRPr="00CC55B6">
              <w:rPr>
                <w:rFonts w:ascii="Arial" w:hAnsi="Arial"/>
                <w:spacing w:val="-6"/>
                <w:sz w:val="22"/>
              </w:rPr>
              <w:t>60,50</w:t>
            </w:r>
          </w:p>
        </w:tc>
        <w:tc>
          <w:tcPr>
            <w:tcW w:w="1560" w:type="dxa"/>
          </w:tcPr>
          <w:p w14:paraId="1C8517E8" w14:textId="77777777" w:rsidR="006B7BFE" w:rsidRPr="00CC55B6" w:rsidRDefault="00A4031B" w:rsidP="002F4768">
            <w:pPr>
              <w:pStyle w:val="Default"/>
              <w:rPr>
                <w:rFonts w:ascii="Arial" w:hAnsi="Arial" w:cs="Arial"/>
                <w:spacing w:val="-6"/>
                <w:sz w:val="22"/>
                <w:szCs w:val="22"/>
              </w:rPr>
            </w:pPr>
            <w:r w:rsidRPr="00CC55B6">
              <w:rPr>
                <w:rFonts w:ascii="Arial" w:hAnsi="Arial"/>
                <w:spacing w:val="-6"/>
                <w:sz w:val="22"/>
              </w:rPr>
              <w:t xml:space="preserve">3 630 000 </w:t>
            </w:r>
          </w:p>
        </w:tc>
        <w:tc>
          <w:tcPr>
            <w:tcW w:w="1276" w:type="dxa"/>
          </w:tcPr>
          <w:p w14:paraId="38F2E4E4" w14:textId="77777777" w:rsidR="006B7BFE" w:rsidRPr="00CC55B6" w:rsidRDefault="006B7BFE" w:rsidP="002F4768">
            <w:pPr>
              <w:pStyle w:val="Default"/>
              <w:rPr>
                <w:rFonts w:ascii="Arial" w:hAnsi="Arial" w:cs="Arial"/>
                <w:spacing w:val="-6"/>
                <w:sz w:val="22"/>
                <w:szCs w:val="22"/>
              </w:rPr>
            </w:pPr>
            <w:r w:rsidRPr="00CC55B6">
              <w:rPr>
                <w:rFonts w:ascii="Arial" w:hAnsi="Arial"/>
                <w:spacing w:val="-6"/>
                <w:sz w:val="22"/>
              </w:rPr>
              <w:t xml:space="preserve">5 650 000 </w:t>
            </w:r>
          </w:p>
        </w:tc>
        <w:tc>
          <w:tcPr>
            <w:tcW w:w="1276" w:type="dxa"/>
            <w:shd w:val="clear" w:color="auto" w:fill="BFBFBF" w:themeFill="background1" w:themeFillShade="BF"/>
          </w:tcPr>
          <w:p w14:paraId="5943CEDA" w14:textId="77777777" w:rsidR="006B7BFE" w:rsidRPr="00CC55B6" w:rsidRDefault="002F4768" w:rsidP="002F4768">
            <w:pPr>
              <w:pStyle w:val="Default"/>
              <w:rPr>
                <w:rFonts w:ascii="Arial" w:hAnsi="Arial" w:cs="Arial"/>
                <w:spacing w:val="-6"/>
                <w:sz w:val="22"/>
                <w:szCs w:val="22"/>
              </w:rPr>
            </w:pPr>
            <w:r w:rsidRPr="00CC55B6">
              <w:rPr>
                <w:rFonts w:ascii="Arial" w:hAnsi="Arial"/>
                <w:b/>
                <w:spacing w:val="-6"/>
                <w:sz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b) Roční realizační náklady </w:t>
      </w:r>
    </w:p>
    <w:p w14:paraId="5CB6CCB6" w14:textId="521BA6B6" w:rsidR="006B7BFE" w:rsidRPr="00D43FA1" w:rsidRDefault="006B7BFE" w:rsidP="0086292F">
      <w:pPr>
        <w:pStyle w:val="Text"/>
        <w:keepNext/>
        <w:keepLines/>
        <w:spacing w:before="0" w:after="0"/>
        <w:jc w:val="left"/>
      </w:pPr>
    </w:p>
    <w:p w14:paraId="318EDF1F" w14:textId="136FCF43" w:rsidR="00D43FA1" w:rsidRDefault="006B7BFE" w:rsidP="0086292F">
      <w:pPr>
        <w:pStyle w:val="Text"/>
        <w:keepNext/>
        <w:keepLines/>
        <w:spacing w:before="0" w:after="0"/>
        <w:rPr>
          <w:i/>
          <w:iCs/>
        </w:rPr>
      </w:pPr>
      <w:r>
        <w:rPr>
          <w:i/>
        </w:rPr>
        <w:t xml:space="preserve">Roční realizační náklady zahrnují personální a materiálové náklady na pravidelnou kontrolu a dodatečné náklady potřebné pro obalové řešení podle § 6a. Pravidelné testování potravin a obalových řešení zahrnuje odběr vzorků, analýzu a hodnocení. </w:t>
      </w:r>
    </w:p>
    <w:p w14:paraId="61757831" w14:textId="2AB309E2" w:rsidR="006B7BFE" w:rsidRPr="00D43FA1" w:rsidRDefault="006B7BFE" w:rsidP="0086292F">
      <w:pPr>
        <w:pStyle w:val="Text"/>
        <w:keepNext/>
        <w:keepLines/>
        <w:spacing w:before="0" w:after="0"/>
        <w:rPr>
          <w:i/>
          <w:iCs/>
        </w:rPr>
      </w:pPr>
    </w:p>
    <w:p w14:paraId="3A014E51" w14:textId="43820923" w:rsidR="006B7BFE" w:rsidRPr="0086292F" w:rsidRDefault="006B7BFE" w:rsidP="00557D18">
      <w:pPr>
        <w:pStyle w:val="Text"/>
        <w:numPr>
          <w:ilvl w:val="0"/>
          <w:numId w:val="5"/>
        </w:numPr>
        <w:spacing w:before="0" w:after="0"/>
        <w:rPr>
          <w:color w:val="000000"/>
        </w:rPr>
      </w:pPr>
      <w:r>
        <w:rPr>
          <w:i/>
        </w:rPr>
        <w:t>Počet případů</w:t>
      </w:r>
      <w:r>
        <w:t xml:space="preserve"> </w:t>
      </w:r>
      <w:r>
        <w:rPr>
          <w:color w:val="000000"/>
        </w:rPr>
        <w:t xml:space="preserve">(= dotčené produkty: Potraviny a materiály přicházející do styku s potravinami) </w:t>
      </w:r>
    </w:p>
    <w:p w14:paraId="6EA56C3D" w14:textId="77777777" w:rsidR="00D43FA1" w:rsidRPr="00D43FA1" w:rsidRDefault="00D43FA1" w:rsidP="00D43FA1">
      <w:pPr>
        <w:pStyle w:val="Text"/>
        <w:spacing w:before="0" w:after="0"/>
        <w:ind w:left="360"/>
        <w:rPr>
          <w:u w:val="single"/>
        </w:rPr>
      </w:pPr>
    </w:p>
    <w:p w14:paraId="5F264B2C" w14:textId="15B9C9D4" w:rsidR="006B7BFE" w:rsidRPr="00D43FA1" w:rsidRDefault="006B7BFE" w:rsidP="009140F6">
      <w:pPr>
        <w:pStyle w:val="Text"/>
        <w:spacing w:before="0" w:after="0"/>
      </w:pPr>
      <w:r>
        <w:t xml:space="preserve">Celkový počet produktů, které podléhají regulaci, je odvozen od počtu produktů pro jednorázové náklady na přepracování: Zásadně je dotčeno10 000 produktů a balení musí být přepracováno u 5 000 produktů. Soulad nových obalů u těchto 5 000 produktů se každoročně kontroluje. Podle dotazovaných podniků se tyto náklady týkají i produktů, které není třeba přepracovat. Předpokládá se, že testování odpovídá přibližně třetině nákladů u přepracovávaných produktů.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rPr>
        <w:t>Personální náklady</w:t>
      </w:r>
    </w:p>
    <w:p w14:paraId="0FD42608" w14:textId="77777777" w:rsidR="006B7BFE" w:rsidRPr="00D43FA1" w:rsidRDefault="006B7BFE" w:rsidP="0070360F">
      <w:pPr>
        <w:pStyle w:val="Text"/>
        <w:keepNext/>
        <w:keepLines/>
        <w:spacing w:before="0" w:after="0"/>
        <w:rPr>
          <w:i/>
          <w:iCs/>
          <w:u w:val="single"/>
        </w:rPr>
      </w:pPr>
    </w:p>
    <w:p w14:paraId="58C3C95C" w14:textId="4507692D" w:rsidR="006B7BFE" w:rsidRPr="00D43FA1" w:rsidRDefault="00E71594" w:rsidP="009140F6">
      <w:pPr>
        <w:pStyle w:val="Text"/>
        <w:spacing w:before="0" w:after="0"/>
      </w:pPr>
      <w:r>
        <w:t xml:space="preserve">Roční realizační náklady vyplývají z personálních nákladů na úkoly v oblasti periodického testování potravin a souvisejících materiálů přicházejících do styku s potravinami (obvykle balení) (příprava a sledování laboratorních testů; samotná analýza se provádí převážně externě). V každém případě byly požadovány celkové náklady na všechny dotčené produkty podniku a tyto celkové náklady byly přiděleny počtu produktů podniku, které spadají do působnosti nařízení. </w:t>
      </w:r>
    </w:p>
    <w:p w14:paraId="6A10C10F" w14:textId="77777777" w:rsidR="006B7BFE" w:rsidRPr="00D43FA1" w:rsidRDefault="006B7BFE" w:rsidP="009140F6">
      <w:pPr>
        <w:pStyle w:val="Text"/>
        <w:spacing w:before="0" w:after="0"/>
        <w:rPr>
          <w:vertAlign w:val="superscript"/>
        </w:rPr>
      </w:pPr>
      <w:r>
        <w:lastRenderedPageBreak/>
        <w:t xml:space="preserve">Na základě rozhovorů bylo možné stanovit roční časovou náročnost asi </w:t>
      </w:r>
      <w:r>
        <w:rPr>
          <w:b/>
        </w:rPr>
        <w:t>tři hodiny na produkt</w:t>
      </w:r>
      <w:r>
        <w:t xml:space="preserve"> pro kontrolu potravin a souvisejících materiálů přicházejících do styku s potravinami. Kromě analýzy MOAH to zahrnuje také přípravné práce, jako je odběr vzorků. Mzdová sazba je stanovena na 60,50 EUR / hod.</w:t>
      </w:r>
      <w:r>
        <w:rPr>
          <w:vertAlign w:val="superscript"/>
        </w:rPr>
        <w:t>3</w:t>
      </w:r>
    </w:p>
    <w:p w14:paraId="1FCB5935" w14:textId="77777777" w:rsidR="006B7BFE" w:rsidRPr="00D43FA1" w:rsidRDefault="006B7BFE" w:rsidP="009140F6">
      <w:pPr>
        <w:pStyle w:val="Text"/>
        <w:spacing w:before="0" w:after="0"/>
        <w:rPr>
          <w:vertAlign w:val="superscript"/>
        </w:rPr>
      </w:pPr>
      <w:r>
        <w:t xml:space="preserve">Na základě rozhovorů byly nepřepracovávané produkty (50 % z celkového počtu, tj. 5 000 produktů) testovány méně intenzivně. Roční časové výdaje odpovídají </w:t>
      </w:r>
      <w:r>
        <w:rPr>
          <w:b/>
        </w:rPr>
        <w:t>jedné hodině na produkt</w:t>
      </w:r>
      <w:r>
        <w:t>. Mzdová sazba je stanovena na 60,50 EUR / hod.</w:t>
      </w:r>
      <w:r>
        <w:rPr>
          <w:vertAlign w:val="superscript"/>
        </w:rPr>
        <w:t xml:space="preserve">3 </w:t>
      </w:r>
    </w:p>
    <w:p w14:paraId="572A0A4A" w14:textId="671EEE96" w:rsidR="006B7BFE" w:rsidRPr="00D43FA1" w:rsidRDefault="006B7BFE" w:rsidP="009140F6">
      <w:pPr>
        <w:pStyle w:val="Text"/>
        <w:spacing w:before="0" w:after="0"/>
      </w:pPr>
      <w:r>
        <w:t xml:space="preserve">Vznikají proto roční personální náklady: 3 hodiny testování x 60,50 EUR mzdová sazba x 5 000 produktů + 1 ​​hodina testování x 60,50 eur mzdová sazba x 5 000 produktů = 1 210 000 EUR.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rPr>
        <w:t xml:space="preserve">Materiálové náklady </w:t>
      </w:r>
    </w:p>
    <w:p w14:paraId="1E71B5C0" w14:textId="77777777" w:rsidR="006B7BFE" w:rsidRPr="00D43FA1" w:rsidRDefault="006B7BFE" w:rsidP="0070360F">
      <w:pPr>
        <w:pStyle w:val="Text"/>
        <w:keepNext/>
        <w:keepLines/>
        <w:spacing w:before="0" w:after="0"/>
        <w:rPr>
          <w:i/>
          <w:iCs/>
          <w:u w:val="single"/>
        </w:rPr>
      </w:pPr>
    </w:p>
    <w:p w14:paraId="0B563A15" w14:textId="77777777" w:rsidR="006B7BFE" w:rsidRPr="00D43FA1" w:rsidRDefault="006B7BFE" w:rsidP="009140F6">
      <w:pPr>
        <w:pStyle w:val="Text"/>
        <w:spacing w:before="0" w:after="0"/>
      </w:pPr>
      <w:r>
        <w:t xml:space="preserve">Náklady na materiál se skládají z nákladů na pravidelnou kontrolu potravin a souvisejících materiálů přicházejících do styku s potravinami (obvykle balení) a dodatečných nákladů na přepracování obalů. Náklady vyplývají z poptávky externích zkušebních laboratoří. Jen málo podniků provádí analýzy úplně samy. V každém případě byly požadovány náklady na všechny dotčené produkty podniku a tyto celkové náklady byly přiděleny počtu produktů podniku, které spadají do působnosti nařízení. </w:t>
      </w:r>
    </w:p>
    <w:p w14:paraId="05FEEC02" w14:textId="77777777" w:rsidR="006B7BFE" w:rsidRPr="00D43FA1" w:rsidRDefault="006B7BFE" w:rsidP="009140F6">
      <w:pPr>
        <w:pStyle w:val="Text"/>
        <w:spacing w:before="0" w:after="0"/>
      </w:pPr>
      <w:r>
        <w:t xml:space="preserve">Na základě rozhovorů bylo možné stanovit, že testování potravin a souvisejících materiálů přicházejících do styku s potravinami bude vyžadovat roční náklady ve výši přibližně </w:t>
      </w:r>
      <w:r>
        <w:rPr>
          <w:b/>
        </w:rPr>
        <w:t>290 EUR na produkt</w:t>
      </w:r>
      <w:r>
        <w:t xml:space="preserve">. Tyto materiálové náklady vznikají u 5 000 produktů. Pro méně intenzivní testování potravin, které nevyžadují přepracování, bylo stanoveno přibližně </w:t>
      </w:r>
      <w:r>
        <w:rPr>
          <w:b/>
        </w:rPr>
        <w:t>100 EUR na produkt,</w:t>
      </w:r>
      <w:r>
        <w:t xml:space="preserve"> které se vynaloží na 5 000 produktů. </w:t>
      </w:r>
    </w:p>
    <w:p w14:paraId="1FB0BAEE" w14:textId="77777777" w:rsidR="006B7BFE" w:rsidRPr="00D43FA1" w:rsidRDefault="006B7BFE" w:rsidP="009140F6">
      <w:pPr>
        <w:pStyle w:val="Text"/>
        <w:spacing w:before="0" w:after="0"/>
      </w:pPr>
      <w:r>
        <w:t>Dodatečné náklady na obalový materiál pro 5 000 produktů, které mají být přepracovány, činí přibližně</w:t>
      </w:r>
      <w:r>
        <w:rPr>
          <w:b/>
        </w:rPr>
        <w:t>1 000 EUR na produkt</w:t>
      </w:r>
      <w:r>
        <w:t xml:space="preserve">. </w:t>
      </w:r>
    </w:p>
    <w:p w14:paraId="5A000AC2" w14:textId="77777777" w:rsidR="006B7BFE" w:rsidRPr="00D43FA1" w:rsidRDefault="006B7BFE" w:rsidP="009140F6">
      <w:pPr>
        <w:pStyle w:val="Text"/>
        <w:spacing w:before="0" w:after="0"/>
      </w:pPr>
      <w:r>
        <w:t xml:space="preserve">Vznikají proto roční materiálové náklady: 290 EUR náklady na testování x 5 000 produktů + 100 EUR náklady na testování x 5 000 produktů + 1 ​​000 EUR na materiálové náklady x 5 000 produktů = 6 950 000 EUR.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rPr>
        <w:t xml:space="preserve">Tabulka 3: Přehled průběžných realizačních nákladů </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305"/>
        <w:gridCol w:w="1276"/>
        <w:gridCol w:w="1276"/>
      </w:tblGrid>
      <w:tr w:rsidR="006B7BFE" w:rsidRPr="00CC55B6" w14:paraId="1A7C22AA" w14:textId="77777777" w:rsidTr="00CC55B6">
        <w:tc>
          <w:tcPr>
            <w:tcW w:w="2660" w:type="dxa"/>
            <w:gridSpan w:val="2"/>
          </w:tcPr>
          <w:p w14:paraId="4EBDEFBC" w14:textId="603EE879" w:rsidR="006B7BFE" w:rsidRPr="00CC55B6" w:rsidRDefault="006B7BFE" w:rsidP="0070360F">
            <w:pPr>
              <w:pStyle w:val="Default"/>
              <w:keepNext/>
              <w:keepLines/>
              <w:rPr>
                <w:rFonts w:ascii="Arial" w:hAnsi="Arial" w:cs="Arial"/>
                <w:b/>
                <w:spacing w:val="-4"/>
                <w:sz w:val="22"/>
                <w:szCs w:val="22"/>
              </w:rPr>
            </w:pPr>
            <w:r w:rsidRPr="00CC55B6">
              <w:rPr>
                <w:rFonts w:ascii="Arial" w:hAnsi="Arial"/>
                <w:b/>
                <w:spacing w:val="-4"/>
                <w:sz w:val="22"/>
              </w:rPr>
              <w:t xml:space="preserve">Zadání / informační povinnost (IP) </w:t>
            </w:r>
          </w:p>
          <w:p w14:paraId="67A2E6B2" w14:textId="77777777" w:rsidR="006B7BFE" w:rsidRPr="00CC55B6" w:rsidRDefault="006B7BFE" w:rsidP="0070360F">
            <w:pPr>
              <w:pStyle w:val="Default"/>
              <w:keepNext/>
              <w:keepLines/>
              <w:rPr>
                <w:rFonts w:ascii="Arial" w:hAnsi="Arial" w:cs="Arial"/>
                <w:b/>
                <w:spacing w:val="-4"/>
                <w:sz w:val="22"/>
                <w:szCs w:val="22"/>
              </w:rPr>
            </w:pPr>
          </w:p>
        </w:tc>
        <w:tc>
          <w:tcPr>
            <w:tcW w:w="1276" w:type="dxa"/>
          </w:tcPr>
          <w:p w14:paraId="06CC8623" w14:textId="2AD90995" w:rsidR="006B7BFE" w:rsidRPr="00CC55B6" w:rsidRDefault="006B7BFE" w:rsidP="0070360F">
            <w:pPr>
              <w:pStyle w:val="Default"/>
              <w:keepNext/>
              <w:keepLines/>
              <w:rPr>
                <w:rFonts w:ascii="Arial" w:hAnsi="Arial" w:cs="Arial"/>
                <w:b/>
                <w:spacing w:val="-4"/>
                <w:sz w:val="22"/>
                <w:szCs w:val="22"/>
              </w:rPr>
            </w:pPr>
            <w:r w:rsidRPr="00CC55B6">
              <w:rPr>
                <w:rFonts w:ascii="Arial" w:hAnsi="Arial"/>
                <w:b/>
                <w:spacing w:val="-4"/>
                <w:sz w:val="22"/>
              </w:rPr>
              <w:t xml:space="preserve">Časová náročnost ročně v hodinách </w:t>
            </w:r>
          </w:p>
        </w:tc>
        <w:tc>
          <w:tcPr>
            <w:tcW w:w="1275" w:type="dxa"/>
          </w:tcPr>
          <w:p w14:paraId="6C38D040" w14:textId="63516781" w:rsidR="006B7BFE" w:rsidRPr="00CC55B6" w:rsidRDefault="006B7BFE" w:rsidP="0070360F">
            <w:pPr>
              <w:pStyle w:val="Default"/>
              <w:keepNext/>
              <w:keepLines/>
              <w:rPr>
                <w:rFonts w:ascii="Arial" w:hAnsi="Arial" w:cs="Arial"/>
                <w:b/>
                <w:spacing w:val="-4"/>
                <w:sz w:val="22"/>
                <w:szCs w:val="22"/>
              </w:rPr>
            </w:pPr>
            <w:r w:rsidRPr="00CC55B6">
              <w:rPr>
                <w:rFonts w:ascii="Arial" w:hAnsi="Arial"/>
                <w:b/>
                <w:spacing w:val="-4"/>
                <w:sz w:val="22"/>
              </w:rPr>
              <w:t xml:space="preserve">Mzdová sazba v eurech za hodinu </w:t>
            </w:r>
          </w:p>
        </w:tc>
        <w:tc>
          <w:tcPr>
            <w:tcW w:w="1305" w:type="dxa"/>
          </w:tcPr>
          <w:p w14:paraId="759A246A" w14:textId="299BA053" w:rsidR="006B7BFE" w:rsidRPr="00CC55B6" w:rsidRDefault="006B7BFE" w:rsidP="0070360F">
            <w:pPr>
              <w:pStyle w:val="Default"/>
              <w:keepNext/>
              <w:keepLines/>
              <w:rPr>
                <w:rFonts w:ascii="Arial" w:hAnsi="Arial" w:cs="Arial"/>
                <w:b/>
                <w:spacing w:val="-4"/>
                <w:sz w:val="22"/>
                <w:szCs w:val="22"/>
              </w:rPr>
            </w:pPr>
            <w:r w:rsidRPr="00CC55B6">
              <w:rPr>
                <w:rFonts w:ascii="Arial" w:hAnsi="Arial"/>
                <w:b/>
                <w:spacing w:val="-4"/>
                <w:sz w:val="22"/>
              </w:rPr>
              <w:t xml:space="preserve">Roční personální náklady v eurech </w:t>
            </w:r>
          </w:p>
        </w:tc>
        <w:tc>
          <w:tcPr>
            <w:tcW w:w="1276" w:type="dxa"/>
          </w:tcPr>
          <w:p w14:paraId="3BAD02CC" w14:textId="2C9BC08B" w:rsidR="006B7BFE" w:rsidRPr="00CC55B6" w:rsidRDefault="006B7BFE" w:rsidP="0070360F">
            <w:pPr>
              <w:pStyle w:val="Default"/>
              <w:keepNext/>
              <w:keepLines/>
              <w:rPr>
                <w:rFonts w:ascii="Arial" w:hAnsi="Arial" w:cs="Arial"/>
                <w:b/>
                <w:spacing w:val="-4"/>
                <w:sz w:val="22"/>
                <w:szCs w:val="22"/>
              </w:rPr>
            </w:pPr>
            <w:r w:rsidRPr="00CC55B6">
              <w:rPr>
                <w:rFonts w:ascii="Arial" w:hAnsi="Arial"/>
                <w:b/>
                <w:spacing w:val="-4"/>
                <w:sz w:val="22"/>
              </w:rPr>
              <w:t>Roční materiá</w:t>
            </w:r>
            <w:r w:rsidR="00CC55B6">
              <w:rPr>
                <w:rFonts w:ascii="Arial" w:hAnsi="Arial"/>
                <w:b/>
                <w:spacing w:val="-4"/>
                <w:sz w:val="22"/>
              </w:rPr>
              <w:t>-</w:t>
            </w:r>
            <w:r w:rsidRPr="00CC55B6">
              <w:rPr>
                <w:rFonts w:ascii="Arial" w:hAnsi="Arial"/>
                <w:b/>
                <w:spacing w:val="-4"/>
                <w:sz w:val="22"/>
              </w:rPr>
              <w:t xml:space="preserve">lové náklady v eurech </w:t>
            </w:r>
          </w:p>
        </w:tc>
        <w:tc>
          <w:tcPr>
            <w:tcW w:w="1276" w:type="dxa"/>
          </w:tcPr>
          <w:p w14:paraId="7EA852C4" w14:textId="1FF43BB6" w:rsidR="006B7BFE" w:rsidRPr="00CC55B6" w:rsidRDefault="006B7BFE" w:rsidP="0070360F">
            <w:pPr>
              <w:pStyle w:val="Default"/>
              <w:keepNext/>
              <w:keepLines/>
              <w:rPr>
                <w:rFonts w:ascii="Arial" w:hAnsi="Arial" w:cs="Arial"/>
                <w:b/>
                <w:spacing w:val="-4"/>
                <w:sz w:val="22"/>
                <w:szCs w:val="22"/>
              </w:rPr>
            </w:pPr>
            <w:r w:rsidRPr="00CC55B6">
              <w:rPr>
                <w:rFonts w:ascii="Arial" w:hAnsi="Arial"/>
                <w:b/>
                <w:spacing w:val="-4"/>
                <w:sz w:val="22"/>
              </w:rPr>
              <w:t xml:space="preserve">Roční realizační náklady v eurech </w:t>
            </w:r>
          </w:p>
        </w:tc>
      </w:tr>
      <w:tr w:rsidR="006B7BFE" w:rsidRPr="00CC55B6" w14:paraId="17404952" w14:textId="77777777" w:rsidTr="00CC55B6">
        <w:tc>
          <w:tcPr>
            <w:tcW w:w="1366" w:type="dxa"/>
          </w:tcPr>
          <w:p w14:paraId="274A982B" w14:textId="77777777" w:rsidR="006B7BFE" w:rsidRPr="00CC55B6" w:rsidRDefault="006B7BFE" w:rsidP="006B7BFE">
            <w:pPr>
              <w:pStyle w:val="Default"/>
              <w:rPr>
                <w:rFonts w:ascii="Arial" w:hAnsi="Arial" w:cs="Arial"/>
                <w:spacing w:val="-4"/>
                <w:sz w:val="22"/>
                <w:szCs w:val="22"/>
              </w:rPr>
            </w:pPr>
            <w:r w:rsidRPr="00CC55B6">
              <w:rPr>
                <w:rFonts w:ascii="Arial" w:hAnsi="Arial"/>
                <w:spacing w:val="-4"/>
                <w:sz w:val="22"/>
              </w:rPr>
              <w:t xml:space="preserve">Funkční bariéra </w:t>
            </w:r>
          </w:p>
        </w:tc>
        <w:tc>
          <w:tcPr>
            <w:tcW w:w="1294" w:type="dxa"/>
          </w:tcPr>
          <w:p w14:paraId="73BC7D3D" w14:textId="77777777" w:rsidR="006B7BFE" w:rsidRPr="00CC55B6" w:rsidRDefault="006B7BFE" w:rsidP="000F1682">
            <w:pPr>
              <w:pStyle w:val="Default"/>
              <w:rPr>
                <w:rFonts w:ascii="Arial" w:hAnsi="Arial" w:cs="Arial"/>
                <w:spacing w:val="-4"/>
                <w:sz w:val="22"/>
                <w:szCs w:val="22"/>
              </w:rPr>
            </w:pPr>
            <w:r w:rsidRPr="00CC55B6">
              <w:rPr>
                <w:rFonts w:ascii="Arial" w:hAnsi="Arial"/>
                <w:spacing w:val="-4"/>
                <w:sz w:val="22"/>
              </w:rPr>
              <w:t xml:space="preserve">§ 6a odst. 1 a 4 </w:t>
            </w:r>
          </w:p>
        </w:tc>
        <w:tc>
          <w:tcPr>
            <w:tcW w:w="1276" w:type="dxa"/>
          </w:tcPr>
          <w:p w14:paraId="211D8246" w14:textId="77777777" w:rsidR="006B7BFE" w:rsidRPr="00CC55B6" w:rsidRDefault="006B7BFE" w:rsidP="002F4768">
            <w:pPr>
              <w:pStyle w:val="Default"/>
              <w:rPr>
                <w:rFonts w:ascii="Arial" w:hAnsi="Arial" w:cs="Arial"/>
                <w:spacing w:val="-4"/>
                <w:sz w:val="22"/>
                <w:szCs w:val="22"/>
              </w:rPr>
            </w:pPr>
            <w:r w:rsidRPr="00CC55B6">
              <w:rPr>
                <w:rFonts w:ascii="Arial" w:hAnsi="Arial"/>
                <w:spacing w:val="-4"/>
                <w:sz w:val="22"/>
              </w:rPr>
              <w:t xml:space="preserve">20 000 </w:t>
            </w:r>
          </w:p>
        </w:tc>
        <w:tc>
          <w:tcPr>
            <w:tcW w:w="1275" w:type="dxa"/>
          </w:tcPr>
          <w:p w14:paraId="041B8DAD" w14:textId="77777777" w:rsidR="006B7BFE" w:rsidRPr="00CC55B6" w:rsidRDefault="00A4031B" w:rsidP="006B7BFE">
            <w:pPr>
              <w:pStyle w:val="Default"/>
              <w:rPr>
                <w:rFonts w:ascii="Arial" w:hAnsi="Arial" w:cs="Arial"/>
                <w:spacing w:val="-4"/>
                <w:sz w:val="22"/>
                <w:szCs w:val="22"/>
              </w:rPr>
            </w:pPr>
            <w:r w:rsidRPr="00CC55B6">
              <w:rPr>
                <w:rFonts w:ascii="Arial" w:hAnsi="Arial"/>
                <w:spacing w:val="-4"/>
                <w:sz w:val="22"/>
              </w:rPr>
              <w:t>60,50</w:t>
            </w:r>
          </w:p>
        </w:tc>
        <w:tc>
          <w:tcPr>
            <w:tcW w:w="1305" w:type="dxa"/>
          </w:tcPr>
          <w:p w14:paraId="3016DBF2" w14:textId="77777777" w:rsidR="006B7BFE" w:rsidRPr="00CC55B6" w:rsidRDefault="00A4031B" w:rsidP="002F4768">
            <w:pPr>
              <w:pStyle w:val="Default"/>
              <w:rPr>
                <w:rFonts w:ascii="Arial" w:hAnsi="Arial" w:cs="Arial"/>
                <w:spacing w:val="-4"/>
                <w:sz w:val="22"/>
                <w:szCs w:val="22"/>
              </w:rPr>
            </w:pPr>
            <w:r w:rsidRPr="00CC55B6">
              <w:rPr>
                <w:rFonts w:ascii="Arial" w:hAnsi="Arial"/>
                <w:spacing w:val="-4"/>
                <w:sz w:val="22"/>
              </w:rPr>
              <w:t xml:space="preserve">1 210 000 </w:t>
            </w:r>
          </w:p>
        </w:tc>
        <w:tc>
          <w:tcPr>
            <w:tcW w:w="1276" w:type="dxa"/>
          </w:tcPr>
          <w:p w14:paraId="7800B24B" w14:textId="77777777" w:rsidR="006B7BFE" w:rsidRPr="00CC55B6" w:rsidRDefault="006B7BFE" w:rsidP="002F4768">
            <w:pPr>
              <w:pStyle w:val="Default"/>
              <w:rPr>
                <w:rFonts w:ascii="Arial" w:hAnsi="Arial" w:cs="Arial"/>
                <w:spacing w:val="-4"/>
                <w:sz w:val="22"/>
                <w:szCs w:val="22"/>
              </w:rPr>
            </w:pPr>
            <w:r w:rsidRPr="00CC55B6">
              <w:rPr>
                <w:rFonts w:ascii="Arial" w:hAnsi="Arial"/>
                <w:spacing w:val="-4"/>
                <w:sz w:val="22"/>
              </w:rPr>
              <w:t xml:space="preserve">6 950 000 </w:t>
            </w:r>
          </w:p>
        </w:tc>
        <w:tc>
          <w:tcPr>
            <w:tcW w:w="1276" w:type="dxa"/>
            <w:shd w:val="clear" w:color="auto" w:fill="BFBFBF" w:themeFill="background1" w:themeFillShade="BF"/>
          </w:tcPr>
          <w:p w14:paraId="4DC4F037" w14:textId="77777777" w:rsidR="006B7BFE" w:rsidRPr="00CC55B6" w:rsidRDefault="002F4768" w:rsidP="002F4768">
            <w:pPr>
              <w:pStyle w:val="Default"/>
              <w:rPr>
                <w:rFonts w:ascii="Arial" w:hAnsi="Arial" w:cs="Arial"/>
                <w:spacing w:val="-4"/>
                <w:sz w:val="22"/>
                <w:szCs w:val="22"/>
              </w:rPr>
            </w:pPr>
            <w:r w:rsidRPr="00CC55B6">
              <w:rPr>
                <w:rFonts w:ascii="Arial" w:hAnsi="Arial"/>
                <w:b/>
                <w:spacing w:val="-4"/>
                <w:sz w:val="22"/>
              </w:rPr>
              <w:t xml:space="preserve"> 8 160 000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u w:val="single"/>
        </w:rPr>
        <w:t xml:space="preserve">Písemné nebo elektronické prohlášení o vzdání se funkční bariéry podle § 6a odst. 3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Jednorázové náklady na přepracování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Nevznikají žádné jednorázové náklady na přepracování.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t xml:space="preserve">b) Roční realizační náklady </w:t>
      </w:r>
    </w:p>
    <w:p w14:paraId="35D80FBA" w14:textId="77777777" w:rsidR="006B7BFE" w:rsidRPr="00D43FA1" w:rsidRDefault="006B7BFE" w:rsidP="0070360F">
      <w:pPr>
        <w:pStyle w:val="Text"/>
        <w:keepNext/>
        <w:keepLines/>
        <w:spacing w:before="0" w:after="0"/>
      </w:pPr>
    </w:p>
    <w:p w14:paraId="3CE01598" w14:textId="77777777" w:rsidR="006B7BFE" w:rsidRPr="00D43FA1" w:rsidRDefault="006B7BFE" w:rsidP="009140F6">
      <w:pPr>
        <w:pStyle w:val="Text"/>
        <w:spacing w:before="0" w:after="0"/>
      </w:pPr>
      <w:r>
        <w:t xml:space="preserve">Požadované další informace, tj. obsah výjimky je již předmětem diskuse mezi výrobci obalů a potravin v rámci dohod o obalovém materiálu. Dodatečné realizační náklady jsou zanedbatelné. </w:t>
      </w:r>
    </w:p>
    <w:p w14:paraId="7BA9413B" w14:textId="77777777" w:rsidR="006B7BFE" w:rsidRPr="00D43FA1" w:rsidRDefault="006B7BFE" w:rsidP="009140F6">
      <w:pPr>
        <w:pStyle w:val="Text"/>
        <w:spacing w:before="0" w:after="0"/>
      </w:pPr>
    </w:p>
    <w:p w14:paraId="27386C8C" w14:textId="77777777" w:rsidR="006B7BFE" w:rsidRPr="00D43FA1" w:rsidRDefault="006B7BFE" w:rsidP="0070360F">
      <w:pPr>
        <w:pStyle w:val="Text"/>
        <w:keepNext/>
        <w:keepLines/>
        <w:spacing w:before="0" w:after="0"/>
        <w:rPr>
          <w:b/>
          <w:bCs/>
          <w:u w:val="single"/>
        </w:rPr>
      </w:pPr>
      <w:r>
        <w:rPr>
          <w:b/>
          <w:u w:val="single"/>
        </w:rPr>
        <w:t>Povinnost oznámit důkaz o vyloučení přenosu MOAH v souladu s § 6a odst. 1 2 a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Jednorázové náklady na přepracování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t xml:space="preserve">Nevznikají žádné jednorázové náklady na přepracování.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lastRenderedPageBreak/>
        <w:t xml:space="preserve">b) Roční realizační náklady </w:t>
      </w:r>
    </w:p>
    <w:p w14:paraId="3DD42870" w14:textId="77777777" w:rsidR="006B7BFE" w:rsidRPr="00D43FA1" w:rsidRDefault="006B7BFE" w:rsidP="0070360F">
      <w:pPr>
        <w:pStyle w:val="Text"/>
        <w:keepNext/>
        <w:keepLines/>
        <w:spacing w:before="0" w:after="0"/>
      </w:pPr>
    </w:p>
    <w:p w14:paraId="0F203911" w14:textId="77777777" w:rsidR="00013F7F" w:rsidRPr="00D43FA1" w:rsidRDefault="006B7BFE" w:rsidP="00557D18">
      <w:pPr>
        <w:pStyle w:val="Text"/>
        <w:spacing w:before="0" w:after="0"/>
      </w:pPr>
      <w:r>
        <w:t>V nařízení Komise (ES) č. 2023/2006 ze dne 22. prosince 2006 o správné výrobní praxi pro materiály a předměty určené pro styk s potravinami (Úř. věst. L 384, 29.12.2006, s. 75) (tzv. nařízení o SVP) je již zakotvena obecná povinnost dokumentace pro materiály přicházející do styku s potravinami. Kromě toho počáteční test a pravidelné testy potravin a obalů potravin již vytvářejí dokumenty, které mohou sloužit jako důkaz. Dodatečné realizační náklady jsou zanedbatelné.</w:t>
      </w:r>
    </w:p>
    <w:p w14:paraId="6239F5A0" w14:textId="77777777" w:rsidR="00013F7F" w:rsidRPr="00D43FA1" w:rsidRDefault="00013F7F" w:rsidP="00013F7F">
      <w:pPr>
        <w:pStyle w:val="Text"/>
        <w:spacing w:before="0" w:after="0"/>
        <w:jc w:val="left"/>
      </w:pPr>
    </w:p>
    <w:p w14:paraId="24214F93" w14:textId="39282B6F" w:rsidR="00425BF3" w:rsidRPr="00CC55B6" w:rsidRDefault="00425BF3" w:rsidP="00557D18">
      <w:pPr>
        <w:pStyle w:val="Text"/>
        <w:spacing w:before="0" w:after="0"/>
      </w:pPr>
      <w:r w:rsidRPr="00CC55B6">
        <w:rPr>
          <w:spacing w:val="-4"/>
        </w:rPr>
        <w:t>Ustanovení nařízení se vztahují stejně na malé a střední podniky (MSP). Zvláštní výjimky pro malé a střední podniky nejsou možné z důvodu ochrany zdraví spotřebitele. Nařízení však obecně stanoví výjimky pro použití funkční bariéry, pokud jsou splněny nezbytné podmínky.</w:t>
      </w:r>
    </w:p>
    <w:p w14:paraId="4C839333" w14:textId="77777777" w:rsidR="00325F70" w:rsidRPr="00D43FA1" w:rsidRDefault="00325F70" w:rsidP="00013F7F">
      <w:pPr>
        <w:pStyle w:val="Text"/>
        <w:spacing w:before="0" w:after="0"/>
        <w:jc w:val="left"/>
      </w:pPr>
    </w:p>
    <w:p w14:paraId="2CF68D80" w14:textId="7272FBDC" w:rsidR="003F6BDA" w:rsidRPr="00D43FA1" w:rsidRDefault="00091B75" w:rsidP="00557D18">
      <w:pPr>
        <w:pStyle w:val="Text"/>
        <w:spacing w:before="0" w:after="0"/>
      </w:pPr>
      <w:r>
        <w:t>Další průběžné realizační náklady v ekonomice v důsledku tohoto záměru podléhají použití pravidla „one in, one out“. Odškodnění nemůže být provedeno v rámci tohoto nařízení. Úsilí o dosažení souladu bude proto kompenzováno jiným regulačním záměrem.</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c) Realizační náklady pro občany</w:t>
      </w:r>
    </w:p>
    <w:p w14:paraId="49145E90" w14:textId="77777777" w:rsidR="004779CD" w:rsidRPr="00D43FA1" w:rsidRDefault="004779CD" w:rsidP="0070360F">
      <w:pPr>
        <w:pStyle w:val="Text"/>
        <w:keepNext/>
        <w:keepLines/>
        <w:spacing w:before="0" w:after="0"/>
      </w:pPr>
    </w:p>
    <w:p w14:paraId="61EA37FE" w14:textId="77777777" w:rsidR="00D43FA1" w:rsidRDefault="00612652" w:rsidP="003F6BDA">
      <w:pPr>
        <w:pStyle w:val="Text"/>
        <w:spacing w:before="0" w:after="0"/>
      </w:pPr>
      <w:r>
        <w:t>Pro občanky a občany nevznikají na základě tohoto nařízení žádné realizační náklady.</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Další náklady</w:t>
      </w:r>
    </w:p>
    <w:p w14:paraId="4A6DA429" w14:textId="77777777" w:rsidR="000F4A0B" w:rsidRPr="00D43FA1" w:rsidRDefault="00CB5E99">
      <w:pPr>
        <w:pStyle w:val="Text"/>
      </w:pPr>
      <w:r>
        <w:t>Dopady na jednotkové ceny za kus nelze zcela vyloučit; neočekávají se však dopady na všeobecnou cenovou úroveň a zejména na úroveň spotřebitelských cen.</w:t>
      </w:r>
    </w:p>
    <w:p w14:paraId="6B3FA7B6" w14:textId="77777777" w:rsidR="000F4A0B" w:rsidRPr="00D43FA1" w:rsidRDefault="000F4A0B" w:rsidP="000F4A0B">
      <w:pPr>
        <w:pStyle w:val="berschriftarabischBegrndung"/>
      </w:pPr>
      <w:r>
        <w:t>Další právní důsledky</w:t>
      </w:r>
    </w:p>
    <w:p w14:paraId="0411E3C3" w14:textId="77777777" w:rsidR="000F4A0B" w:rsidRPr="00D43FA1" w:rsidRDefault="000F4A0B" w:rsidP="000F4A0B">
      <w:pPr>
        <w:pStyle w:val="Text"/>
      </w:pPr>
      <w:r>
        <w:t xml:space="preserve">Nařízení neobsahuje žádné úpravy, které by se specificky projevily na životní situaci žen nebo mužů. Je nutno zohlednit zdravotní ochranu žen a mužů stejnou měrou. Na základě toho se neočekávají důsledky z hlediska rovnoprávného postavení žen a mužů. </w:t>
      </w:r>
    </w:p>
    <w:p w14:paraId="3D5B6005" w14:textId="77777777" w:rsidR="000F4A0B" w:rsidRPr="00D43FA1" w:rsidRDefault="000F4A0B" w:rsidP="000F4A0B">
      <w:pPr>
        <w:pStyle w:val="berschriftrmischBegrndung"/>
      </w:pPr>
      <w:r>
        <w:t>Časové omezení; evaluace</w:t>
      </w:r>
    </w:p>
    <w:p w14:paraId="713DB2AE" w14:textId="14616EF4" w:rsidR="00BE6637" w:rsidRPr="00D43FA1" w:rsidRDefault="006504FE" w:rsidP="000F4A0B">
      <w:pPr>
        <w:pStyle w:val="Text"/>
      </w:pPr>
      <w:r>
        <w:t xml:space="preserve">Nařízení není časově omezeno, protože ochrana spotřebitelů musí být zajištěna dlouhodobě. </w:t>
      </w:r>
    </w:p>
    <w:p w14:paraId="757F71C9" w14:textId="58E77352" w:rsidR="000F4A0B" w:rsidRPr="00CC55B6" w:rsidRDefault="00BE6637" w:rsidP="000F4A0B">
      <w:pPr>
        <w:pStyle w:val="Text"/>
        <w:rPr>
          <w:spacing w:val="-4"/>
          <w:highlight w:val="yellow"/>
        </w:rPr>
      </w:pPr>
      <w:r w:rsidRPr="00CC55B6">
        <w:rPr>
          <w:spacing w:val="-4"/>
        </w:rPr>
        <w:t xml:space="preserve">Účinky tohoto nařízení je však třeba vyhodnotit pět let po vstupu nařízení v platnost. Účelem nařízení je ověřit, zda bylo dosaženo cíle regulace, tj. minimalizace expozice spotřebitelů vůči MOAH z materiálů přicházejících do styku s potravinami regulovaných v nařízení pomocí funkčních bariér nebo jiných vhodných opatření k zabránění přenosu MOAH (detekční limit 0,5) miligramů MOAH na kilogram potravin nebo 0,15 miligramů MOAH na kilogram simulantu potravin). Nezbytné údaje by měly být k dispozici na základě výsledků kontrol prováděných úřady pro kontrolu potravin a práce dotčených podniků na ověřování shody. Skutečné dopady na náklady, například náklady na vývoj, přepracování a analytickou kontrolu materiálů přicházejících do styku s potravinami a dotčených potravin, by měly být rovněž hodnoceny ve vztahu k regulačnímu cíli a případně k možným vedlejším účinkům. Rovněž je třeba zvážit vývoj v oblasti analytiky, zejména dosažitelné detekční limity pro MOAH. </w:t>
      </w:r>
    </w:p>
    <w:p w14:paraId="353D2149" w14:textId="77777777" w:rsidR="006444D5" w:rsidRPr="00D43FA1" w:rsidRDefault="006444D5" w:rsidP="0070360F">
      <w:pPr>
        <w:pStyle w:val="BegrndungBesondererTeil"/>
        <w:keepLines/>
      </w:pPr>
      <w:r>
        <w:lastRenderedPageBreak/>
        <w:t>B. Zvláštní část</w:t>
      </w:r>
    </w:p>
    <w:p w14:paraId="0532AB57" w14:textId="77777777" w:rsidR="00CB5E99" w:rsidRPr="00D43FA1" w:rsidRDefault="00CB5E99" w:rsidP="0070360F">
      <w:pPr>
        <w:pStyle w:val="Text"/>
        <w:keepNext/>
        <w:keepLines/>
        <w:rPr>
          <w:b/>
        </w:rPr>
      </w:pPr>
      <w:r>
        <w:rPr>
          <w:b/>
        </w:rPr>
        <w:t>K článku 1</w:t>
      </w:r>
    </w:p>
    <w:p w14:paraId="03E3D677" w14:textId="77777777" w:rsidR="00CB5E99" w:rsidRPr="00D43FA1" w:rsidRDefault="00CB5E99" w:rsidP="0070360F">
      <w:pPr>
        <w:pStyle w:val="Text"/>
        <w:keepNext/>
        <w:keepLines/>
        <w:rPr>
          <w:u w:val="single"/>
        </w:rPr>
      </w:pPr>
      <w:r>
        <w:rPr>
          <w:u w:val="single"/>
        </w:rPr>
        <w:t>K bodu 1</w:t>
      </w:r>
    </w:p>
    <w:p w14:paraId="56A74D00" w14:textId="77777777" w:rsidR="00CB5E99" w:rsidRPr="00D43FA1" w:rsidRDefault="00CB5E99" w:rsidP="00CB5E99">
      <w:pPr>
        <w:pStyle w:val="Text"/>
      </w:pPr>
      <w:r>
        <w:t xml:space="preserve">Bodem 1 se s ohledem na obsah tohoto nařízení vkládají definice pro odpadní papír, uhlovodíky z aromatických minerálních olejů (MOAH), funkční bariéry a simulanty potravin. </w:t>
      </w:r>
    </w:p>
    <w:p w14:paraId="6B41D48F" w14:textId="6F271235" w:rsidR="002535AD" w:rsidRPr="00D43FA1" w:rsidRDefault="00031FDC" w:rsidP="00CB5E99">
      <w:pPr>
        <w:pStyle w:val="Text"/>
      </w:pPr>
      <w:r>
        <w:t xml:space="preserve">V rámci definice funkční bariéry se rozlišuje s ohledem na různé formy. Funkční bariéra může být trvale spojena s materiálem přicházejícím do styku s potravinami, například ve formě povlaku (§ 2 bod 9 písm. a)), nebo může existovat samostatně, například ve formě mezilehlého vaku (§ 2 bod 9 písm. b)). V závislosti na druhu materiálu přicházejícího do styku s potravinami, druhu potravin, podmínkách použití a době použití materiálu přicházejícího do styku s potravinami je jako materiál pro potahování na papír, karton nebo lepenku nebo jako materiál pro další vnitřní vak vhodný například hliník nebo různé plasty (např. PET, polyakryláty, polyacetáty, polyamidy). </w:t>
      </w:r>
    </w:p>
    <w:p w14:paraId="578470CD" w14:textId="77777777" w:rsidR="00CB5E99" w:rsidRPr="00D43FA1" w:rsidRDefault="00CB5E99" w:rsidP="0070360F">
      <w:pPr>
        <w:pStyle w:val="Text"/>
        <w:keepNext/>
        <w:keepLines/>
        <w:rPr>
          <w:u w:val="single"/>
        </w:rPr>
      </w:pPr>
      <w:r>
        <w:rPr>
          <w:u w:val="single"/>
        </w:rPr>
        <w:t>K bodu 2</w:t>
      </w:r>
    </w:p>
    <w:p w14:paraId="0EE8563F" w14:textId="77777777" w:rsidR="00492084" w:rsidRPr="00D43FA1" w:rsidRDefault="00CB5E99" w:rsidP="00CB5E99">
      <w:pPr>
        <w:pStyle w:val="Text"/>
      </w:pPr>
      <w:r>
        <w:t xml:space="preserve">Bodem 2 se stanovují zvláštní předpisy pro materiály přicházející do styku s potravinami vyrobené z papíru, kartonu nebo lepenky, které jsou vyrobeny z recyklovaného papíru. </w:t>
      </w:r>
    </w:p>
    <w:p w14:paraId="02416656" w14:textId="151A9855" w:rsidR="00492084" w:rsidRPr="00D43FA1" w:rsidRDefault="00492084" w:rsidP="00123317">
      <w:pPr>
        <w:pStyle w:val="Text"/>
      </w:pPr>
      <w:r>
        <w:t>§ 6a obsahuje v odstavcích 1 a 2 specifické požadavky zaměřené na podnikatele s materiálem přicházejícím do styku s potravinami (výrobce, distributor). Pokud si provozovatel potravinářského podniku přeje přijmout svá vlastní opatření, která se od tohoto odchylují, použijí se požadavky odstavců 3 a 4, které se vztahují na provozovatele potravinářského podniku i na podnikatele s materiály přicházejícími do styku s potravinami.</w:t>
      </w:r>
      <w:r w:rsidR="00CC55B6">
        <w:t xml:space="preserve"> </w:t>
      </w:r>
      <w:r>
        <w:t>Odstavec 5 je zaměřen jak na podnikatele s materiály přicházejícími do styku s potravinami, tak na provozovatele potravinářských podniků.</w:t>
      </w:r>
    </w:p>
    <w:p w14:paraId="21FFB49B" w14:textId="7EC90CDE" w:rsidR="00123317" w:rsidRPr="00D43FA1" w:rsidRDefault="00CB5E99" w:rsidP="00123317">
      <w:pPr>
        <w:pStyle w:val="Text"/>
      </w:pPr>
      <w:r>
        <w:t>Podle § 6a odst. 1 musí být výše uvedené materiály přicházející do styku s potravinami vybaveny funkční bariérou, aby se zajistilo, že se MOAH nepřenáší na potraviny. Výrobci a distributoři materiálů přicházejících do styku s potravinami obvykle používají funkční bariéru podle § 2 bodu 9 písm. a), tj. vrstvu nebo povlak, který je pevně připevněn k materiálu přicházejícímu do styku s potravinami. Pokud se měří přechod do potraviny, je legálně falešné, že nedochází k přechodu až do detekčního limitu 0,5 miligramů MOAH na kilogram potravin. Pokud je funkčnost bariéry stanovena pomocí vhodných potravinových simulátorů, použije se odpovídající detekční limit 0,15 miligramů MOAH na kilogram simulantu potravin.</w:t>
      </w:r>
    </w:p>
    <w:p w14:paraId="69C05D19" w14:textId="6E8CA72D" w:rsidR="006F0E66" w:rsidRPr="00D43FA1" w:rsidRDefault="00123317" w:rsidP="0070360F">
      <w:pPr>
        <w:pStyle w:val="Text"/>
        <w:keepNext/>
        <w:keepLines/>
      </w:pPr>
      <w:r>
        <w:lastRenderedPageBreak/>
        <w:t xml:space="preserve">Analýza minerálního oleje v potravinách a analýza podílu pocházejícího z materiálu, který přichází do styku s potravinami, je náročná, v posledních letech však došlo k velkému pokroku. Dlouhodobě cílený detekční limit 0,15 miligramů na kilogram potravin pro přenos MOAH z materiálů přicházejících do styku s potravinami nelze v současné době dosáhnout u všech potravin. Ten je totiž silně ovlivněn příslušnou potravinovou matricí. Zamýšlený detekční limit 0,5 miligramů MOAH na kilogram potravin pro přenos z materiálů přicházejících do styku s potravinami je v současné době v praxi stanoven v potravinách analyticky. Pokud se naproti tomu používají potravinářské simulanty (obvykle poly(2,6-difenyl-p-fenylenoxid)) ke kontrole, zda je bariéra natolik funkční, že nedochází k přenosu MOAH, je detekční limit 0,15 miligramu MOAH na kilogram simulantu potravin. To je způsobeno zejména skutečností, že odpadají účinky potravinové matrice, ke které dochází u MOAH, a tak lze MOAH v praxi detekovat mnohem citlivějším způsobem. Pokud jde o konvenční metody a v současnosti používané hlavně analytické metody, odkazuje se na následující publikace Spolkového ústavu pro hodnocení rizik: </w:t>
      </w:r>
    </w:p>
    <w:p w14:paraId="13C0812B" w14:textId="77777777" w:rsidR="006F0E66" w:rsidRPr="00CC55B6" w:rsidRDefault="00123317" w:rsidP="00CC55B6">
      <w:pPr>
        <w:pStyle w:val="Text"/>
        <w:keepLines/>
        <w:numPr>
          <w:ilvl w:val="0"/>
          <w:numId w:val="7"/>
        </w:numPr>
        <w:ind w:left="714" w:hanging="357"/>
        <w:rPr>
          <w:spacing w:val="-4"/>
        </w:rPr>
      </w:pPr>
      <w:r w:rsidRPr="00CC55B6">
        <w:rPr>
          <w:spacing w:val="-4"/>
        </w:rPr>
        <w:t xml:space="preserve">„Stanovení uhlovodíků z minerálních olejů (MOSH a MOAH) nebo plastů (POSH, PAO) v obalových materiálech a suchých potravinách pomocí extrakce v pevné fázi a GC-FID“ (k dispozici na adrese: </w:t>
      </w:r>
      <w:hyperlink r:id="rId8" w:history="1">
        <w:r w:rsidRPr="00CC55B6">
          <w:rPr>
            <w:spacing w:val="-4"/>
          </w:rPr>
          <w:t>http://</w:t>
        </w:r>
      </w:hyperlink>
      <w:hyperlink r:id="rId9" w:history="1">
        <w:r w:rsidRPr="00CC55B6">
          <w:rPr>
            <w:spacing w:val="-4"/>
          </w:rPr>
          <w:t>www.bfr.bund.de/cm/343/bestimmung-von-kohlenwasserstoffen-aus-mineraloel-oder-kunststoffen.pdf</w:t>
        </w:r>
      </w:hyperlink>
      <w:r w:rsidRPr="00CC55B6">
        <w:rPr>
          <w:spacing w:val="-4"/>
        </w:rPr>
        <w:t xml:space="preserve">; Stav </w:t>
      </w:r>
      <w:r w:rsidRPr="00CC55B6">
        <w:rPr>
          <w:b/>
          <w:i/>
          <w:spacing w:val="-4"/>
          <w:u w:val="single"/>
        </w:rPr>
        <w:t>Vložit XX.YY.2020</w:t>
      </w:r>
      <w:r w:rsidRPr="00CC55B6">
        <w:rPr>
          <w:spacing w:val="-4"/>
        </w:rPr>
        <w:t>);</w:t>
      </w:r>
    </w:p>
    <w:p w14:paraId="5B28167A" w14:textId="77777777" w:rsidR="00123317" w:rsidRPr="00D43FA1" w:rsidRDefault="00123317" w:rsidP="009777BB">
      <w:pPr>
        <w:pStyle w:val="Text"/>
        <w:numPr>
          <w:ilvl w:val="0"/>
          <w:numId w:val="7"/>
        </w:numPr>
      </w:pPr>
      <w:r>
        <w:t xml:space="preserve">„Měření minerálního oleje – uhlovodíky v potravinách a obalových materiálech“, přehled BfR a kantonální laboratoře v Curychu (k dispozici na adrese: </w:t>
      </w:r>
      <w:hyperlink r:id="rId10" w:history="1">
        <w:r>
          <w:t>http://www.bfr.bund.de/cm/343/messung-von-mineraloel-kohlenwasserstoffen-in-lebensmitteln-und-verpackungsmaterialien.pdf</w:t>
        </w:r>
      </w:hyperlink>
      <w:r>
        <w:t xml:space="preserve">; Stav </w:t>
      </w:r>
      <w:r>
        <w:rPr>
          <w:b/>
          <w:i/>
          <w:u w:val="single"/>
        </w:rPr>
        <w:t>Vložit XX.YY.2020</w:t>
      </w:r>
      <w:r>
        <w:t>).</w:t>
      </w:r>
      <w:r>
        <w:rPr>
          <w:u w:val="single"/>
        </w:rPr>
        <w:t xml:space="preserve"> </w:t>
      </w:r>
    </w:p>
    <w:p w14:paraId="2BF32794" w14:textId="77777777" w:rsidR="00123317" w:rsidRPr="00D43FA1" w:rsidRDefault="00123317" w:rsidP="00123317">
      <w:pPr>
        <w:pStyle w:val="Text"/>
      </w:pPr>
      <w:r>
        <w:t xml:space="preserve">Požadavky na použití funkční bariéry se vztahují pouze na materiály a předměty vyrobené z papíru, kartonu nebo lepenky, které byly vyrobeny z recyklovaného papíru a které spadají do působnosti čl. 1 odst. 2 nařízení (ES) č. 1935/2004 o materiálech a předmětech určených pro styk s potravinami a o zrušení směrnic 80/590/EHS a 89/109/EHS. Použitelnost, například na přepravu a vnější kartony, je dána pouze tehdy, pokud se v konkrétním případě jedná o materiály přicházející do styku s potravinami. Překrývající se, vícenásobná aplikace funkční bariéry v rámci dodavatelského řetězce není obecně nutná. Například v případě přepravních beden a vnějších beden – za předpokladu, že se v konkrétním případě jedná o materiály přicházející do styku s potravinami – není nutná žádná funkční bariéra, pokud již přímo vyhotovení obalu nebo obalového systému samotné potraviny (např. primární nebo sekundární obal) zajistí, že nedochází k přenosu z MOAH na potraviny. Stejně tak  je nezbytná odpovídající komunikace v dodavatelském řetězci, jak je obvyklé u materiálů přicházejících do styku s potravinami. </w:t>
      </w:r>
    </w:p>
    <w:p w14:paraId="2A4229C4" w14:textId="77777777" w:rsidR="00123317" w:rsidRPr="00D43FA1" w:rsidRDefault="00123317" w:rsidP="00CB5E99">
      <w:pPr>
        <w:pStyle w:val="Text"/>
      </w:pPr>
      <w:r>
        <w:t xml:space="preserve">Detekční limit 0,5 miligramů MOAH na kilogram potravin stanovený v tomto nařízení ve spojení s funkční bariérou se týká pouze přenosu MOAH z materiálů přicházejících do styku s potravinami, na které se vztahuje toto nařízení, na potraviny a nepředstavuje obecné maximální množství MOAH v potravinách. </w:t>
      </w:r>
    </w:p>
    <w:p w14:paraId="4749053E" w14:textId="1BDBFAC2" w:rsidR="00C42AD4" w:rsidRPr="00CC55B6" w:rsidRDefault="00000EDE" w:rsidP="00CB5E99">
      <w:pPr>
        <w:pStyle w:val="Text"/>
        <w:rPr>
          <w:spacing w:val="-4"/>
        </w:rPr>
      </w:pPr>
      <w:r w:rsidRPr="00CC55B6">
        <w:rPr>
          <w:spacing w:val="-4"/>
        </w:rPr>
        <w:t xml:space="preserve">Odstavec 2 stanoví výjimky pro podnikatele s materiály přicházejícími do styku s potravinami z povinného vybavení dotyčných materiálů funkční bariérou: Pokud existují zvláštní podmínky, které brání přenosu MOAH na potraviny, nebo jsou přijata jiná opatření k zajištění toho, aby byl přenos MOAH z materiálu přicházejícího do styku při detekčním limitu 0,5 miligramu MOAH na kilogram potravin (nebo 0,15 miligramu MOAH na kilogram potravinového simulátoru) nedetekovatelný, odpadá povinnost používat funkční bariéru. K prvnímu zmiňovanému může dojít například tehdy, pokud je obsah MOAH v papíru, lepence nebo kartonu tak nízký, že nemůže dojít k přenosu do potravin nad rámec detekčního limitu. To znamená, že dalšími vhodnými opatřeními ve smyslu bodu 2 mohou být například opatření týkající se materiálů přicházejících do styku s potravinami, jako je začlenění absorbérů (aktivního uhlí nebo podobných) do papíru, lepenky nebo kartonu, které brání přenosu MOAH do potravin. </w:t>
      </w:r>
    </w:p>
    <w:p w14:paraId="575AE879" w14:textId="7AEA464F" w:rsidR="00873463" w:rsidRPr="00CC55B6" w:rsidRDefault="00B849CA" w:rsidP="00CB5E99">
      <w:pPr>
        <w:pStyle w:val="Text"/>
        <w:rPr>
          <w:spacing w:val="-4"/>
        </w:rPr>
      </w:pPr>
      <w:r w:rsidRPr="00CC55B6">
        <w:rPr>
          <w:spacing w:val="-4"/>
        </w:rPr>
        <w:lastRenderedPageBreak/>
        <w:t xml:space="preserve">Podle § 6a odst. 3 se smí příslušné materiály přicházející do styku s potravinami, odchylně od § 6a odst. 1, s přihlédnutím k odstavci 4 vyrobit a uvést na trh bez funkční bariéry, která je pevně spojena s materiálem přicházejícím do styku s potravinami. To je však přípustné, pouze pokud provozovatel potravinářského podniku ještě před dodáním materiálu přicházejícího do styku s potravinami písemně nebo elektronicky prohlásí výrobci nebo distributorovi tohoto materiálu přicházejícího do styku s potravinami, že nebude mít funkční bariéru. Výrobce nebo distributor materiálu přicházejícího do styku s potravinami musí toto prohlášení uchovat, aby mohl příslušnému orgánu prokázat, že bylo povoleno odchýlit se od ustanovení čl. 6a odst. 1 první věty z důvodu zproštění povinnosti provozovatelem potravinářského podniku. </w:t>
      </w:r>
    </w:p>
    <w:p w14:paraId="559558B3" w14:textId="77777777" w:rsidR="00595A3F" w:rsidRPr="00D43FA1" w:rsidRDefault="00595A3F" w:rsidP="00CB5E99">
      <w:pPr>
        <w:pStyle w:val="Text"/>
      </w:pPr>
      <w:r>
        <w:t>Ustanovení § 6a odst. 3 se vztahuje na provozovatele potravinářských podniků, kteří v oblasti své odpovědnosti uvádějí materiály přicházející do styku s potravinami, které byly vyrobeny z recyklovaného papíru, do přímého nebo nepřímého kontaktu s potravinami, tj. zabalují nebo balí potraviny nebo poprvé jiným způsobem uvádějí do kontaktu potraviny s materiály přicházejícími do styku s potravinami. Povinnost podle § 6a odst. 3 se však nevztahuje například na provozovatele potravinářských podniků, kteří nakupují pouze již balené potraviny (také z jiného členského státu EU nebo třetí země) a pro něž je proces balení mimo jejich kontrolu. V tomto případě je však provozovatel potravinářského podniku povinen v rámci své obecné povinnosti péče zajistit, aby dotyčné výrobky splňovaly požadavky týkající se neoprávněného přenosu MOAH.</w:t>
      </w:r>
    </w:p>
    <w:p w14:paraId="5D78B6B3" w14:textId="77777777" w:rsidR="00882CE4" w:rsidRPr="00D43FA1" w:rsidRDefault="00031FDC" w:rsidP="00CB5E99">
      <w:pPr>
        <w:pStyle w:val="Text"/>
      </w:pPr>
      <w:r>
        <w:t xml:space="preserve">V případech podle § 6a odst. 3 musí provozovatel potravinářského podniku sám přijmout vhodná opatření v souladu s § 6a odst. 4, aby vyloučil přenos MOAH z materiálu přicházejícího do styku s potravinami na potraviny. Provozovatel potravinářského podniku tak může při plnění potravin použít mezilehlý sáček apod. jako funkční bariéru (viz § 2 bod 9 písm. b). Obdobně platí požadavky na detekční limit. </w:t>
      </w:r>
    </w:p>
    <w:p w14:paraId="7B05CB8A" w14:textId="77777777" w:rsidR="00CB5E99" w:rsidRPr="00D43FA1" w:rsidRDefault="00CB5E99" w:rsidP="00CB5E99">
      <w:pPr>
        <w:pStyle w:val="Text"/>
      </w:pPr>
      <w:r>
        <w:t xml:space="preserve">Použití funkční bariéry však není jediným způsobem, jak zajistit, aby nedošlo k žádnému přenosu MOAH z materiálu přicházejícího do styku s potravinami na potraviny nebo aby přenos nebyl detekovatelný. Zejména neexistuje povinnost přijmout vhodná opatření, pokud v důsledku povahy potraviny (např. stolní sůl) nebo podmínek použití (např. v případě zmrazených potravin nebo krátkodobého kontaktu se suchými potravinami) nedojde k přenosu MOAH na potraviny nebo přenos nepřekračuje detekční limit, a je proto považován za nezjistitelný. </w:t>
      </w:r>
    </w:p>
    <w:p w14:paraId="285E5728" w14:textId="77777777" w:rsidR="00CB5E99" w:rsidRPr="00CC55B6" w:rsidRDefault="00CB5E99" w:rsidP="009C1BE7">
      <w:pPr>
        <w:pStyle w:val="Text"/>
        <w:rPr>
          <w:spacing w:val="-4"/>
        </w:rPr>
      </w:pPr>
      <w:r w:rsidRPr="00CC55B6">
        <w:rPr>
          <w:spacing w:val="-4"/>
        </w:rPr>
        <w:t>V rámci obecných předpisů pro materiály přicházející do styku s potravinami musí příslušný odpovědný podnikatel – např. výrobce, distributor nebo balírna potravin – při plnění své povinnosti zajistit, aby materiály přicházející do styku s potravinami použité v oblasti jeho zodpovědnosti splňovaly příslušné požadavky. Odkazuje se například na § 30 bod 3 zákoníku o potravinách, spotřebním zboží a krmivech (LFGB) a nařízení (ES) č. 2023/2006. Podle nařízení (ES) č. 2023/2006 je třeba splnit určité požadavky na dokumentaci. S ohledem na toto nařízení je to relevantní pro otázku překážky, která má být použita, nebo pro použití výjimky, protože dokumenty, které jsou vyhotoveny jako součást těchto povinností, mohou také sloužit jako důkaz, že překážka je vhodná pro zamýšlený účel, má požadovanou funkčnost ve vztahu k MOAH nebo nelze prokázat přenos MOAH z materiálu přicházejícího do styku s potravinami, tj. nepřekračuje mez detekce, pokud není použita funkční bariéra.</w:t>
      </w:r>
    </w:p>
    <w:p w14:paraId="46427445" w14:textId="19B68AB9" w:rsidR="00C66E2D" w:rsidRPr="0086292F" w:rsidRDefault="00D701EB" w:rsidP="00CB5E99">
      <w:pPr>
        <w:pStyle w:val="Text"/>
        <w:rPr>
          <w:szCs w:val="24"/>
        </w:rPr>
      </w:pPr>
      <w:r>
        <w:t xml:space="preserve">Výrobce nebo distributor materiálu přicházejícího do styku s potravinami a provozovatel potravinářského podniku jsou povinni vysvětlit příslušnému orgánu, na základě jakých podmínek nebo okolností byla uplatněna výjimka. Ustanovení § 6a odst. 5 obsahuje rovněž výše uvedené předpisy, které upřesňují povinnost výrobců nebo distributorů materiálů přicházejících do styku s potravinami, jakož i odpovědných provozovatelů potravinářských podniků, poskytnout dokumenty, které prokazují, jak příslušná odpovědná osoba zajistí, že nedojde k přenosu MOAH na potraviny. </w:t>
      </w:r>
    </w:p>
    <w:p w14:paraId="7E7353A1" w14:textId="08CA7C26" w:rsidR="00E36DB1" w:rsidRPr="00D43FA1" w:rsidRDefault="005211EE" w:rsidP="00CC55B6">
      <w:pPr>
        <w:pStyle w:val="Text"/>
        <w:keepLines/>
        <w:rPr>
          <w:color w:val="231F20"/>
          <w:szCs w:val="24"/>
        </w:rPr>
      </w:pPr>
      <w:r>
        <w:rPr>
          <w:color w:val="231F20"/>
        </w:rPr>
        <w:lastRenderedPageBreak/>
        <w:t>§ 6a odst. 6 obsahuje zákaz distribuce potravin s cílem chránit spotřebitele před možnými zdravotními riziky způsobenými přenosem MOAH z materiálů přicházejících do styku s potravinami. Zákaz distribuce se vztahuje na potraviny, které byly ošetřeny materiály přicházejícími do styku s potravinami, které nesplňují ustanovení § 6a odst. 1 první věty nebo § 6a odst. 4 první věty a nevztahuje se na ně ani jedna z příslušných výjimek podle § 6a odst. 2 nebo § 6a odst. 4 třetí věty.</w:t>
      </w:r>
    </w:p>
    <w:p w14:paraId="295C3C27" w14:textId="77777777" w:rsidR="00893613" w:rsidRPr="00D43FA1" w:rsidRDefault="00893613" w:rsidP="0070360F">
      <w:pPr>
        <w:pStyle w:val="Text"/>
        <w:keepNext/>
        <w:keepLines/>
        <w:rPr>
          <w:szCs w:val="24"/>
          <w:u w:val="single"/>
        </w:rPr>
      </w:pPr>
      <w:r>
        <w:rPr>
          <w:u w:val="single"/>
        </w:rPr>
        <w:t>K bodu 3</w:t>
      </w:r>
    </w:p>
    <w:p w14:paraId="527C76F7" w14:textId="77777777" w:rsidR="00893613" w:rsidRPr="00D43FA1" w:rsidRDefault="00893613" w:rsidP="00893613">
      <w:pPr>
        <w:pStyle w:val="Text"/>
        <w:rPr>
          <w:szCs w:val="24"/>
        </w:rPr>
      </w:pPr>
      <w:r>
        <w:t>Bodem 3 se upravuje zákaz používání materiálů přicházejících do styku s potravinami, které nesplňují požadavky § 6a.</w:t>
      </w:r>
    </w:p>
    <w:p w14:paraId="0BECB08F" w14:textId="77777777" w:rsidR="00893613" w:rsidRPr="00D43FA1" w:rsidRDefault="00893613" w:rsidP="0070360F">
      <w:pPr>
        <w:pStyle w:val="Text"/>
        <w:keepNext/>
        <w:keepLines/>
        <w:rPr>
          <w:szCs w:val="24"/>
          <w:u w:val="single"/>
        </w:rPr>
      </w:pPr>
      <w:r>
        <w:rPr>
          <w:u w:val="single"/>
        </w:rPr>
        <w:t>K bodu 4</w:t>
      </w:r>
    </w:p>
    <w:p w14:paraId="123E14BA" w14:textId="77777777" w:rsidR="00D77D9F" w:rsidRPr="00D43FA1" w:rsidRDefault="00D77D9F" w:rsidP="00893613">
      <w:pPr>
        <w:pStyle w:val="Text"/>
        <w:rPr>
          <w:szCs w:val="24"/>
          <w:u w:val="single"/>
        </w:rPr>
      </w:pPr>
      <w:r>
        <w:t>Bodem 4 se upravuje porušení ustanovení § 6a nařízení o spotřebním zboží.</w:t>
      </w:r>
    </w:p>
    <w:p w14:paraId="72ADCE94" w14:textId="77777777" w:rsidR="00CB5E99" w:rsidRPr="00D43FA1" w:rsidRDefault="00D77D9F" w:rsidP="0070360F">
      <w:pPr>
        <w:pStyle w:val="Text"/>
        <w:keepNext/>
        <w:keepLines/>
        <w:rPr>
          <w:u w:val="single"/>
        </w:rPr>
      </w:pPr>
      <w:r>
        <w:rPr>
          <w:u w:val="single"/>
        </w:rPr>
        <w:t>K bodu 5</w:t>
      </w:r>
    </w:p>
    <w:p w14:paraId="10DAE7A6" w14:textId="173CC6F3" w:rsidR="00BC7160" w:rsidRPr="00D43FA1" w:rsidRDefault="00CB5E99" w:rsidP="00CB5E99">
      <w:pPr>
        <w:pStyle w:val="Text"/>
      </w:pPr>
      <w:r>
        <w:t xml:space="preserve">Bodem 5 se stanoví, že ustanovení se použijí až po tříletém přechodném období. </w:t>
      </w:r>
    </w:p>
    <w:p w14:paraId="38F583BA" w14:textId="77777777" w:rsidR="00CB5E99" w:rsidRPr="00D43FA1" w:rsidRDefault="00CB5E99" w:rsidP="00CB5E99">
      <w:pPr>
        <w:pStyle w:val="Text"/>
      </w:pPr>
      <w:r>
        <w:t>Bodem 5 se dále stanoví, že materiály přicházející do styku s potravinami, které byly vyrobeny v souladu s předpisy použitelnými přede dnem použitelnosti nařízení, mohou být rovněž uvedeny na trh a použity po dobu dalších dvou let po tomto datu.</w:t>
      </w:r>
    </w:p>
    <w:p w14:paraId="3DCB47CB" w14:textId="77777777" w:rsidR="00CB5E99" w:rsidRPr="00D43FA1" w:rsidRDefault="00CB5E99" w:rsidP="0070360F">
      <w:pPr>
        <w:pStyle w:val="Text"/>
        <w:keepNext/>
        <w:keepLines/>
        <w:rPr>
          <w:b/>
        </w:rPr>
      </w:pPr>
      <w:r>
        <w:rPr>
          <w:b/>
        </w:rPr>
        <w:t>K článku 2</w:t>
      </w:r>
    </w:p>
    <w:p w14:paraId="3A8E0CB1" w14:textId="77777777" w:rsidR="00CB5E99" w:rsidRPr="00D43FA1" w:rsidRDefault="00CB5E99" w:rsidP="00CB5E99">
      <w:pPr>
        <w:pStyle w:val="Text"/>
      </w:pPr>
      <w:r>
        <w:t>Článek 2 obsahuje povolení ke zveřejnění nařízení o spotřebním zboží.</w:t>
      </w:r>
    </w:p>
    <w:p w14:paraId="7689A2E3" w14:textId="77777777" w:rsidR="00CB5E99" w:rsidRPr="00D43FA1" w:rsidRDefault="00CB5E99" w:rsidP="0070360F">
      <w:pPr>
        <w:pStyle w:val="Text"/>
        <w:keepNext/>
        <w:keepLines/>
        <w:rPr>
          <w:b/>
        </w:rPr>
      </w:pPr>
      <w:r>
        <w:rPr>
          <w:b/>
        </w:rPr>
        <w:t>K článku 3</w:t>
      </w:r>
    </w:p>
    <w:p w14:paraId="193ACE56" w14:textId="77777777" w:rsidR="00CB5E99" w:rsidRPr="0070360F" w:rsidRDefault="00CB5E99">
      <w:pPr>
        <w:pStyle w:val="Text"/>
      </w:pPr>
      <w:r>
        <w:t>Článek 3 upravuje nabytí platnosti tohoto nařízení.</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43AF" w14:textId="77777777" w:rsidR="00B82A75" w:rsidRDefault="00B82A75">
      <w:pPr>
        <w:spacing w:before="0" w:after="0"/>
      </w:pPr>
      <w:r>
        <w:separator/>
      </w:r>
    </w:p>
  </w:endnote>
  <w:endnote w:type="continuationSeparator" w:id="0">
    <w:p w14:paraId="6823D5CA" w14:textId="77777777" w:rsidR="00B82A75" w:rsidRDefault="00B82A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D80D" w14:textId="77777777" w:rsidR="00B82A75" w:rsidRDefault="00B82A75">
      <w:pPr>
        <w:spacing w:before="0" w:after="0"/>
      </w:pPr>
      <w:r>
        <w:separator/>
      </w:r>
    </w:p>
  </w:footnote>
  <w:footnote w:type="continuationSeparator" w:id="0">
    <w:p w14:paraId="04C68AD1" w14:textId="77777777" w:rsidR="00B82A75" w:rsidRDefault="00B82A75">
      <w:pPr>
        <w:spacing w:before="0" w:after="0"/>
      </w:pPr>
      <w:r>
        <w:continuationSeparator/>
      </w:r>
    </w:p>
  </w:footnote>
  <w:footnote w:id="1">
    <w:p w14:paraId="7B8D79B8" w14:textId="77777777" w:rsidR="00E24BD3" w:rsidRPr="008036EA" w:rsidRDefault="00E24BD3">
      <w:pPr>
        <w:pStyle w:val="FootnoteText"/>
      </w:pPr>
      <w:r>
        <w:rPr>
          <w:rStyle w:val="FootnoteReference"/>
        </w:rPr>
        <w:t>1)</w:t>
      </w:r>
      <w:r>
        <w:tab/>
        <w:t>Oznámeno podle směrnice Evropského parlamentu a Rady (EU) 2015/1535 ze dne 9. září 2015 o postupu při poskytování informací v oblasti technických předpisů a předpisů pro služby informační společnosti (Úř. věst. L 241 ze dne 17.9.2015, s. 1).</w:t>
      </w:r>
    </w:p>
  </w:footnote>
  <w:footnote w:id="2">
    <w:p w14:paraId="7D837383" w14:textId="77777777" w:rsidR="00E24BD3" w:rsidRDefault="00E24BD3" w:rsidP="006B7BFE">
      <w:pPr>
        <w:pStyle w:val="FootnoteText"/>
        <w:jc w:val="left"/>
      </w:pPr>
      <w:r>
        <w:rPr>
          <w:rStyle w:val="FootnoteReference"/>
        </w:rPr>
        <w:footnoteRef/>
      </w:r>
      <w:r>
        <w:t xml:space="preserve"> </w:t>
      </w:r>
      <w:r>
        <w:tab/>
      </w:r>
      <w:r>
        <w:t xml:space="preserve">Spolkový </w:t>
      </w:r>
      <w:r>
        <w:t xml:space="preserve">statistický úřad (2012): Pokyny pro stanovení a prezentaci realizačních nákladů v regulačních projektech spolkové vlády. </w:t>
      </w:r>
    </w:p>
  </w:footnote>
  <w:footnote w:id="3">
    <w:p w14:paraId="36F3698B" w14:textId="60DC7FEB" w:rsidR="00E24BD3" w:rsidRPr="0086292F" w:rsidRDefault="00E24BD3" w:rsidP="002F54A3">
      <w:pPr>
        <w:pStyle w:val="FootnoteText"/>
      </w:pPr>
      <w:r>
        <w:rPr>
          <w:rStyle w:val="FootnoteReference"/>
        </w:rPr>
        <w:footnoteRef/>
      </w:r>
      <w:r>
        <w:t xml:space="preserve"> </w:t>
      </w:r>
      <w:r>
        <w:t xml:space="preserve">Průzkum </w:t>
      </w:r>
      <w:r>
        <w:t xml:space="preserve">struktury nákladů v oblasti výroby, těžby a dobývání kamene a zeminy (číslo EVAS 42251): Zaměstnanci, obrat, hodnota výroby a přidaná hodnota podniků ve zpracovatelském sektoru, Německo 2015, hospodářská odvětví WZ08-10. </w:t>
      </w:r>
    </w:p>
  </w:footnote>
  <w:footnote w:id="4">
    <w:p w14:paraId="3324C433" w14:textId="77777777"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rPr>
        <w:t>3</w:t>
      </w:r>
      <w:r>
        <w:t xml:space="preserve"> </w:t>
      </w:r>
      <w:r>
        <w:tab/>
      </w:r>
      <w:r>
        <w:rPr>
          <w:rFonts w:ascii="Arial" w:hAnsi="Arial"/>
          <w:sz w:val="18"/>
        </w:rPr>
        <w:t xml:space="preserve">Tabulky mzdových nákladů 2017 pro měření realizačních a administrativních nákladů Spolkovým statistickým úřadem, hospodářské odvětví C10, společnosti s nejméně 250 zaměstnanci, vysoká kvalifikace. </w:t>
      </w:r>
    </w:p>
    <w:p w14:paraId="2487B60A" w14:textId="77777777" w:rsidR="00E24BD3" w:rsidRDefault="00E24B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024B4C5F" w:rsidR="00E24BD3" w:rsidRPr="00073F52" w:rsidRDefault="00D43FA1" w:rsidP="00073F52">
    <w:pPr>
      <w:pStyle w:val="Header"/>
    </w:pPr>
    <w:r>
      <w:tab/>
    </w:r>
    <w:r>
      <w:t xml:space="preserve">- </w:t>
    </w:r>
    <w:r w:rsidR="00073F52">
      <w:fldChar w:fldCharType="begin"/>
    </w:r>
    <w:r w:rsidR="00073F52">
      <w:instrText xml:space="preserve"> PAGE  \* MERGEFORMAT </w:instrText>
    </w:r>
    <w:r w:rsidR="00073F52">
      <w:fldChar w:fldCharType="separate"/>
    </w:r>
    <w:r w:rsidR="00073F52">
      <w:t>2</w:t>
    </w:r>
    <w:r w:rsidR="00073F52">
      <w:fldChar w:fldCharType="end"/>
    </w:r>
    <w:r>
      <w:t xml:space="preserve"> -</w:t>
    </w:r>
    <w:r>
      <w:tab/>
      <w:t>Stav zpracování</w:t>
    </w:r>
    <w:r>
      <w:rPr>
        <w:sz w:val="18"/>
      </w:rPr>
      <w:t>: 14.08.2020 15:07 hod.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0C4B739B" w:rsidR="00E24BD3" w:rsidRPr="00073F52" w:rsidRDefault="00D43FA1" w:rsidP="00073F52">
    <w:pPr>
      <w:pStyle w:val="Header"/>
    </w:pPr>
    <w:r>
      <w:tab/>
    </w:r>
    <w:r w:rsidR="00CC55B6">
      <w:fldChar w:fldCharType="begin"/>
    </w:r>
    <w:r w:rsidR="00CC55B6">
      <w:instrText xml:space="preserve"> DOCPROPERT</w:instrText>
    </w:r>
    <w:r w:rsidR="00CC55B6">
      <w:instrText xml:space="preserve">Y "Bearbeitungsstand" \* MERGEFORMAT </w:instrText>
    </w:r>
    <w:r w:rsidR="00CC55B6">
      <w:fldChar w:fldCharType="separate"/>
    </w:r>
    <w:r w:rsidRPr="00D43FA1">
      <w:rPr>
        <w:sz w:val="18"/>
      </w:rPr>
      <w:t xml:space="preserve">Bearbeitungsstand: </w:t>
    </w:r>
    <w:r w:rsidRPr="00D43FA1">
      <w:rPr>
        <w:sz w:val="18"/>
      </w:rPr>
      <w:t>14.08.2020</w:t>
    </w:r>
    <w:r>
      <w:rPr>
        <w:sz w:val="18"/>
      </w:rPr>
      <w:t xml:space="preserve"> </w:t>
    </w:r>
    <w:r w:rsidRPr="00D43FA1">
      <w:rPr>
        <w:sz w:val="18"/>
      </w:rPr>
      <w:t>15:07 Uhr</w:t>
    </w:r>
    <w:r w:rsidR="00CC55B6">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A5760"/>
    <w:rsid w:val="00CB068E"/>
    <w:rsid w:val="00CB169B"/>
    <w:rsid w:val="00CB2B64"/>
    <w:rsid w:val="00CB2B7C"/>
    <w:rsid w:val="00CB48AC"/>
    <w:rsid w:val="00CB5E99"/>
    <w:rsid w:val="00CC00D4"/>
    <w:rsid w:val="00CC2FCC"/>
    <w:rsid w:val="00CC55B6"/>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1571-8292-4C95-A1C6-9D0508E8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39</TotalTime>
  <Pages>18</Pages>
  <Words>6655</Words>
  <Characters>37937</Characters>
  <Application>Microsoft Office Word</Application>
  <DocSecurity>0</DocSecurity>
  <Lines>316</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5</cp:revision>
  <cp:lastPrinted>2020-07-29T12:01:00Z</cp:lastPrinted>
  <dcterms:created xsi:type="dcterms:W3CDTF">2020-08-17T12:48:00Z</dcterms:created>
  <dcterms:modified xsi:type="dcterms:W3CDTF">2020-08-31T11:29:00Z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