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958598" w14:textId="579EEBBC" w:rsidR="0058303B" w:rsidRPr="0058303B" w:rsidRDefault="0058303B" w:rsidP="0058303B">
      <w:r>
        <w:t>18. März 2021 Nr. 426</w:t>
      </w:r>
    </w:p>
    <w:p w14:paraId="04F4A77D" w14:textId="77777777" w:rsidR="005E3DD3" w:rsidRDefault="005E3DD3" w:rsidP="000B0BF9">
      <w:pPr>
        <w:jc w:val="center"/>
        <w:rPr>
          <w:sz w:val="26"/>
          <w:szCs w:val="26"/>
        </w:rPr>
      </w:pPr>
    </w:p>
    <w:p w14:paraId="1085344F" w14:textId="7ACF7CD3" w:rsidR="0012504C" w:rsidRPr="0000570D" w:rsidRDefault="0012504C" w:rsidP="000B0BF9">
      <w:pPr>
        <w:jc w:val="center"/>
        <w:rPr>
          <w:sz w:val="26"/>
          <w:szCs w:val="26"/>
        </w:rPr>
      </w:pPr>
      <w:r>
        <w:rPr>
          <w:sz w:val="26"/>
        </w:rPr>
        <w:t>Verordnung über die Kennzeichnung und Verpackung von Tabakersatzprodukten</w:t>
      </w:r>
    </w:p>
    <w:p w14:paraId="32C9EDA7" w14:textId="08F5DC67" w:rsidR="0012504C" w:rsidRPr="0058303B" w:rsidRDefault="0058303B" w:rsidP="0058303B">
      <w:pPr>
        <w:autoSpaceDE w:val="0"/>
        <w:autoSpaceDN w:val="0"/>
        <w:adjustRightInd w:val="0"/>
        <w:spacing w:after="0" w:line="240" w:lineRule="auto"/>
        <w:rPr>
          <w:rFonts w:eastAsia="TimesNewRomanPSMT" w:cstheme="minorHAnsi"/>
        </w:rPr>
      </w:pPr>
      <w:r>
        <w:t>Gemäß Abschnitt 19 a Nummer 2, Abschnitt 22 c und Abschnitt 45, Nummer 2 des Gesetzes über Tabakerzeugnisse usw., siehe Bekanntmachung Nr. 965 vom 26. August 2019, geändert durch das Gesetz Nr. 2071 vom 21. Dezember 2020, wird Folgendes erlassen:</w:t>
      </w:r>
    </w:p>
    <w:p w14:paraId="70B829CE" w14:textId="77777777" w:rsidR="0058303B" w:rsidRPr="0058303B" w:rsidRDefault="0058303B" w:rsidP="0058303B">
      <w:pPr>
        <w:autoSpaceDE w:val="0"/>
        <w:autoSpaceDN w:val="0"/>
        <w:adjustRightInd w:val="0"/>
        <w:spacing w:after="0" w:line="240" w:lineRule="auto"/>
        <w:rPr>
          <w:rFonts w:cstheme="minorHAnsi"/>
        </w:rPr>
      </w:pPr>
    </w:p>
    <w:p w14:paraId="07AEDFA9" w14:textId="77777777" w:rsidR="0012504C" w:rsidRPr="0000570D" w:rsidRDefault="0012504C" w:rsidP="0012504C">
      <w:pPr>
        <w:autoSpaceDE w:val="0"/>
        <w:autoSpaceDN w:val="0"/>
        <w:adjustRightInd w:val="0"/>
        <w:spacing w:after="0" w:line="240" w:lineRule="auto"/>
        <w:jc w:val="center"/>
      </w:pPr>
      <w:r>
        <w:t>Teil 1</w:t>
      </w:r>
    </w:p>
    <w:p w14:paraId="5AC70E84" w14:textId="77777777" w:rsidR="0012504C" w:rsidRPr="0000570D" w:rsidRDefault="0012504C" w:rsidP="0012504C">
      <w:pPr>
        <w:autoSpaceDE w:val="0"/>
        <w:autoSpaceDN w:val="0"/>
        <w:adjustRightInd w:val="0"/>
        <w:spacing w:after="0" w:line="240" w:lineRule="auto"/>
        <w:jc w:val="center"/>
        <w:rPr>
          <w:i/>
        </w:rPr>
      </w:pPr>
      <w:r>
        <w:rPr>
          <w:i/>
        </w:rPr>
        <w:t>Begriffsbestimmungen</w:t>
      </w:r>
    </w:p>
    <w:p w14:paraId="2184B9AB" w14:textId="77777777" w:rsidR="0012504C" w:rsidRPr="0000570D" w:rsidRDefault="0012504C" w:rsidP="0012504C">
      <w:pPr>
        <w:autoSpaceDE w:val="0"/>
        <w:autoSpaceDN w:val="0"/>
        <w:adjustRightInd w:val="0"/>
        <w:spacing w:after="0" w:line="240" w:lineRule="auto"/>
        <w:jc w:val="center"/>
        <w:rPr>
          <w:i/>
        </w:rPr>
      </w:pPr>
    </w:p>
    <w:p w14:paraId="7F0F1186" w14:textId="20727F2F" w:rsidR="0012504C" w:rsidRPr="0000570D" w:rsidRDefault="0012504C" w:rsidP="0012504C">
      <w:pPr>
        <w:autoSpaceDE w:val="0"/>
        <w:autoSpaceDN w:val="0"/>
        <w:adjustRightInd w:val="0"/>
        <w:spacing w:after="0" w:line="240" w:lineRule="auto"/>
      </w:pPr>
      <w:r>
        <w:rPr>
          <w:b/>
        </w:rPr>
        <w:t>Abschnitt 1.</w:t>
      </w:r>
      <w:r>
        <w:t xml:space="preserve"> In dieser Verordnung bedeutet Tabakersatzprodukt: </w:t>
      </w:r>
      <w:r>
        <w:br/>
        <w:t xml:space="preserve">Ein Erzeugnis, das Nikotin enthält, aber kein Tabakerzeugnis, vgl. Nummer 2, und keine elektronische Zigarette ist, vgl. Abschnitt 2 Nummer 1 des Gesetzes über elektronische Zigaretten usw., und für das keine Genehmigung für das Inverkehrbringen gemäß dem Arzneimittelgesetz oder gemäß EU-rechtlichen Vorschriften zur Festlegung von Gemeinschaftsverfahren für die Genehmigung von Humanarzneimitteln vorliegt, sowie Ausrüstung, die dazu bestimmt ist, zusammen mit diesem Erzeugnis verwendet zu werden. </w:t>
      </w:r>
    </w:p>
    <w:p w14:paraId="00203FCA" w14:textId="77777777" w:rsidR="0012504C" w:rsidRPr="0000570D" w:rsidRDefault="0012504C" w:rsidP="0012504C">
      <w:pPr>
        <w:autoSpaceDE w:val="0"/>
        <w:autoSpaceDN w:val="0"/>
        <w:adjustRightInd w:val="0"/>
        <w:spacing w:after="0" w:line="240" w:lineRule="auto"/>
      </w:pPr>
    </w:p>
    <w:p w14:paraId="703BD078" w14:textId="77777777" w:rsidR="0012504C" w:rsidRPr="0000570D" w:rsidRDefault="0012504C" w:rsidP="0012504C">
      <w:pPr>
        <w:autoSpaceDE w:val="0"/>
        <w:autoSpaceDN w:val="0"/>
        <w:adjustRightInd w:val="0"/>
        <w:spacing w:after="0" w:line="240" w:lineRule="auto"/>
        <w:jc w:val="center"/>
      </w:pPr>
      <w:r>
        <w:t>Teil 2</w:t>
      </w:r>
    </w:p>
    <w:p w14:paraId="41B96C41" w14:textId="0A86CFCD" w:rsidR="0012504C" w:rsidRDefault="0012504C" w:rsidP="0012504C">
      <w:pPr>
        <w:autoSpaceDE w:val="0"/>
        <w:autoSpaceDN w:val="0"/>
        <w:adjustRightInd w:val="0"/>
        <w:spacing w:after="0" w:line="240" w:lineRule="auto"/>
        <w:jc w:val="center"/>
        <w:rPr>
          <w:i/>
        </w:rPr>
      </w:pPr>
      <w:r>
        <w:rPr>
          <w:i/>
        </w:rPr>
        <w:t xml:space="preserve">Kennzeichnung </w:t>
      </w:r>
    </w:p>
    <w:p w14:paraId="017AC79E" w14:textId="77777777" w:rsidR="00F05062" w:rsidRDefault="00F05062" w:rsidP="00F05062">
      <w:pPr>
        <w:autoSpaceDE w:val="0"/>
        <w:autoSpaceDN w:val="0"/>
        <w:adjustRightInd w:val="0"/>
        <w:spacing w:after="0" w:line="240" w:lineRule="auto"/>
        <w:rPr>
          <w:i/>
        </w:rPr>
      </w:pPr>
    </w:p>
    <w:p w14:paraId="5E48AF3F" w14:textId="70DEAC95" w:rsidR="00F05062" w:rsidRPr="00F05062" w:rsidRDefault="00F05062" w:rsidP="00786C89">
      <w:pPr>
        <w:spacing w:after="0" w:line="240" w:lineRule="auto"/>
      </w:pPr>
      <w:r>
        <w:rPr>
          <w:b/>
        </w:rPr>
        <w:t>Abschnitt 2.</w:t>
      </w:r>
      <w:r>
        <w:t xml:space="preserve"> Jede Packung und Außenverpackung von Tabakersatzprodukten muss eine Liste mit</w:t>
      </w:r>
    </w:p>
    <w:p w14:paraId="2577DC3B" w14:textId="6492A0FC" w:rsidR="00F05062" w:rsidRPr="00F05062" w:rsidRDefault="00F05062" w:rsidP="00786C89">
      <w:pPr>
        <w:spacing w:after="0" w:line="240" w:lineRule="auto"/>
      </w:pPr>
      <w:r>
        <w:t>1) sämtlichen Inhaltsstoffen des Erzeugnisses in absteigender Rangfolge ihres Gewichts,</w:t>
      </w:r>
    </w:p>
    <w:p w14:paraId="4E66C84B" w14:textId="2F295A70" w:rsidR="0058303B" w:rsidRPr="00F05062" w:rsidRDefault="0058303B" w:rsidP="00786C89">
      <w:pPr>
        <w:spacing w:after="0" w:line="240" w:lineRule="auto"/>
      </w:pPr>
      <w:r>
        <w:t>2) der Losnummer,</w:t>
      </w:r>
    </w:p>
    <w:p w14:paraId="33A17C50" w14:textId="3615E3EF" w:rsidR="00F05062" w:rsidRPr="00F05062" w:rsidRDefault="00A87EE1" w:rsidP="00786C89">
      <w:pPr>
        <w:spacing w:after="0" w:line="240" w:lineRule="auto"/>
      </w:pPr>
      <w:r>
        <w:t>3) der Empfehlung enthalten, dass das Produkt nicht in die Hände von Kindern gelangen darf.</w:t>
      </w:r>
    </w:p>
    <w:p w14:paraId="552AE573" w14:textId="77777777" w:rsidR="0012504C" w:rsidRPr="0000570D" w:rsidRDefault="0012504C" w:rsidP="0012504C">
      <w:pPr>
        <w:autoSpaceDE w:val="0"/>
        <w:autoSpaceDN w:val="0"/>
        <w:adjustRightInd w:val="0"/>
        <w:spacing w:after="0" w:line="240" w:lineRule="auto"/>
      </w:pPr>
    </w:p>
    <w:p w14:paraId="69B15C32" w14:textId="77777777" w:rsidR="0012504C" w:rsidRPr="0000570D" w:rsidRDefault="00F05062" w:rsidP="00CC6C07">
      <w:pPr>
        <w:spacing w:after="0"/>
      </w:pPr>
      <w:r>
        <w:rPr>
          <w:b/>
        </w:rPr>
        <w:t>Abschnitt 3.</w:t>
      </w:r>
      <w:r>
        <w:t xml:space="preserve"> Wer ein Tabakersatzprodukt in diesem Land in Verkehr bringt, muss dafür sorgen, dass die Packung und die Außenverpackung keine Elemente oder Merkmale aufweisen, die</w:t>
      </w:r>
    </w:p>
    <w:p w14:paraId="542AC7D3" w14:textId="597A0206" w:rsidR="0012504C" w:rsidRPr="0000570D" w:rsidRDefault="0012504C" w:rsidP="00CC6C07">
      <w:pPr>
        <w:spacing w:after="0"/>
      </w:pPr>
      <w:r>
        <w:t>1) zu dessen Konsum anregen oder einen irrigen Eindruck von seinen Eigenschaften, Wirkungen, Risiken oder Emissionen erwecken,</w:t>
      </w:r>
    </w:p>
    <w:p w14:paraId="0840C571" w14:textId="7C62C2E7" w:rsidR="0012504C" w:rsidRPr="0000570D" w:rsidRDefault="0012504C" w:rsidP="00CC6C07">
      <w:pPr>
        <w:spacing w:after="0"/>
      </w:pPr>
      <w:r>
        <w:t>2) suggerieren, dass ein bestimmtes Tabakersatzprodukt weniger schädlich als andere Produkte sei,</w:t>
      </w:r>
    </w:p>
    <w:p w14:paraId="37E34715" w14:textId="496886AF" w:rsidR="0012504C" w:rsidRPr="0000570D" w:rsidRDefault="00740AC2" w:rsidP="00CC6C07">
      <w:pPr>
        <w:spacing w:after="0"/>
      </w:pPr>
      <w:r>
        <w:t>3) suggerieren, dass ein bestimmtes Tabakersatzprodukt belebende, energetisierende, heilende, verjüngende, natürliche oder ökologische Eigenschaften oder andere positive Zwecke oder einen sonstigen Nutzen für die Gesundheit oder Lebensführung habe,</w:t>
      </w:r>
    </w:p>
    <w:p w14:paraId="252AD1F6" w14:textId="77777777" w:rsidR="0012504C" w:rsidRPr="0000570D" w:rsidRDefault="00740AC2" w:rsidP="00CC6C07">
      <w:pPr>
        <w:spacing w:after="0"/>
      </w:pPr>
      <w:r>
        <w:t>4) einem Lebensmittel- oder Kosmetikerzeugnis ähneln oder</w:t>
      </w:r>
    </w:p>
    <w:p w14:paraId="76C5A254" w14:textId="77777777" w:rsidR="0012504C" w:rsidRPr="0000570D" w:rsidRDefault="00740AC2" w:rsidP="00CC6C07">
      <w:pPr>
        <w:spacing w:after="0"/>
      </w:pPr>
      <w:r>
        <w:t>5) suggerieren, dass ein bestimmtes Tabakersatzprodukt eine verbesserte biologische Abbaubarkeit oder sonstige Vorteile für die Umwelt aufweise.</w:t>
      </w:r>
    </w:p>
    <w:p w14:paraId="16F17A29" w14:textId="77777777" w:rsidR="00331A1D" w:rsidRPr="0000570D" w:rsidRDefault="00D40080" w:rsidP="00CC6C07">
      <w:pPr>
        <w:spacing w:after="0" w:line="240" w:lineRule="auto"/>
      </w:pPr>
      <w:r>
        <w:rPr>
          <w:i/>
        </w:rPr>
        <w:t>(2)</w:t>
      </w:r>
      <w:r>
        <w:t xml:space="preserve"> Die nach § 3 Nummer 1–5 verbotenen Elemente und Merkmale können unter anderem sein: Texte, Symbole, Namen, Markennamen, figurative und sonstige Zeichen.</w:t>
      </w:r>
    </w:p>
    <w:p w14:paraId="48E8444C" w14:textId="77777777" w:rsidR="003C37AA" w:rsidRDefault="0083014B" w:rsidP="0012504C">
      <w:pPr>
        <w:rPr>
          <w:b/>
        </w:rPr>
      </w:pPr>
      <w:r>
        <w:rPr>
          <w:b/>
        </w:rPr>
        <w:tab/>
      </w:r>
    </w:p>
    <w:p w14:paraId="1190E371" w14:textId="20E25B97" w:rsidR="0012504C" w:rsidRDefault="00D40080" w:rsidP="00E76171">
      <w:pPr>
        <w:spacing w:after="0"/>
      </w:pPr>
      <w:r>
        <w:rPr>
          <w:b/>
        </w:rPr>
        <w:t>Abschnitt 4.</w:t>
      </w:r>
      <w:r>
        <w:t xml:space="preserve"> Wer Tabakersatzprodukte in diesem Land in Verkehr bringt, muss dafür sorgen, dass Packungen und Außenverpackungen keine Gutscheine über Ermäßigungen, eine kostenlose Abgabe, 2-für-1-Angebote oder andere verkaufsfördernde Aktionen enthalten oder auf andere Weise damit verbunden sind.</w:t>
      </w:r>
    </w:p>
    <w:p w14:paraId="7941AD9C" w14:textId="77777777" w:rsidR="00785D60" w:rsidRPr="0000570D" w:rsidRDefault="00785D60" w:rsidP="0012504C"/>
    <w:p w14:paraId="67AE3514" w14:textId="77777777" w:rsidR="00434814" w:rsidRPr="009A4968" w:rsidRDefault="003C37AA" w:rsidP="00D6709D">
      <w:pPr>
        <w:keepNext/>
        <w:autoSpaceDE w:val="0"/>
        <w:autoSpaceDN w:val="0"/>
        <w:adjustRightInd w:val="0"/>
        <w:spacing w:after="0" w:line="240" w:lineRule="auto"/>
        <w:jc w:val="center"/>
      </w:pPr>
      <w:r>
        <w:lastRenderedPageBreak/>
        <w:t>Teil 3</w:t>
      </w:r>
    </w:p>
    <w:p w14:paraId="21372067" w14:textId="38AC81D0" w:rsidR="003C37AA" w:rsidRPr="009A4968" w:rsidRDefault="003C37AA" w:rsidP="009A4968">
      <w:pPr>
        <w:autoSpaceDE w:val="0"/>
        <w:autoSpaceDN w:val="0"/>
        <w:adjustRightInd w:val="0"/>
        <w:spacing w:after="0" w:line="240" w:lineRule="auto"/>
        <w:jc w:val="center"/>
        <w:rPr>
          <w:i/>
        </w:rPr>
      </w:pPr>
      <w:r>
        <w:rPr>
          <w:i/>
        </w:rPr>
        <w:t>Gesundheitsbezogene Warnhinweise</w:t>
      </w:r>
    </w:p>
    <w:p w14:paraId="5AE2C49E" w14:textId="77777777" w:rsidR="003C37AA" w:rsidRDefault="003C37AA" w:rsidP="00434814">
      <w:pPr>
        <w:autoSpaceDE w:val="0"/>
        <w:autoSpaceDN w:val="0"/>
        <w:adjustRightInd w:val="0"/>
        <w:spacing w:after="0" w:line="240" w:lineRule="auto"/>
        <w:rPr>
          <w:rFonts w:cstheme="minorHAnsi"/>
          <w:b/>
          <w:bCs/>
          <w:sz w:val="24"/>
          <w:szCs w:val="24"/>
        </w:rPr>
      </w:pPr>
    </w:p>
    <w:p w14:paraId="489DB9E3" w14:textId="77777777" w:rsidR="003C37AA" w:rsidRDefault="003C37AA" w:rsidP="00434814">
      <w:pPr>
        <w:autoSpaceDE w:val="0"/>
        <w:autoSpaceDN w:val="0"/>
        <w:adjustRightInd w:val="0"/>
        <w:spacing w:after="0" w:line="240" w:lineRule="auto"/>
        <w:rPr>
          <w:rFonts w:cstheme="minorHAnsi"/>
          <w:b/>
          <w:bCs/>
          <w:sz w:val="24"/>
          <w:szCs w:val="24"/>
        </w:rPr>
      </w:pPr>
    </w:p>
    <w:p w14:paraId="6F7826BC" w14:textId="33EEFC4C" w:rsidR="009A4968" w:rsidRPr="009A4968" w:rsidRDefault="009A4968" w:rsidP="009A4968">
      <w:pPr>
        <w:autoSpaceDE w:val="0"/>
        <w:autoSpaceDN w:val="0"/>
        <w:adjustRightInd w:val="0"/>
        <w:spacing w:after="0" w:line="240" w:lineRule="auto"/>
        <w:rPr>
          <w:rFonts w:cstheme="minorHAnsi"/>
          <w:bCs/>
        </w:rPr>
      </w:pPr>
      <w:r>
        <w:rPr>
          <w:b/>
        </w:rPr>
        <w:t>Abschnitt 5.</w:t>
      </w:r>
      <w:r>
        <w:t xml:space="preserve"> Jede Packung und jede Außenverpackung von Tabakersatzprodukten trägt den folgenden gesundheitsbezogenen Warnhinweis auf Dänisch: „Dieses Produkt enthält Nikotin, ein Stoff, der sehr stark abhängig macht.“</w:t>
      </w:r>
    </w:p>
    <w:p w14:paraId="6F72E824" w14:textId="77777777" w:rsidR="009A4968" w:rsidRDefault="009A4968" w:rsidP="009A4968">
      <w:pPr>
        <w:autoSpaceDE w:val="0"/>
        <w:autoSpaceDN w:val="0"/>
        <w:adjustRightInd w:val="0"/>
        <w:spacing w:after="0" w:line="240" w:lineRule="auto"/>
        <w:rPr>
          <w:rFonts w:cstheme="minorHAnsi"/>
          <w:bCs/>
        </w:rPr>
      </w:pPr>
    </w:p>
    <w:p w14:paraId="26409202" w14:textId="47B8464B" w:rsidR="009A4968" w:rsidRPr="009A4968" w:rsidRDefault="00E01704" w:rsidP="009A4968">
      <w:pPr>
        <w:autoSpaceDE w:val="0"/>
        <w:autoSpaceDN w:val="0"/>
        <w:adjustRightInd w:val="0"/>
        <w:spacing w:after="0" w:line="240" w:lineRule="auto"/>
        <w:rPr>
          <w:rFonts w:cstheme="minorHAnsi"/>
          <w:bCs/>
        </w:rPr>
      </w:pPr>
      <w:r>
        <w:rPr>
          <w:b/>
        </w:rPr>
        <w:t>Abschnitt 6.</w:t>
      </w:r>
      <w:r>
        <w:t xml:space="preserve"> Der gesundheitsbezogene Warnhinweis auf jeder Packung und jeder Außenverpackung von Tabakersatzprodukten muss:</w:t>
      </w:r>
    </w:p>
    <w:p w14:paraId="162E23FB" w14:textId="77777777" w:rsidR="009A4968" w:rsidRPr="009A4968" w:rsidRDefault="009A4968" w:rsidP="009A4968">
      <w:pPr>
        <w:numPr>
          <w:ilvl w:val="0"/>
          <w:numId w:val="1"/>
        </w:numPr>
        <w:autoSpaceDE w:val="0"/>
        <w:autoSpaceDN w:val="0"/>
        <w:adjustRightInd w:val="0"/>
        <w:spacing w:after="0" w:line="240" w:lineRule="auto"/>
        <w:rPr>
          <w:rFonts w:cstheme="minorHAnsi"/>
          <w:bCs/>
        </w:rPr>
      </w:pPr>
      <w:r>
        <w:t>auf den drei größten Flächen der Packung bzw. Außenverpackung angebracht werden,</w:t>
      </w:r>
    </w:p>
    <w:p w14:paraId="03271214" w14:textId="1AAC106E" w:rsidR="009A4968" w:rsidRPr="009A4968" w:rsidRDefault="009A4968" w:rsidP="009A4968">
      <w:pPr>
        <w:numPr>
          <w:ilvl w:val="0"/>
          <w:numId w:val="1"/>
        </w:numPr>
        <w:autoSpaceDE w:val="0"/>
        <w:autoSpaceDN w:val="0"/>
        <w:adjustRightInd w:val="0"/>
        <w:spacing w:after="0" w:line="240" w:lineRule="auto"/>
        <w:rPr>
          <w:rFonts w:cstheme="minorHAnsi"/>
          <w:bCs/>
        </w:rPr>
      </w:pPr>
      <w:r>
        <w:t xml:space="preserve">30 % der Fläche der Packung und der Außenverpackung einnehmen, </w:t>
      </w:r>
    </w:p>
    <w:p w14:paraId="0473D460" w14:textId="7C161F44" w:rsidR="009A4968" w:rsidRPr="009A4968" w:rsidRDefault="009A4968" w:rsidP="009A4968">
      <w:pPr>
        <w:numPr>
          <w:ilvl w:val="0"/>
          <w:numId w:val="1"/>
        </w:numPr>
        <w:autoSpaceDE w:val="0"/>
        <w:autoSpaceDN w:val="0"/>
        <w:adjustRightInd w:val="0"/>
        <w:spacing w:after="0" w:line="240" w:lineRule="auto"/>
        <w:rPr>
          <w:rFonts w:cstheme="minorHAnsi"/>
          <w:bCs/>
        </w:rPr>
      </w:pPr>
      <w:r>
        <w:t>in der Schriftart Helvetica, in Fettdruck und in Weiß auf einem weißen Hintergrund,</w:t>
      </w:r>
    </w:p>
    <w:p w14:paraId="6AA70D14" w14:textId="2BFC4F2C" w:rsidR="005914F3" w:rsidRDefault="00CC4EFB" w:rsidP="009A4968">
      <w:pPr>
        <w:numPr>
          <w:ilvl w:val="0"/>
          <w:numId w:val="1"/>
        </w:numPr>
        <w:autoSpaceDE w:val="0"/>
        <w:autoSpaceDN w:val="0"/>
        <w:adjustRightInd w:val="0"/>
        <w:spacing w:after="0" w:line="240" w:lineRule="auto"/>
        <w:rPr>
          <w:rFonts w:cstheme="minorHAnsi"/>
          <w:bCs/>
        </w:rPr>
      </w:pPr>
      <w:r>
        <w:t xml:space="preserve">eine Schriftgröße aufweisen, die gewährleistet, dass er bei geschlossener Packung den größtmöglichen Anteil der für den gesundheitsbezogenen Warnhinweis reservierten Fläche einnimmt, </w:t>
      </w:r>
    </w:p>
    <w:p w14:paraId="102AABAB" w14:textId="77777777" w:rsidR="009A4968" w:rsidRPr="009A4968" w:rsidRDefault="009A4968" w:rsidP="009A4968">
      <w:pPr>
        <w:numPr>
          <w:ilvl w:val="0"/>
          <w:numId w:val="1"/>
        </w:numPr>
        <w:autoSpaceDE w:val="0"/>
        <w:autoSpaceDN w:val="0"/>
        <w:adjustRightInd w:val="0"/>
        <w:spacing w:after="0" w:line="240" w:lineRule="auto"/>
        <w:rPr>
          <w:rFonts w:cstheme="minorHAnsi"/>
          <w:bCs/>
        </w:rPr>
      </w:pPr>
      <w:r>
        <w:t xml:space="preserve">auf der für den Warnhinweis reservierten Fläche zentriert sein, </w:t>
      </w:r>
    </w:p>
    <w:p w14:paraId="50086D6D" w14:textId="7EC093AE" w:rsidR="009A4968" w:rsidRPr="009A4968" w:rsidRDefault="009A4968" w:rsidP="009A4968">
      <w:pPr>
        <w:numPr>
          <w:ilvl w:val="0"/>
          <w:numId w:val="1"/>
        </w:numPr>
        <w:autoSpaceDE w:val="0"/>
        <w:autoSpaceDN w:val="0"/>
        <w:adjustRightInd w:val="0"/>
        <w:spacing w:after="0" w:line="240" w:lineRule="auto"/>
        <w:rPr>
          <w:rFonts w:cstheme="minorHAnsi"/>
          <w:bCs/>
        </w:rPr>
      </w:pPr>
      <w:r>
        <w:t xml:space="preserve">in gerader Linie und in derselben Leserichtung sein wie der Haupttext der für die Warnung reservierten Fläche; </w:t>
      </w:r>
    </w:p>
    <w:p w14:paraId="3C686299" w14:textId="7E9B7D2A" w:rsidR="00E36D81" w:rsidRPr="0058303B" w:rsidRDefault="009A4968" w:rsidP="009F5645">
      <w:pPr>
        <w:numPr>
          <w:ilvl w:val="0"/>
          <w:numId w:val="1"/>
        </w:numPr>
        <w:autoSpaceDE w:val="0"/>
        <w:autoSpaceDN w:val="0"/>
        <w:adjustRightInd w:val="0"/>
        <w:spacing w:after="0" w:line="240" w:lineRule="auto"/>
        <w:rPr>
          <w:rFonts w:cstheme="minorHAnsi"/>
          <w:bCs/>
        </w:rPr>
      </w:pPr>
      <w:r>
        <w:t>bei quaderförmigen Packungen und allen Außenverpackungen parallel zur Oberkante der Packung oder Außenverpackung angebracht werden,</w:t>
      </w:r>
    </w:p>
    <w:p w14:paraId="0B9B6027" w14:textId="5075C191" w:rsidR="009A4968" w:rsidRPr="009A4968" w:rsidRDefault="00E36D81" w:rsidP="009F5645">
      <w:pPr>
        <w:autoSpaceDE w:val="0"/>
        <w:autoSpaceDN w:val="0"/>
        <w:adjustRightInd w:val="0"/>
        <w:spacing w:after="0" w:line="240" w:lineRule="auto"/>
        <w:rPr>
          <w:rFonts w:cstheme="minorHAnsi"/>
          <w:bCs/>
        </w:rPr>
      </w:pPr>
      <w:r>
        <w:rPr>
          <w:i/>
        </w:rPr>
        <w:t xml:space="preserve">(2) </w:t>
      </w:r>
      <w:r>
        <w:t>Die Größe des gesundheitsbezogenen Warnhinweises wird im Verhältnis zur entsprechenden Fläche bei geschlossener Packung berechnet.</w:t>
      </w:r>
    </w:p>
    <w:p w14:paraId="62C4601A" w14:textId="77777777" w:rsidR="00E01704" w:rsidRDefault="00E01704" w:rsidP="009A4968">
      <w:pPr>
        <w:autoSpaceDE w:val="0"/>
        <w:autoSpaceDN w:val="0"/>
        <w:adjustRightInd w:val="0"/>
        <w:spacing w:after="0" w:line="240" w:lineRule="auto"/>
        <w:rPr>
          <w:rFonts w:cstheme="minorHAnsi"/>
          <w:bCs/>
          <w:i/>
        </w:rPr>
      </w:pPr>
    </w:p>
    <w:p w14:paraId="22A7BE88" w14:textId="0CC86446" w:rsidR="009A4968" w:rsidRDefault="00E01704" w:rsidP="009A4968">
      <w:pPr>
        <w:autoSpaceDE w:val="0"/>
        <w:autoSpaceDN w:val="0"/>
        <w:adjustRightInd w:val="0"/>
        <w:spacing w:after="0" w:line="240" w:lineRule="auto"/>
        <w:rPr>
          <w:rFonts w:cstheme="minorHAnsi"/>
          <w:bCs/>
        </w:rPr>
      </w:pPr>
      <w:r>
        <w:rPr>
          <w:b/>
        </w:rPr>
        <w:t>Abschnitt 7.</w:t>
      </w:r>
      <w:r>
        <w:t xml:space="preserve"> Jeder gesundheitsbezogene Warnhinweis auf einer Packung und einer Außenverpackung muss unablösbar aufgedruckt oder aufgeklebt, unverwischbar und vollständig sichtbar sein und darf, wenn das Tabakersatzprodukt in Verkehr gebracht wird, nicht teilweise oder vollständig durch Preisaufkleber, Hüllen, Taschen, Schachteln oder sonstige Gegenstände verdeckt oder getrennt werden. </w:t>
      </w:r>
    </w:p>
    <w:p w14:paraId="18452F44" w14:textId="77777777" w:rsidR="00E01704" w:rsidRDefault="00E01704" w:rsidP="009A4968">
      <w:pPr>
        <w:autoSpaceDE w:val="0"/>
        <w:autoSpaceDN w:val="0"/>
        <w:adjustRightInd w:val="0"/>
        <w:spacing w:after="0" w:line="240" w:lineRule="auto"/>
        <w:rPr>
          <w:rFonts w:cstheme="minorHAnsi"/>
          <w:bCs/>
        </w:rPr>
      </w:pPr>
    </w:p>
    <w:p w14:paraId="3132FE99" w14:textId="7678D6A6" w:rsidR="009A4968" w:rsidRPr="009A4968" w:rsidRDefault="009A4968" w:rsidP="009A4968">
      <w:pPr>
        <w:autoSpaceDE w:val="0"/>
        <w:autoSpaceDN w:val="0"/>
        <w:adjustRightInd w:val="0"/>
        <w:spacing w:after="0" w:line="240" w:lineRule="auto"/>
        <w:rPr>
          <w:rFonts w:cstheme="minorHAnsi"/>
          <w:bCs/>
        </w:rPr>
      </w:pPr>
      <w:r>
        <w:rPr>
          <w:b/>
        </w:rPr>
        <w:t>Abschnitt 8.</w:t>
      </w:r>
      <w:r>
        <w:t xml:space="preserve"> Auf dem gesundheitsbezogenen Warnhinweis auf der Packung und der Außenverpackung dürfen keine Kommentare, Umschreibungen oder Bezugnahmen jeglicher Art angebracht werden.</w:t>
      </w:r>
    </w:p>
    <w:p w14:paraId="0C5E0495" w14:textId="77777777" w:rsidR="00E01704" w:rsidRDefault="00E01704" w:rsidP="009A4968">
      <w:pPr>
        <w:autoSpaceDE w:val="0"/>
        <w:autoSpaceDN w:val="0"/>
        <w:adjustRightInd w:val="0"/>
        <w:spacing w:after="0" w:line="240" w:lineRule="auto"/>
        <w:rPr>
          <w:rFonts w:cstheme="minorHAnsi"/>
          <w:bCs/>
        </w:rPr>
      </w:pPr>
    </w:p>
    <w:p w14:paraId="39C5F073" w14:textId="7DB5299E" w:rsidR="00250061" w:rsidRDefault="00BE221B" w:rsidP="0058303B">
      <w:pPr>
        <w:autoSpaceDE w:val="0"/>
        <w:autoSpaceDN w:val="0"/>
        <w:adjustRightInd w:val="0"/>
        <w:spacing w:after="0" w:line="240" w:lineRule="auto"/>
        <w:rPr>
          <w:rFonts w:cstheme="minorHAnsi"/>
          <w:bCs/>
        </w:rPr>
      </w:pPr>
      <w:r>
        <w:rPr>
          <w:b/>
        </w:rPr>
        <w:t>Abschnitt 9.</w:t>
      </w:r>
      <w:r>
        <w:t xml:space="preserve"> Jeder gesundheitsbezogene Warnhinweis muss nach dem Öffnen der Packung intakt bleiben.</w:t>
      </w:r>
    </w:p>
    <w:p w14:paraId="46B50393" w14:textId="4A2298B6" w:rsidR="009A4968" w:rsidRPr="009A4968" w:rsidRDefault="00250061" w:rsidP="00250061">
      <w:pPr>
        <w:autoSpaceDE w:val="0"/>
        <w:autoSpaceDN w:val="0"/>
        <w:adjustRightInd w:val="0"/>
        <w:spacing w:after="0" w:line="240" w:lineRule="auto"/>
        <w:rPr>
          <w:rFonts w:cstheme="minorHAnsi"/>
          <w:bCs/>
        </w:rPr>
      </w:pPr>
      <w:r>
        <w:rPr>
          <w:i/>
        </w:rPr>
        <w:t xml:space="preserve">(2) </w:t>
      </w:r>
      <w:r>
        <w:t xml:space="preserve">Für mindestens einen der anderen gesundheitsbezogenen Warnhinweise müssen Lesbarkeit und Sichtbarkeit des Textes nach Öffnen des Pakets intakt bleiben.  </w:t>
      </w:r>
    </w:p>
    <w:p w14:paraId="2956E6C9" w14:textId="77777777" w:rsidR="00E01704" w:rsidRDefault="00E01704" w:rsidP="009A4968">
      <w:pPr>
        <w:autoSpaceDE w:val="0"/>
        <w:autoSpaceDN w:val="0"/>
        <w:adjustRightInd w:val="0"/>
        <w:spacing w:after="0" w:line="240" w:lineRule="auto"/>
        <w:rPr>
          <w:rFonts w:cstheme="minorHAnsi"/>
          <w:bCs/>
        </w:rPr>
      </w:pPr>
    </w:p>
    <w:p w14:paraId="05E07255" w14:textId="15B8FC9E" w:rsidR="009A4968" w:rsidRPr="009A4968" w:rsidRDefault="00BE221B" w:rsidP="009A4968">
      <w:pPr>
        <w:autoSpaceDE w:val="0"/>
        <w:autoSpaceDN w:val="0"/>
        <w:adjustRightInd w:val="0"/>
        <w:spacing w:after="0" w:line="240" w:lineRule="auto"/>
        <w:rPr>
          <w:rFonts w:cstheme="minorHAnsi"/>
          <w:bCs/>
        </w:rPr>
      </w:pPr>
      <w:r>
        <w:rPr>
          <w:b/>
        </w:rPr>
        <w:t>Abschnitt 10.</w:t>
      </w:r>
      <w:r>
        <w:t xml:space="preserve"> Bilder von Packungen und Außenverpackungen, die für Verbraucher bestimmt sind, müssen den Bestimmungen dieses Abschnittes genügen.</w:t>
      </w:r>
    </w:p>
    <w:p w14:paraId="0E8EDB08" w14:textId="77777777" w:rsidR="003C37AA" w:rsidRPr="00E01704" w:rsidRDefault="003C37AA" w:rsidP="00434814">
      <w:pPr>
        <w:autoSpaceDE w:val="0"/>
        <w:autoSpaceDN w:val="0"/>
        <w:adjustRightInd w:val="0"/>
        <w:spacing w:after="0" w:line="240" w:lineRule="auto"/>
        <w:rPr>
          <w:rFonts w:cstheme="minorHAnsi"/>
          <w:b/>
          <w:bCs/>
        </w:rPr>
      </w:pPr>
    </w:p>
    <w:p w14:paraId="4C91E657" w14:textId="2A0A97B3" w:rsidR="00495C27" w:rsidRDefault="00434814" w:rsidP="00434814">
      <w:pPr>
        <w:autoSpaceDE w:val="0"/>
        <w:autoSpaceDN w:val="0"/>
        <w:adjustRightInd w:val="0"/>
        <w:spacing w:after="0" w:line="240" w:lineRule="auto"/>
        <w:rPr>
          <w:rFonts w:cstheme="minorHAnsi"/>
          <w:i/>
          <w:iCs/>
        </w:rPr>
      </w:pPr>
      <w:r>
        <w:rPr>
          <w:b/>
        </w:rPr>
        <w:t xml:space="preserve">Abschnitt 11. </w:t>
      </w:r>
      <w:r>
        <w:t>Falls nicht aufgrund eines anderen Gesetzes eine höhere Strafe zu verhängen ist, wird mit einer Geldbuße bestraft, wer gegen die Vorschriften der Abschnitte 2 bis 10 verstößt.</w:t>
      </w:r>
    </w:p>
    <w:p w14:paraId="143E6935" w14:textId="77777777" w:rsidR="00434814" w:rsidRDefault="00434814" w:rsidP="00434814">
      <w:pPr>
        <w:autoSpaceDE w:val="0"/>
        <w:autoSpaceDN w:val="0"/>
        <w:adjustRightInd w:val="0"/>
        <w:spacing w:after="0" w:line="240" w:lineRule="auto"/>
        <w:rPr>
          <w:rFonts w:eastAsia="TimesNewRomanPSMT" w:cstheme="minorHAnsi"/>
        </w:rPr>
      </w:pPr>
      <w:r>
        <w:rPr>
          <w:i/>
        </w:rPr>
        <w:t xml:space="preserve">(2) </w:t>
      </w:r>
      <w:r>
        <w:t>(juristische Personen) können nach den Vorschriften in Teil 5 des dänischen Strafgesetzbuches haftbar gemacht werden.</w:t>
      </w:r>
    </w:p>
    <w:p w14:paraId="3956C250" w14:textId="77777777" w:rsidR="00740AC2" w:rsidRDefault="00740AC2" w:rsidP="00434814">
      <w:pPr>
        <w:autoSpaceDE w:val="0"/>
        <w:autoSpaceDN w:val="0"/>
        <w:adjustRightInd w:val="0"/>
        <w:spacing w:after="0" w:line="240" w:lineRule="auto"/>
        <w:rPr>
          <w:rFonts w:eastAsia="TimesNewRomanPSMT" w:cstheme="minorHAnsi"/>
        </w:rPr>
      </w:pPr>
    </w:p>
    <w:p w14:paraId="50694968" w14:textId="77777777" w:rsidR="00740AC2" w:rsidRDefault="00740AC2" w:rsidP="00740AC2">
      <w:pPr>
        <w:autoSpaceDE w:val="0"/>
        <w:autoSpaceDN w:val="0"/>
        <w:adjustRightInd w:val="0"/>
        <w:spacing w:after="0" w:line="240" w:lineRule="auto"/>
        <w:jc w:val="center"/>
        <w:rPr>
          <w:rFonts w:eastAsia="TimesNewRomanPSMT" w:cstheme="minorHAnsi"/>
        </w:rPr>
      </w:pPr>
      <w:r>
        <w:t>Teil 4</w:t>
      </w:r>
    </w:p>
    <w:p w14:paraId="72320C85" w14:textId="77777777" w:rsidR="00740AC2" w:rsidRPr="00740AC2" w:rsidRDefault="00740AC2" w:rsidP="00740AC2">
      <w:pPr>
        <w:autoSpaceDE w:val="0"/>
        <w:autoSpaceDN w:val="0"/>
        <w:adjustRightInd w:val="0"/>
        <w:spacing w:after="0" w:line="240" w:lineRule="auto"/>
        <w:jc w:val="center"/>
        <w:rPr>
          <w:rFonts w:eastAsia="TimesNewRomanPSMT" w:cstheme="minorHAnsi"/>
          <w:i/>
        </w:rPr>
      </w:pPr>
      <w:r>
        <w:rPr>
          <w:i/>
        </w:rPr>
        <w:t>Inkrafttreten</w:t>
      </w:r>
    </w:p>
    <w:p w14:paraId="0517402F" w14:textId="77777777" w:rsidR="00434814" w:rsidRPr="009A4968" w:rsidRDefault="00434814" w:rsidP="00434814">
      <w:pPr>
        <w:autoSpaceDE w:val="0"/>
        <w:autoSpaceDN w:val="0"/>
        <w:adjustRightInd w:val="0"/>
        <w:spacing w:after="0" w:line="240" w:lineRule="auto"/>
        <w:rPr>
          <w:rFonts w:cstheme="minorHAnsi"/>
          <w:b/>
          <w:bCs/>
        </w:rPr>
      </w:pPr>
    </w:p>
    <w:p w14:paraId="6805F3E8" w14:textId="61967AF3" w:rsidR="00434814" w:rsidRDefault="00434814" w:rsidP="00434814">
      <w:pPr>
        <w:autoSpaceDE w:val="0"/>
        <w:autoSpaceDN w:val="0"/>
        <w:adjustRightInd w:val="0"/>
        <w:spacing w:after="0" w:line="240" w:lineRule="auto"/>
        <w:rPr>
          <w:rFonts w:eastAsia="TimesNewRomanPSMT" w:cstheme="minorHAnsi"/>
        </w:rPr>
      </w:pPr>
      <w:r>
        <w:rPr>
          <w:b/>
        </w:rPr>
        <w:t xml:space="preserve">Abschnitt 12. </w:t>
      </w:r>
      <w:r>
        <w:t>Der Beschluss tritt am 1. Juli 2021 in Kraft.</w:t>
      </w:r>
    </w:p>
    <w:p w14:paraId="476B0B42" w14:textId="2F7CEF8C" w:rsidR="008346B7" w:rsidRDefault="008346B7" w:rsidP="00434814">
      <w:pPr>
        <w:autoSpaceDE w:val="0"/>
        <w:autoSpaceDN w:val="0"/>
        <w:adjustRightInd w:val="0"/>
        <w:spacing w:after="0" w:line="240" w:lineRule="auto"/>
        <w:rPr>
          <w:rFonts w:eastAsia="TimesNewRomanPSMT" w:cstheme="minorHAnsi"/>
        </w:rPr>
      </w:pPr>
    </w:p>
    <w:p w14:paraId="66FEA3A6" w14:textId="77777777" w:rsidR="00E77FEE" w:rsidRDefault="00E77FEE" w:rsidP="00434814">
      <w:pPr>
        <w:autoSpaceDE w:val="0"/>
        <w:autoSpaceDN w:val="0"/>
        <w:adjustRightInd w:val="0"/>
        <w:spacing w:after="0" w:line="240" w:lineRule="auto"/>
        <w:rPr>
          <w:rFonts w:eastAsia="TimesNewRomanPSMT" w:cstheme="minorHAnsi"/>
        </w:rPr>
      </w:pPr>
    </w:p>
    <w:p w14:paraId="709BC61B" w14:textId="77777777" w:rsidR="00740AC2" w:rsidRDefault="00740AC2" w:rsidP="00434814">
      <w:pPr>
        <w:autoSpaceDE w:val="0"/>
        <w:autoSpaceDN w:val="0"/>
        <w:adjustRightInd w:val="0"/>
        <w:spacing w:after="0" w:line="240" w:lineRule="auto"/>
        <w:rPr>
          <w:rFonts w:eastAsia="TimesNewRomanPSMT" w:cstheme="minorHAnsi"/>
        </w:rPr>
      </w:pPr>
    </w:p>
    <w:p w14:paraId="198C6491" w14:textId="1A626C01" w:rsidR="00740AC2" w:rsidRDefault="00921735" w:rsidP="0058303B">
      <w:pPr>
        <w:autoSpaceDE w:val="0"/>
        <w:autoSpaceDN w:val="0"/>
        <w:adjustRightInd w:val="0"/>
        <w:spacing w:after="0" w:line="240" w:lineRule="auto"/>
        <w:jc w:val="center"/>
        <w:rPr>
          <w:rFonts w:cstheme="minorHAnsi"/>
          <w:i/>
          <w:iCs/>
          <w:sz w:val="24"/>
          <w:szCs w:val="24"/>
        </w:rPr>
      </w:pPr>
      <w:r>
        <w:rPr>
          <w:i/>
          <w:sz w:val="24"/>
        </w:rPr>
        <w:t>Ministerium für Gesundheit und Senioren, den 18. März 2021</w:t>
      </w:r>
    </w:p>
    <w:p w14:paraId="39FACC91" w14:textId="77777777" w:rsidR="00740AC2" w:rsidRDefault="00740AC2" w:rsidP="00740AC2">
      <w:pPr>
        <w:autoSpaceDE w:val="0"/>
        <w:autoSpaceDN w:val="0"/>
        <w:adjustRightInd w:val="0"/>
        <w:spacing w:after="0" w:line="240" w:lineRule="auto"/>
        <w:jc w:val="center"/>
        <w:rPr>
          <w:rFonts w:cstheme="minorHAnsi"/>
          <w:i/>
          <w:iCs/>
          <w:sz w:val="24"/>
          <w:szCs w:val="24"/>
        </w:rPr>
      </w:pPr>
    </w:p>
    <w:p w14:paraId="1414A5E0" w14:textId="77777777" w:rsidR="00477D23" w:rsidRDefault="00477D23" w:rsidP="00477D23">
      <w:pPr>
        <w:autoSpaceDE w:val="0"/>
        <w:autoSpaceDN w:val="0"/>
        <w:adjustRightInd w:val="0"/>
        <w:spacing w:after="0" w:line="240" w:lineRule="auto"/>
        <w:jc w:val="center"/>
      </w:pPr>
      <w:r>
        <w:rPr>
          <w:sz w:val="24"/>
        </w:rPr>
        <w:t>Magnus Heunicke / Zelle Huma Sheikh</w:t>
      </w:r>
    </w:p>
    <w:p w14:paraId="47DD6D90" w14:textId="1C4166E2" w:rsidR="00331A1D" w:rsidRDefault="00331A1D" w:rsidP="00477D23">
      <w:pPr>
        <w:autoSpaceDE w:val="0"/>
        <w:autoSpaceDN w:val="0"/>
        <w:adjustRightInd w:val="0"/>
        <w:spacing w:after="0" w:line="240" w:lineRule="auto"/>
        <w:jc w:val="center"/>
      </w:pPr>
    </w:p>
    <w:sectPr w:rsidR="00331A1D">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Questa-Regular">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EUAlbertina">
    <w:altName w:val="EU Albertina"/>
    <w:panose1 w:val="00000000000000000000"/>
    <w:charset w:val="00"/>
    <w:family w:val="roman"/>
    <w:notTrueType/>
    <w:pitch w:val="default"/>
    <w:sig w:usb0="00000003" w:usb1="00000000" w:usb2="00000000" w:usb3="00000000" w:csb0="00000001" w:csb1="00000000"/>
  </w:font>
  <w:font w:name="TimesNewRomanPSMT">
    <w:altName w:val="MS Gothic"/>
    <w:charset w:val="80"/>
    <w:family w:val="auto"/>
    <w:pitch w:val="default"/>
    <w:sig w:usb0="00000003" w:usb1="08070000" w:usb2="00000010" w:usb3="00000000" w:csb0="0002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955AE2"/>
    <w:multiLevelType w:val="hybridMultilevel"/>
    <w:tmpl w:val="BB82E206"/>
    <w:lvl w:ilvl="0" w:tplc="04060011">
      <w:start w:val="1"/>
      <w:numFmt w:val="decimal"/>
      <w:lvlText w:val="%1)"/>
      <w:lvlJc w:val="left"/>
      <w:pPr>
        <w:ind w:left="360" w:hanging="360"/>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1" w15:restartNumberingAfterBreak="0">
    <w:nsid w:val="3C5C569D"/>
    <w:multiLevelType w:val="hybridMultilevel"/>
    <w:tmpl w:val="FC585330"/>
    <w:lvl w:ilvl="0" w:tplc="FDA2B482">
      <w:start w:val="1"/>
      <w:numFmt w:val="decimal"/>
      <w:pStyle w:val="CommentText"/>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54A216DA"/>
    <w:multiLevelType w:val="hybridMultilevel"/>
    <w:tmpl w:val="BF1C45CE"/>
    <w:lvl w:ilvl="0" w:tplc="476EB802">
      <w:numFmt w:val="bullet"/>
      <w:lvlText w:val="-"/>
      <w:lvlJc w:val="left"/>
      <w:pPr>
        <w:ind w:left="720" w:hanging="360"/>
      </w:pPr>
      <w:rPr>
        <w:rFonts w:ascii="Questa-Regular" w:eastAsiaTheme="minorHAnsi" w:hAnsi="Questa-Regular" w:cs="Segoe UI" w:hint="default"/>
        <w:color w:val="212529"/>
        <w:sz w:val="23"/>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7E32229F"/>
    <w:multiLevelType w:val="hybridMultilevel"/>
    <w:tmpl w:val="F09E867A"/>
    <w:lvl w:ilvl="0" w:tplc="3AF63D10">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7FD4"/>
    <w:rsid w:val="00003C87"/>
    <w:rsid w:val="0000570D"/>
    <w:rsid w:val="0003309F"/>
    <w:rsid w:val="00042381"/>
    <w:rsid w:val="000436B2"/>
    <w:rsid w:val="000547A9"/>
    <w:rsid w:val="00070043"/>
    <w:rsid w:val="00087FD4"/>
    <w:rsid w:val="00093DB0"/>
    <w:rsid w:val="000A5E7B"/>
    <w:rsid w:val="000A6625"/>
    <w:rsid w:val="000B0BF9"/>
    <w:rsid w:val="000B1E6A"/>
    <w:rsid w:val="000B588E"/>
    <w:rsid w:val="000C3AFA"/>
    <w:rsid w:val="000D0392"/>
    <w:rsid w:val="000E47A2"/>
    <w:rsid w:val="000F3141"/>
    <w:rsid w:val="001112F1"/>
    <w:rsid w:val="0012504C"/>
    <w:rsid w:val="001A1FE2"/>
    <w:rsid w:val="001A4AC2"/>
    <w:rsid w:val="001B06A8"/>
    <w:rsid w:val="001C3D90"/>
    <w:rsid w:val="001C72B5"/>
    <w:rsid w:val="001C7537"/>
    <w:rsid w:val="001E71FA"/>
    <w:rsid w:val="00236A31"/>
    <w:rsid w:val="00250061"/>
    <w:rsid w:val="002603E9"/>
    <w:rsid w:val="00277A5A"/>
    <w:rsid w:val="00293CFB"/>
    <w:rsid w:val="002C567D"/>
    <w:rsid w:val="002F7705"/>
    <w:rsid w:val="002F7B3E"/>
    <w:rsid w:val="00306555"/>
    <w:rsid w:val="00331A1D"/>
    <w:rsid w:val="00355579"/>
    <w:rsid w:val="00356D85"/>
    <w:rsid w:val="00364A9B"/>
    <w:rsid w:val="003B1707"/>
    <w:rsid w:val="003C37AA"/>
    <w:rsid w:val="003C64E4"/>
    <w:rsid w:val="003E1E01"/>
    <w:rsid w:val="004034CF"/>
    <w:rsid w:val="00434814"/>
    <w:rsid w:val="004532FC"/>
    <w:rsid w:val="00477230"/>
    <w:rsid w:val="00477D23"/>
    <w:rsid w:val="004833BB"/>
    <w:rsid w:val="00493DF4"/>
    <w:rsid w:val="00495C27"/>
    <w:rsid w:val="004D12CE"/>
    <w:rsid w:val="004E2414"/>
    <w:rsid w:val="00507454"/>
    <w:rsid w:val="00534904"/>
    <w:rsid w:val="00581F1E"/>
    <w:rsid w:val="0058303B"/>
    <w:rsid w:val="00590248"/>
    <w:rsid w:val="005914F3"/>
    <w:rsid w:val="00591F48"/>
    <w:rsid w:val="00593A92"/>
    <w:rsid w:val="005A50A7"/>
    <w:rsid w:val="005B2182"/>
    <w:rsid w:val="005E3DD3"/>
    <w:rsid w:val="005F56E0"/>
    <w:rsid w:val="00655382"/>
    <w:rsid w:val="006705C7"/>
    <w:rsid w:val="00680D3E"/>
    <w:rsid w:val="006D2242"/>
    <w:rsid w:val="006D3BC6"/>
    <w:rsid w:val="00705D20"/>
    <w:rsid w:val="007157CF"/>
    <w:rsid w:val="00740AC2"/>
    <w:rsid w:val="00762C9A"/>
    <w:rsid w:val="00766DD3"/>
    <w:rsid w:val="007675B8"/>
    <w:rsid w:val="00785D60"/>
    <w:rsid w:val="00786C89"/>
    <w:rsid w:val="007A427A"/>
    <w:rsid w:val="007A5B3A"/>
    <w:rsid w:val="007C6EA1"/>
    <w:rsid w:val="007D2012"/>
    <w:rsid w:val="007E0DEC"/>
    <w:rsid w:val="007F2260"/>
    <w:rsid w:val="007F4BDB"/>
    <w:rsid w:val="00805FF7"/>
    <w:rsid w:val="00816D7D"/>
    <w:rsid w:val="0083014B"/>
    <w:rsid w:val="008346B7"/>
    <w:rsid w:val="008464B6"/>
    <w:rsid w:val="0085310F"/>
    <w:rsid w:val="008828FE"/>
    <w:rsid w:val="00887532"/>
    <w:rsid w:val="00892984"/>
    <w:rsid w:val="008D4059"/>
    <w:rsid w:val="008E7218"/>
    <w:rsid w:val="00921735"/>
    <w:rsid w:val="009249B1"/>
    <w:rsid w:val="009533B0"/>
    <w:rsid w:val="009547ED"/>
    <w:rsid w:val="00985A75"/>
    <w:rsid w:val="009A4968"/>
    <w:rsid w:val="009B047F"/>
    <w:rsid w:val="009C514B"/>
    <w:rsid w:val="009F33C9"/>
    <w:rsid w:val="009F5645"/>
    <w:rsid w:val="009F743B"/>
    <w:rsid w:val="00A242B0"/>
    <w:rsid w:val="00A54A02"/>
    <w:rsid w:val="00A87EE1"/>
    <w:rsid w:val="00AA06FB"/>
    <w:rsid w:val="00AA134F"/>
    <w:rsid w:val="00AC2A5B"/>
    <w:rsid w:val="00AC326A"/>
    <w:rsid w:val="00AC7861"/>
    <w:rsid w:val="00AD6A11"/>
    <w:rsid w:val="00B23E1F"/>
    <w:rsid w:val="00B30195"/>
    <w:rsid w:val="00B704CC"/>
    <w:rsid w:val="00B763AB"/>
    <w:rsid w:val="00B84C89"/>
    <w:rsid w:val="00B8667E"/>
    <w:rsid w:val="00BB7074"/>
    <w:rsid w:val="00BE221B"/>
    <w:rsid w:val="00BE40BA"/>
    <w:rsid w:val="00C420EF"/>
    <w:rsid w:val="00C55195"/>
    <w:rsid w:val="00C92FB3"/>
    <w:rsid w:val="00CA49FB"/>
    <w:rsid w:val="00CB64F7"/>
    <w:rsid w:val="00CC4EFB"/>
    <w:rsid w:val="00CC6C07"/>
    <w:rsid w:val="00D1471C"/>
    <w:rsid w:val="00D21721"/>
    <w:rsid w:val="00D233C6"/>
    <w:rsid w:val="00D251C7"/>
    <w:rsid w:val="00D40080"/>
    <w:rsid w:val="00D6709D"/>
    <w:rsid w:val="00DC3363"/>
    <w:rsid w:val="00DD529D"/>
    <w:rsid w:val="00DE2F15"/>
    <w:rsid w:val="00DE68A5"/>
    <w:rsid w:val="00E01704"/>
    <w:rsid w:val="00E17885"/>
    <w:rsid w:val="00E21850"/>
    <w:rsid w:val="00E22512"/>
    <w:rsid w:val="00E26DB4"/>
    <w:rsid w:val="00E32D44"/>
    <w:rsid w:val="00E36D81"/>
    <w:rsid w:val="00E435A7"/>
    <w:rsid w:val="00E51144"/>
    <w:rsid w:val="00E536CD"/>
    <w:rsid w:val="00E63701"/>
    <w:rsid w:val="00E76171"/>
    <w:rsid w:val="00E77FEE"/>
    <w:rsid w:val="00EB43B1"/>
    <w:rsid w:val="00F05062"/>
    <w:rsid w:val="00F143F5"/>
    <w:rsid w:val="00F66BA1"/>
    <w:rsid w:val="00F76C37"/>
    <w:rsid w:val="00FA4845"/>
    <w:rsid w:val="00FB299C"/>
    <w:rsid w:val="00FB68FA"/>
    <w:rsid w:val="00FB70CB"/>
    <w:rsid w:val="00FD2E43"/>
    <w:rsid w:val="00FD4F9B"/>
    <w:rsid w:val="00FE38C1"/>
    <w:rsid w:val="00FF244A"/>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853256"/>
  <w15:chartTrackingRefBased/>
  <w15:docId w15:val="{CAAA423E-8606-4BC0-8104-469511A03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2504C"/>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C92FB3"/>
    <w:rPr>
      <w:sz w:val="16"/>
      <w:szCs w:val="16"/>
    </w:rPr>
  </w:style>
  <w:style w:type="paragraph" w:styleId="CommentText">
    <w:name w:val="annotation text"/>
    <w:basedOn w:val="Normal"/>
    <w:link w:val="CommentTextChar"/>
    <w:uiPriority w:val="99"/>
    <w:unhideWhenUsed/>
    <w:rsid w:val="00C92FB3"/>
    <w:pPr>
      <w:numPr>
        <w:numId w:val="4"/>
      </w:numPr>
      <w:spacing w:line="240" w:lineRule="auto"/>
    </w:pPr>
    <w:rPr>
      <w:sz w:val="20"/>
      <w:szCs w:val="20"/>
    </w:rPr>
  </w:style>
  <w:style w:type="character" w:customStyle="1" w:styleId="CommentTextChar">
    <w:name w:val="Comment Text Char"/>
    <w:basedOn w:val="DefaultParagraphFont"/>
    <w:link w:val="CommentText"/>
    <w:uiPriority w:val="99"/>
    <w:rsid w:val="00C92FB3"/>
    <w:rPr>
      <w:sz w:val="20"/>
      <w:szCs w:val="20"/>
    </w:rPr>
  </w:style>
  <w:style w:type="paragraph" w:styleId="CommentSubject">
    <w:name w:val="annotation subject"/>
    <w:basedOn w:val="CommentText"/>
    <w:next w:val="CommentText"/>
    <w:link w:val="CommentSubjectChar"/>
    <w:uiPriority w:val="99"/>
    <w:semiHidden/>
    <w:unhideWhenUsed/>
    <w:rsid w:val="00C92FB3"/>
    <w:pPr>
      <w:numPr>
        <w:numId w:val="0"/>
      </w:numPr>
    </w:pPr>
    <w:rPr>
      <w:b/>
      <w:bCs/>
    </w:rPr>
  </w:style>
  <w:style w:type="character" w:customStyle="1" w:styleId="CommentSubjectChar">
    <w:name w:val="Comment Subject Char"/>
    <w:basedOn w:val="CommentTextChar"/>
    <w:link w:val="CommentSubject"/>
    <w:uiPriority w:val="99"/>
    <w:semiHidden/>
    <w:rsid w:val="00C92FB3"/>
    <w:rPr>
      <w:b/>
      <w:bCs/>
      <w:sz w:val="20"/>
      <w:szCs w:val="20"/>
    </w:rPr>
  </w:style>
  <w:style w:type="paragraph" w:styleId="BalloonText">
    <w:name w:val="Balloon Text"/>
    <w:basedOn w:val="Normal"/>
    <w:link w:val="BalloonTextChar"/>
    <w:uiPriority w:val="99"/>
    <w:semiHidden/>
    <w:unhideWhenUsed/>
    <w:rsid w:val="00C92FB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2FB3"/>
    <w:rPr>
      <w:rFonts w:ascii="Segoe UI" w:hAnsi="Segoe UI" w:cs="Segoe UI"/>
      <w:sz w:val="18"/>
      <w:szCs w:val="18"/>
    </w:rPr>
  </w:style>
  <w:style w:type="character" w:customStyle="1" w:styleId="paragrafnr2">
    <w:name w:val="paragrafnr2"/>
    <w:basedOn w:val="DefaultParagraphFont"/>
    <w:rsid w:val="00331A1D"/>
  </w:style>
  <w:style w:type="paragraph" w:customStyle="1" w:styleId="liste1">
    <w:name w:val="liste1"/>
    <w:basedOn w:val="Normal"/>
    <w:rsid w:val="00434814"/>
    <w:pPr>
      <w:spacing w:after="100" w:afterAutospacing="1" w:line="240" w:lineRule="auto"/>
    </w:pPr>
    <w:rPr>
      <w:rFonts w:ascii="Times New Roman" w:eastAsia="Times New Roman" w:hAnsi="Times New Roman" w:cs="Times New Roman"/>
      <w:sz w:val="24"/>
      <w:szCs w:val="24"/>
      <w:lang w:eastAsia="da-DK"/>
    </w:rPr>
  </w:style>
  <w:style w:type="character" w:customStyle="1" w:styleId="liste1nr2">
    <w:name w:val="liste1nr2"/>
    <w:basedOn w:val="DefaultParagraphFont"/>
    <w:rsid w:val="00434814"/>
  </w:style>
  <w:style w:type="paragraph" w:styleId="Revision">
    <w:name w:val="Revision"/>
    <w:hidden/>
    <w:uiPriority w:val="99"/>
    <w:semiHidden/>
    <w:rsid w:val="009A4968"/>
    <w:pPr>
      <w:spacing w:after="0" w:line="240" w:lineRule="auto"/>
    </w:pPr>
  </w:style>
  <w:style w:type="paragraph" w:styleId="ListParagraph">
    <w:name w:val="List Paragraph"/>
    <w:basedOn w:val="Normal"/>
    <w:uiPriority w:val="34"/>
    <w:qFormat/>
    <w:rsid w:val="00D1471C"/>
    <w:pPr>
      <w:ind w:left="720"/>
      <w:contextualSpacing/>
    </w:pPr>
  </w:style>
  <w:style w:type="paragraph" w:customStyle="1" w:styleId="CM1">
    <w:name w:val="CM1"/>
    <w:basedOn w:val="Default"/>
    <w:next w:val="Default"/>
    <w:uiPriority w:val="99"/>
    <w:rsid w:val="00236A31"/>
    <w:rPr>
      <w:rFonts w:ascii="EUAlbertina" w:hAnsi="EUAlbertina" w:cstheme="minorBidi"/>
      <w:color w:val="auto"/>
    </w:rPr>
  </w:style>
  <w:style w:type="paragraph" w:customStyle="1" w:styleId="CM3">
    <w:name w:val="CM3"/>
    <w:basedOn w:val="Default"/>
    <w:next w:val="Default"/>
    <w:uiPriority w:val="99"/>
    <w:rsid w:val="00236A31"/>
    <w:rPr>
      <w:rFonts w:ascii="EUAlbertina" w:hAnsi="EUAlbertina" w:cstheme="minorBid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3343562">
      <w:bodyDiv w:val="1"/>
      <w:marLeft w:val="0"/>
      <w:marRight w:val="0"/>
      <w:marTop w:val="0"/>
      <w:marBottom w:val="0"/>
      <w:divBdr>
        <w:top w:val="none" w:sz="0" w:space="0" w:color="auto"/>
        <w:left w:val="none" w:sz="0" w:space="0" w:color="auto"/>
        <w:bottom w:val="none" w:sz="0" w:space="0" w:color="auto"/>
        <w:right w:val="none" w:sz="0" w:space="0" w:color="auto"/>
      </w:divBdr>
      <w:divsChild>
        <w:div w:id="166987467">
          <w:marLeft w:val="0"/>
          <w:marRight w:val="0"/>
          <w:marTop w:val="0"/>
          <w:marBottom w:val="0"/>
          <w:divBdr>
            <w:top w:val="none" w:sz="0" w:space="0" w:color="auto"/>
            <w:left w:val="none" w:sz="0" w:space="0" w:color="auto"/>
            <w:bottom w:val="none" w:sz="0" w:space="0" w:color="auto"/>
            <w:right w:val="none" w:sz="0" w:space="0" w:color="auto"/>
          </w:divBdr>
          <w:divsChild>
            <w:div w:id="842017732">
              <w:marLeft w:val="0"/>
              <w:marRight w:val="0"/>
              <w:marTop w:val="0"/>
              <w:marBottom w:val="0"/>
              <w:divBdr>
                <w:top w:val="none" w:sz="0" w:space="0" w:color="auto"/>
                <w:left w:val="none" w:sz="0" w:space="0" w:color="auto"/>
                <w:bottom w:val="none" w:sz="0" w:space="0" w:color="auto"/>
                <w:right w:val="none" w:sz="0" w:space="0" w:color="auto"/>
              </w:divBdr>
              <w:divsChild>
                <w:div w:id="1915703600">
                  <w:marLeft w:val="0"/>
                  <w:marRight w:val="0"/>
                  <w:marTop w:val="0"/>
                  <w:marBottom w:val="0"/>
                  <w:divBdr>
                    <w:top w:val="none" w:sz="0" w:space="0" w:color="auto"/>
                    <w:left w:val="none" w:sz="0" w:space="0" w:color="auto"/>
                    <w:bottom w:val="none" w:sz="0" w:space="0" w:color="auto"/>
                    <w:right w:val="none" w:sz="0" w:space="0" w:color="auto"/>
                  </w:divBdr>
                  <w:divsChild>
                    <w:div w:id="1888371546">
                      <w:marLeft w:val="0"/>
                      <w:marRight w:val="0"/>
                      <w:marTop w:val="0"/>
                      <w:marBottom w:val="0"/>
                      <w:divBdr>
                        <w:top w:val="none" w:sz="0" w:space="0" w:color="auto"/>
                        <w:left w:val="none" w:sz="0" w:space="0" w:color="auto"/>
                        <w:bottom w:val="none" w:sz="0" w:space="0" w:color="auto"/>
                        <w:right w:val="none" w:sz="0" w:space="0" w:color="auto"/>
                      </w:divBdr>
                      <w:divsChild>
                        <w:div w:id="982463488">
                          <w:marLeft w:val="0"/>
                          <w:marRight w:val="0"/>
                          <w:marTop w:val="0"/>
                          <w:marBottom w:val="0"/>
                          <w:divBdr>
                            <w:top w:val="none" w:sz="0" w:space="0" w:color="auto"/>
                            <w:left w:val="none" w:sz="0" w:space="0" w:color="auto"/>
                            <w:bottom w:val="none" w:sz="0" w:space="0" w:color="auto"/>
                            <w:right w:val="none" w:sz="0" w:space="0" w:color="auto"/>
                          </w:divBdr>
                          <w:divsChild>
                            <w:div w:id="283972300">
                              <w:marLeft w:val="0"/>
                              <w:marRight w:val="0"/>
                              <w:marTop w:val="0"/>
                              <w:marBottom w:val="0"/>
                              <w:divBdr>
                                <w:top w:val="none" w:sz="0" w:space="0" w:color="auto"/>
                                <w:left w:val="none" w:sz="0" w:space="0" w:color="auto"/>
                                <w:bottom w:val="none" w:sz="0" w:space="0" w:color="auto"/>
                                <w:right w:val="none" w:sz="0" w:space="0" w:color="auto"/>
                              </w:divBdr>
                              <w:divsChild>
                                <w:div w:id="854730692">
                                  <w:marLeft w:val="-225"/>
                                  <w:marRight w:val="-225"/>
                                  <w:marTop w:val="0"/>
                                  <w:marBottom w:val="0"/>
                                  <w:divBdr>
                                    <w:top w:val="none" w:sz="0" w:space="0" w:color="auto"/>
                                    <w:left w:val="none" w:sz="0" w:space="0" w:color="auto"/>
                                    <w:bottom w:val="none" w:sz="0" w:space="0" w:color="auto"/>
                                    <w:right w:val="none" w:sz="0" w:space="0" w:color="auto"/>
                                  </w:divBdr>
                                  <w:divsChild>
                                    <w:div w:id="898051320">
                                      <w:marLeft w:val="0"/>
                                      <w:marRight w:val="0"/>
                                      <w:marTop w:val="0"/>
                                      <w:marBottom w:val="0"/>
                                      <w:divBdr>
                                        <w:top w:val="none" w:sz="0" w:space="0" w:color="auto"/>
                                        <w:left w:val="none" w:sz="0" w:space="0" w:color="auto"/>
                                        <w:bottom w:val="none" w:sz="0" w:space="0" w:color="auto"/>
                                        <w:right w:val="none" w:sz="0" w:space="0" w:color="auto"/>
                                      </w:divBdr>
                                      <w:divsChild>
                                        <w:div w:id="1270813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09978028">
      <w:bodyDiv w:val="1"/>
      <w:marLeft w:val="0"/>
      <w:marRight w:val="0"/>
      <w:marTop w:val="0"/>
      <w:marBottom w:val="0"/>
      <w:divBdr>
        <w:top w:val="none" w:sz="0" w:space="0" w:color="auto"/>
        <w:left w:val="none" w:sz="0" w:space="0" w:color="auto"/>
        <w:bottom w:val="none" w:sz="0" w:space="0" w:color="auto"/>
        <w:right w:val="none" w:sz="0" w:space="0" w:color="auto"/>
      </w:divBdr>
    </w:div>
    <w:div w:id="897857369">
      <w:bodyDiv w:val="1"/>
      <w:marLeft w:val="0"/>
      <w:marRight w:val="0"/>
      <w:marTop w:val="0"/>
      <w:marBottom w:val="0"/>
      <w:divBdr>
        <w:top w:val="none" w:sz="0" w:space="0" w:color="auto"/>
        <w:left w:val="none" w:sz="0" w:space="0" w:color="auto"/>
        <w:bottom w:val="none" w:sz="0" w:space="0" w:color="auto"/>
        <w:right w:val="none" w:sz="0" w:space="0" w:color="auto"/>
      </w:divBdr>
      <w:divsChild>
        <w:div w:id="1903364191">
          <w:marLeft w:val="0"/>
          <w:marRight w:val="0"/>
          <w:marTop w:val="0"/>
          <w:marBottom w:val="0"/>
          <w:divBdr>
            <w:top w:val="none" w:sz="0" w:space="0" w:color="auto"/>
            <w:left w:val="none" w:sz="0" w:space="0" w:color="auto"/>
            <w:bottom w:val="none" w:sz="0" w:space="0" w:color="auto"/>
            <w:right w:val="none" w:sz="0" w:space="0" w:color="auto"/>
          </w:divBdr>
          <w:divsChild>
            <w:div w:id="1791321265">
              <w:marLeft w:val="0"/>
              <w:marRight w:val="0"/>
              <w:marTop w:val="0"/>
              <w:marBottom w:val="0"/>
              <w:divBdr>
                <w:top w:val="none" w:sz="0" w:space="0" w:color="auto"/>
                <w:left w:val="none" w:sz="0" w:space="0" w:color="auto"/>
                <w:bottom w:val="none" w:sz="0" w:space="0" w:color="auto"/>
                <w:right w:val="none" w:sz="0" w:space="0" w:color="auto"/>
              </w:divBdr>
              <w:divsChild>
                <w:div w:id="1488740315">
                  <w:marLeft w:val="0"/>
                  <w:marRight w:val="0"/>
                  <w:marTop w:val="0"/>
                  <w:marBottom w:val="0"/>
                  <w:divBdr>
                    <w:top w:val="none" w:sz="0" w:space="0" w:color="auto"/>
                    <w:left w:val="none" w:sz="0" w:space="0" w:color="auto"/>
                    <w:bottom w:val="none" w:sz="0" w:space="0" w:color="auto"/>
                    <w:right w:val="none" w:sz="0" w:space="0" w:color="auto"/>
                  </w:divBdr>
                  <w:divsChild>
                    <w:div w:id="1984382029">
                      <w:marLeft w:val="0"/>
                      <w:marRight w:val="0"/>
                      <w:marTop w:val="0"/>
                      <w:marBottom w:val="0"/>
                      <w:divBdr>
                        <w:top w:val="none" w:sz="0" w:space="0" w:color="auto"/>
                        <w:left w:val="none" w:sz="0" w:space="0" w:color="auto"/>
                        <w:bottom w:val="none" w:sz="0" w:space="0" w:color="auto"/>
                        <w:right w:val="none" w:sz="0" w:space="0" w:color="auto"/>
                      </w:divBdr>
                      <w:divsChild>
                        <w:div w:id="280721333">
                          <w:marLeft w:val="0"/>
                          <w:marRight w:val="0"/>
                          <w:marTop w:val="0"/>
                          <w:marBottom w:val="0"/>
                          <w:divBdr>
                            <w:top w:val="none" w:sz="0" w:space="0" w:color="auto"/>
                            <w:left w:val="none" w:sz="0" w:space="0" w:color="auto"/>
                            <w:bottom w:val="none" w:sz="0" w:space="0" w:color="auto"/>
                            <w:right w:val="none" w:sz="0" w:space="0" w:color="auto"/>
                          </w:divBdr>
                          <w:divsChild>
                            <w:div w:id="475339922">
                              <w:marLeft w:val="0"/>
                              <w:marRight w:val="0"/>
                              <w:marTop w:val="0"/>
                              <w:marBottom w:val="0"/>
                              <w:divBdr>
                                <w:top w:val="none" w:sz="0" w:space="0" w:color="auto"/>
                                <w:left w:val="none" w:sz="0" w:space="0" w:color="auto"/>
                                <w:bottom w:val="none" w:sz="0" w:space="0" w:color="auto"/>
                                <w:right w:val="none" w:sz="0" w:space="0" w:color="auto"/>
                              </w:divBdr>
                              <w:divsChild>
                                <w:div w:id="1772814810">
                                  <w:marLeft w:val="-225"/>
                                  <w:marRight w:val="-225"/>
                                  <w:marTop w:val="0"/>
                                  <w:marBottom w:val="0"/>
                                  <w:divBdr>
                                    <w:top w:val="none" w:sz="0" w:space="0" w:color="auto"/>
                                    <w:left w:val="none" w:sz="0" w:space="0" w:color="auto"/>
                                    <w:bottom w:val="none" w:sz="0" w:space="0" w:color="auto"/>
                                    <w:right w:val="none" w:sz="0" w:space="0" w:color="auto"/>
                                  </w:divBdr>
                                  <w:divsChild>
                                    <w:div w:id="770200541">
                                      <w:marLeft w:val="0"/>
                                      <w:marRight w:val="0"/>
                                      <w:marTop w:val="0"/>
                                      <w:marBottom w:val="0"/>
                                      <w:divBdr>
                                        <w:top w:val="none" w:sz="0" w:space="0" w:color="auto"/>
                                        <w:left w:val="none" w:sz="0" w:space="0" w:color="auto"/>
                                        <w:bottom w:val="none" w:sz="0" w:space="0" w:color="auto"/>
                                        <w:right w:val="none" w:sz="0" w:space="0" w:color="auto"/>
                                      </w:divBdr>
                                      <w:divsChild>
                                        <w:div w:id="1214541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0851971">
      <w:bodyDiv w:val="1"/>
      <w:marLeft w:val="0"/>
      <w:marRight w:val="0"/>
      <w:marTop w:val="0"/>
      <w:marBottom w:val="0"/>
      <w:divBdr>
        <w:top w:val="none" w:sz="0" w:space="0" w:color="auto"/>
        <w:left w:val="none" w:sz="0" w:space="0" w:color="auto"/>
        <w:bottom w:val="none" w:sz="0" w:space="0" w:color="auto"/>
        <w:right w:val="none" w:sz="0" w:space="0" w:color="auto"/>
      </w:divBdr>
      <w:divsChild>
        <w:div w:id="1114985953">
          <w:marLeft w:val="0"/>
          <w:marRight w:val="0"/>
          <w:marTop w:val="0"/>
          <w:marBottom w:val="0"/>
          <w:divBdr>
            <w:top w:val="none" w:sz="0" w:space="0" w:color="auto"/>
            <w:left w:val="none" w:sz="0" w:space="0" w:color="auto"/>
            <w:bottom w:val="none" w:sz="0" w:space="0" w:color="auto"/>
            <w:right w:val="none" w:sz="0" w:space="0" w:color="auto"/>
          </w:divBdr>
          <w:divsChild>
            <w:div w:id="464350678">
              <w:marLeft w:val="0"/>
              <w:marRight w:val="0"/>
              <w:marTop w:val="0"/>
              <w:marBottom w:val="0"/>
              <w:divBdr>
                <w:top w:val="none" w:sz="0" w:space="0" w:color="auto"/>
                <w:left w:val="none" w:sz="0" w:space="0" w:color="auto"/>
                <w:bottom w:val="none" w:sz="0" w:space="0" w:color="auto"/>
                <w:right w:val="none" w:sz="0" w:space="0" w:color="auto"/>
              </w:divBdr>
              <w:divsChild>
                <w:div w:id="1235361811">
                  <w:marLeft w:val="0"/>
                  <w:marRight w:val="0"/>
                  <w:marTop w:val="0"/>
                  <w:marBottom w:val="0"/>
                  <w:divBdr>
                    <w:top w:val="none" w:sz="0" w:space="0" w:color="auto"/>
                    <w:left w:val="none" w:sz="0" w:space="0" w:color="auto"/>
                    <w:bottom w:val="none" w:sz="0" w:space="0" w:color="auto"/>
                    <w:right w:val="none" w:sz="0" w:space="0" w:color="auto"/>
                  </w:divBdr>
                  <w:divsChild>
                    <w:div w:id="119686528">
                      <w:marLeft w:val="0"/>
                      <w:marRight w:val="0"/>
                      <w:marTop w:val="0"/>
                      <w:marBottom w:val="0"/>
                      <w:divBdr>
                        <w:top w:val="none" w:sz="0" w:space="0" w:color="auto"/>
                        <w:left w:val="none" w:sz="0" w:space="0" w:color="auto"/>
                        <w:bottom w:val="none" w:sz="0" w:space="0" w:color="auto"/>
                        <w:right w:val="none" w:sz="0" w:space="0" w:color="auto"/>
                      </w:divBdr>
                      <w:divsChild>
                        <w:div w:id="1297836410">
                          <w:marLeft w:val="0"/>
                          <w:marRight w:val="0"/>
                          <w:marTop w:val="15"/>
                          <w:marBottom w:val="0"/>
                          <w:divBdr>
                            <w:top w:val="none" w:sz="0" w:space="0" w:color="auto"/>
                            <w:left w:val="none" w:sz="0" w:space="0" w:color="auto"/>
                            <w:bottom w:val="none" w:sz="0" w:space="0" w:color="auto"/>
                            <w:right w:val="none" w:sz="0" w:space="0" w:color="auto"/>
                          </w:divBdr>
                          <w:divsChild>
                            <w:div w:id="1196232283">
                              <w:marLeft w:val="0"/>
                              <w:marRight w:val="0"/>
                              <w:marTop w:val="0"/>
                              <w:marBottom w:val="0"/>
                              <w:divBdr>
                                <w:top w:val="none" w:sz="0" w:space="0" w:color="auto"/>
                                <w:left w:val="none" w:sz="0" w:space="0" w:color="auto"/>
                                <w:bottom w:val="none" w:sz="0" w:space="0" w:color="auto"/>
                                <w:right w:val="none" w:sz="0" w:space="0" w:color="auto"/>
                              </w:divBdr>
                              <w:divsChild>
                                <w:div w:id="2006515889">
                                  <w:marLeft w:val="0"/>
                                  <w:marRight w:val="0"/>
                                  <w:marTop w:val="0"/>
                                  <w:marBottom w:val="0"/>
                                  <w:divBdr>
                                    <w:top w:val="none" w:sz="0" w:space="0" w:color="auto"/>
                                    <w:left w:val="none" w:sz="0" w:space="0" w:color="auto"/>
                                    <w:bottom w:val="none" w:sz="0" w:space="0" w:color="auto"/>
                                    <w:right w:val="none" w:sz="0" w:space="0" w:color="auto"/>
                                  </w:divBdr>
                                </w:div>
                                <w:div w:id="320040214">
                                  <w:marLeft w:val="0"/>
                                  <w:marRight w:val="0"/>
                                  <w:marTop w:val="0"/>
                                  <w:marBottom w:val="0"/>
                                  <w:divBdr>
                                    <w:top w:val="none" w:sz="0" w:space="0" w:color="auto"/>
                                    <w:left w:val="none" w:sz="0" w:space="0" w:color="auto"/>
                                    <w:bottom w:val="none" w:sz="0" w:space="0" w:color="auto"/>
                                    <w:right w:val="none" w:sz="0" w:space="0" w:color="auto"/>
                                  </w:divBdr>
                                </w:div>
                                <w:div w:id="39288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0451650">
      <w:bodyDiv w:val="1"/>
      <w:marLeft w:val="0"/>
      <w:marRight w:val="0"/>
      <w:marTop w:val="0"/>
      <w:marBottom w:val="0"/>
      <w:divBdr>
        <w:top w:val="none" w:sz="0" w:space="0" w:color="auto"/>
        <w:left w:val="none" w:sz="0" w:space="0" w:color="auto"/>
        <w:bottom w:val="none" w:sz="0" w:space="0" w:color="auto"/>
        <w:right w:val="none" w:sz="0" w:space="0" w:color="auto"/>
      </w:divBdr>
      <w:divsChild>
        <w:div w:id="677851879">
          <w:marLeft w:val="0"/>
          <w:marRight w:val="0"/>
          <w:marTop w:val="0"/>
          <w:marBottom w:val="0"/>
          <w:divBdr>
            <w:top w:val="none" w:sz="0" w:space="0" w:color="auto"/>
            <w:left w:val="none" w:sz="0" w:space="0" w:color="auto"/>
            <w:bottom w:val="none" w:sz="0" w:space="0" w:color="auto"/>
            <w:right w:val="none" w:sz="0" w:space="0" w:color="auto"/>
          </w:divBdr>
          <w:divsChild>
            <w:div w:id="1087314356">
              <w:marLeft w:val="0"/>
              <w:marRight w:val="0"/>
              <w:marTop w:val="0"/>
              <w:marBottom w:val="0"/>
              <w:divBdr>
                <w:top w:val="none" w:sz="0" w:space="0" w:color="auto"/>
                <w:left w:val="none" w:sz="0" w:space="0" w:color="auto"/>
                <w:bottom w:val="none" w:sz="0" w:space="0" w:color="auto"/>
                <w:right w:val="none" w:sz="0" w:space="0" w:color="auto"/>
              </w:divBdr>
              <w:divsChild>
                <w:div w:id="1039210439">
                  <w:marLeft w:val="0"/>
                  <w:marRight w:val="0"/>
                  <w:marTop w:val="0"/>
                  <w:marBottom w:val="0"/>
                  <w:divBdr>
                    <w:top w:val="none" w:sz="0" w:space="0" w:color="auto"/>
                    <w:left w:val="none" w:sz="0" w:space="0" w:color="auto"/>
                    <w:bottom w:val="none" w:sz="0" w:space="0" w:color="auto"/>
                    <w:right w:val="none" w:sz="0" w:space="0" w:color="auto"/>
                  </w:divBdr>
                  <w:divsChild>
                    <w:div w:id="1117532128">
                      <w:marLeft w:val="0"/>
                      <w:marRight w:val="0"/>
                      <w:marTop w:val="0"/>
                      <w:marBottom w:val="0"/>
                      <w:divBdr>
                        <w:top w:val="none" w:sz="0" w:space="0" w:color="auto"/>
                        <w:left w:val="none" w:sz="0" w:space="0" w:color="auto"/>
                        <w:bottom w:val="none" w:sz="0" w:space="0" w:color="auto"/>
                        <w:right w:val="none" w:sz="0" w:space="0" w:color="auto"/>
                      </w:divBdr>
                      <w:divsChild>
                        <w:div w:id="649988825">
                          <w:marLeft w:val="0"/>
                          <w:marRight w:val="0"/>
                          <w:marTop w:val="0"/>
                          <w:marBottom w:val="0"/>
                          <w:divBdr>
                            <w:top w:val="none" w:sz="0" w:space="0" w:color="auto"/>
                            <w:left w:val="none" w:sz="0" w:space="0" w:color="auto"/>
                            <w:bottom w:val="none" w:sz="0" w:space="0" w:color="auto"/>
                            <w:right w:val="none" w:sz="0" w:space="0" w:color="auto"/>
                          </w:divBdr>
                          <w:divsChild>
                            <w:div w:id="666515851">
                              <w:marLeft w:val="0"/>
                              <w:marRight w:val="0"/>
                              <w:marTop w:val="0"/>
                              <w:marBottom w:val="0"/>
                              <w:divBdr>
                                <w:top w:val="none" w:sz="0" w:space="0" w:color="auto"/>
                                <w:left w:val="none" w:sz="0" w:space="0" w:color="auto"/>
                                <w:bottom w:val="none" w:sz="0" w:space="0" w:color="auto"/>
                                <w:right w:val="none" w:sz="0" w:space="0" w:color="auto"/>
                              </w:divBdr>
                              <w:divsChild>
                                <w:div w:id="53042814">
                                  <w:marLeft w:val="-225"/>
                                  <w:marRight w:val="-225"/>
                                  <w:marTop w:val="0"/>
                                  <w:marBottom w:val="0"/>
                                  <w:divBdr>
                                    <w:top w:val="none" w:sz="0" w:space="0" w:color="auto"/>
                                    <w:left w:val="none" w:sz="0" w:space="0" w:color="auto"/>
                                    <w:bottom w:val="none" w:sz="0" w:space="0" w:color="auto"/>
                                    <w:right w:val="none" w:sz="0" w:space="0" w:color="auto"/>
                                  </w:divBdr>
                                  <w:divsChild>
                                    <w:div w:id="228852943">
                                      <w:marLeft w:val="0"/>
                                      <w:marRight w:val="0"/>
                                      <w:marTop w:val="0"/>
                                      <w:marBottom w:val="0"/>
                                      <w:divBdr>
                                        <w:top w:val="none" w:sz="0" w:space="0" w:color="auto"/>
                                        <w:left w:val="none" w:sz="0" w:space="0" w:color="auto"/>
                                        <w:bottom w:val="none" w:sz="0" w:space="0" w:color="auto"/>
                                        <w:right w:val="none" w:sz="0" w:space="0" w:color="auto"/>
                                      </w:divBdr>
                                      <w:divsChild>
                                        <w:div w:id="718554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28249949">
      <w:bodyDiv w:val="1"/>
      <w:marLeft w:val="0"/>
      <w:marRight w:val="0"/>
      <w:marTop w:val="0"/>
      <w:marBottom w:val="0"/>
      <w:divBdr>
        <w:top w:val="none" w:sz="0" w:space="0" w:color="auto"/>
        <w:left w:val="none" w:sz="0" w:space="0" w:color="auto"/>
        <w:bottom w:val="none" w:sz="0" w:space="0" w:color="auto"/>
        <w:right w:val="none" w:sz="0" w:space="0" w:color="auto"/>
      </w:divBdr>
      <w:divsChild>
        <w:div w:id="30305390">
          <w:marLeft w:val="0"/>
          <w:marRight w:val="0"/>
          <w:marTop w:val="0"/>
          <w:marBottom w:val="0"/>
          <w:divBdr>
            <w:top w:val="none" w:sz="0" w:space="0" w:color="auto"/>
            <w:left w:val="none" w:sz="0" w:space="0" w:color="auto"/>
            <w:bottom w:val="none" w:sz="0" w:space="0" w:color="auto"/>
            <w:right w:val="none" w:sz="0" w:space="0" w:color="auto"/>
          </w:divBdr>
          <w:divsChild>
            <w:div w:id="580413497">
              <w:marLeft w:val="0"/>
              <w:marRight w:val="0"/>
              <w:marTop w:val="0"/>
              <w:marBottom w:val="0"/>
              <w:divBdr>
                <w:top w:val="none" w:sz="0" w:space="0" w:color="auto"/>
                <w:left w:val="none" w:sz="0" w:space="0" w:color="auto"/>
                <w:bottom w:val="none" w:sz="0" w:space="0" w:color="auto"/>
                <w:right w:val="none" w:sz="0" w:space="0" w:color="auto"/>
              </w:divBdr>
              <w:divsChild>
                <w:div w:id="105927923">
                  <w:marLeft w:val="0"/>
                  <w:marRight w:val="0"/>
                  <w:marTop w:val="0"/>
                  <w:marBottom w:val="0"/>
                  <w:divBdr>
                    <w:top w:val="none" w:sz="0" w:space="0" w:color="auto"/>
                    <w:left w:val="none" w:sz="0" w:space="0" w:color="auto"/>
                    <w:bottom w:val="none" w:sz="0" w:space="0" w:color="auto"/>
                    <w:right w:val="none" w:sz="0" w:space="0" w:color="auto"/>
                  </w:divBdr>
                  <w:divsChild>
                    <w:div w:id="1466654150">
                      <w:marLeft w:val="0"/>
                      <w:marRight w:val="0"/>
                      <w:marTop w:val="0"/>
                      <w:marBottom w:val="0"/>
                      <w:divBdr>
                        <w:top w:val="none" w:sz="0" w:space="0" w:color="auto"/>
                        <w:left w:val="none" w:sz="0" w:space="0" w:color="auto"/>
                        <w:bottom w:val="none" w:sz="0" w:space="0" w:color="auto"/>
                        <w:right w:val="none" w:sz="0" w:space="0" w:color="auto"/>
                      </w:divBdr>
                      <w:divsChild>
                        <w:div w:id="1612861705">
                          <w:marLeft w:val="0"/>
                          <w:marRight w:val="0"/>
                          <w:marTop w:val="0"/>
                          <w:marBottom w:val="0"/>
                          <w:divBdr>
                            <w:top w:val="none" w:sz="0" w:space="0" w:color="auto"/>
                            <w:left w:val="none" w:sz="0" w:space="0" w:color="auto"/>
                            <w:bottom w:val="none" w:sz="0" w:space="0" w:color="auto"/>
                            <w:right w:val="none" w:sz="0" w:space="0" w:color="auto"/>
                          </w:divBdr>
                          <w:divsChild>
                            <w:div w:id="1613243380">
                              <w:marLeft w:val="0"/>
                              <w:marRight w:val="0"/>
                              <w:marTop w:val="0"/>
                              <w:marBottom w:val="0"/>
                              <w:divBdr>
                                <w:top w:val="none" w:sz="0" w:space="0" w:color="auto"/>
                                <w:left w:val="none" w:sz="0" w:space="0" w:color="auto"/>
                                <w:bottom w:val="none" w:sz="0" w:space="0" w:color="auto"/>
                                <w:right w:val="none" w:sz="0" w:space="0" w:color="auto"/>
                              </w:divBdr>
                              <w:divsChild>
                                <w:div w:id="96174045">
                                  <w:marLeft w:val="-225"/>
                                  <w:marRight w:val="-225"/>
                                  <w:marTop w:val="0"/>
                                  <w:marBottom w:val="0"/>
                                  <w:divBdr>
                                    <w:top w:val="none" w:sz="0" w:space="0" w:color="auto"/>
                                    <w:left w:val="none" w:sz="0" w:space="0" w:color="auto"/>
                                    <w:bottom w:val="none" w:sz="0" w:space="0" w:color="auto"/>
                                    <w:right w:val="none" w:sz="0" w:space="0" w:color="auto"/>
                                  </w:divBdr>
                                  <w:divsChild>
                                    <w:div w:id="702898019">
                                      <w:marLeft w:val="0"/>
                                      <w:marRight w:val="0"/>
                                      <w:marTop w:val="0"/>
                                      <w:marBottom w:val="0"/>
                                      <w:divBdr>
                                        <w:top w:val="none" w:sz="0" w:space="0" w:color="auto"/>
                                        <w:left w:val="none" w:sz="0" w:space="0" w:color="auto"/>
                                        <w:bottom w:val="none" w:sz="0" w:space="0" w:color="auto"/>
                                        <w:right w:val="none" w:sz="0" w:space="0" w:color="auto"/>
                                      </w:divBdr>
                                      <w:divsChild>
                                        <w:div w:id="373428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08889108">
      <w:bodyDiv w:val="1"/>
      <w:marLeft w:val="0"/>
      <w:marRight w:val="0"/>
      <w:marTop w:val="0"/>
      <w:marBottom w:val="0"/>
      <w:divBdr>
        <w:top w:val="none" w:sz="0" w:space="0" w:color="auto"/>
        <w:left w:val="none" w:sz="0" w:space="0" w:color="auto"/>
        <w:bottom w:val="none" w:sz="0" w:space="0" w:color="auto"/>
        <w:right w:val="none" w:sz="0" w:space="0" w:color="auto"/>
      </w:divBdr>
      <w:divsChild>
        <w:div w:id="299917832">
          <w:marLeft w:val="0"/>
          <w:marRight w:val="0"/>
          <w:marTop w:val="0"/>
          <w:marBottom w:val="0"/>
          <w:divBdr>
            <w:top w:val="none" w:sz="0" w:space="0" w:color="auto"/>
            <w:left w:val="none" w:sz="0" w:space="0" w:color="auto"/>
            <w:bottom w:val="none" w:sz="0" w:space="0" w:color="auto"/>
            <w:right w:val="none" w:sz="0" w:space="0" w:color="auto"/>
          </w:divBdr>
          <w:divsChild>
            <w:div w:id="1185708284">
              <w:marLeft w:val="0"/>
              <w:marRight w:val="0"/>
              <w:marTop w:val="0"/>
              <w:marBottom w:val="0"/>
              <w:divBdr>
                <w:top w:val="none" w:sz="0" w:space="0" w:color="auto"/>
                <w:left w:val="none" w:sz="0" w:space="0" w:color="auto"/>
                <w:bottom w:val="none" w:sz="0" w:space="0" w:color="auto"/>
                <w:right w:val="none" w:sz="0" w:space="0" w:color="auto"/>
              </w:divBdr>
              <w:divsChild>
                <w:div w:id="1023433339">
                  <w:marLeft w:val="0"/>
                  <w:marRight w:val="0"/>
                  <w:marTop w:val="0"/>
                  <w:marBottom w:val="0"/>
                  <w:divBdr>
                    <w:top w:val="none" w:sz="0" w:space="0" w:color="auto"/>
                    <w:left w:val="none" w:sz="0" w:space="0" w:color="auto"/>
                    <w:bottom w:val="none" w:sz="0" w:space="0" w:color="auto"/>
                    <w:right w:val="none" w:sz="0" w:space="0" w:color="auto"/>
                  </w:divBdr>
                  <w:divsChild>
                    <w:div w:id="556549934">
                      <w:marLeft w:val="0"/>
                      <w:marRight w:val="0"/>
                      <w:marTop w:val="0"/>
                      <w:marBottom w:val="0"/>
                      <w:divBdr>
                        <w:top w:val="none" w:sz="0" w:space="0" w:color="auto"/>
                        <w:left w:val="none" w:sz="0" w:space="0" w:color="auto"/>
                        <w:bottom w:val="none" w:sz="0" w:space="0" w:color="auto"/>
                        <w:right w:val="none" w:sz="0" w:space="0" w:color="auto"/>
                      </w:divBdr>
                      <w:divsChild>
                        <w:div w:id="2027246906">
                          <w:marLeft w:val="0"/>
                          <w:marRight w:val="0"/>
                          <w:marTop w:val="0"/>
                          <w:marBottom w:val="0"/>
                          <w:divBdr>
                            <w:top w:val="none" w:sz="0" w:space="0" w:color="auto"/>
                            <w:left w:val="none" w:sz="0" w:space="0" w:color="auto"/>
                            <w:bottom w:val="none" w:sz="0" w:space="0" w:color="auto"/>
                            <w:right w:val="none" w:sz="0" w:space="0" w:color="auto"/>
                          </w:divBdr>
                          <w:divsChild>
                            <w:div w:id="1854341620">
                              <w:marLeft w:val="0"/>
                              <w:marRight w:val="0"/>
                              <w:marTop w:val="0"/>
                              <w:marBottom w:val="0"/>
                              <w:divBdr>
                                <w:top w:val="none" w:sz="0" w:space="0" w:color="auto"/>
                                <w:left w:val="none" w:sz="0" w:space="0" w:color="auto"/>
                                <w:bottom w:val="none" w:sz="0" w:space="0" w:color="auto"/>
                                <w:right w:val="none" w:sz="0" w:space="0" w:color="auto"/>
                              </w:divBdr>
                              <w:divsChild>
                                <w:div w:id="763498029">
                                  <w:marLeft w:val="-225"/>
                                  <w:marRight w:val="-225"/>
                                  <w:marTop w:val="0"/>
                                  <w:marBottom w:val="0"/>
                                  <w:divBdr>
                                    <w:top w:val="none" w:sz="0" w:space="0" w:color="auto"/>
                                    <w:left w:val="none" w:sz="0" w:space="0" w:color="auto"/>
                                    <w:bottom w:val="none" w:sz="0" w:space="0" w:color="auto"/>
                                    <w:right w:val="none" w:sz="0" w:space="0" w:color="auto"/>
                                  </w:divBdr>
                                  <w:divsChild>
                                    <w:div w:id="1702318711">
                                      <w:marLeft w:val="0"/>
                                      <w:marRight w:val="0"/>
                                      <w:marTop w:val="0"/>
                                      <w:marBottom w:val="0"/>
                                      <w:divBdr>
                                        <w:top w:val="none" w:sz="0" w:space="0" w:color="auto"/>
                                        <w:left w:val="none" w:sz="0" w:space="0" w:color="auto"/>
                                        <w:bottom w:val="none" w:sz="0" w:space="0" w:color="auto"/>
                                        <w:right w:val="none" w:sz="0" w:space="0" w:color="auto"/>
                                      </w:divBdr>
                                      <w:divsChild>
                                        <w:div w:id="2103795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30370891">
      <w:bodyDiv w:val="1"/>
      <w:marLeft w:val="0"/>
      <w:marRight w:val="0"/>
      <w:marTop w:val="0"/>
      <w:marBottom w:val="0"/>
      <w:divBdr>
        <w:top w:val="none" w:sz="0" w:space="0" w:color="auto"/>
        <w:left w:val="none" w:sz="0" w:space="0" w:color="auto"/>
        <w:bottom w:val="none" w:sz="0" w:space="0" w:color="auto"/>
        <w:right w:val="none" w:sz="0" w:space="0" w:color="auto"/>
      </w:divBdr>
      <w:divsChild>
        <w:div w:id="1665426132">
          <w:marLeft w:val="0"/>
          <w:marRight w:val="0"/>
          <w:marTop w:val="0"/>
          <w:marBottom w:val="0"/>
          <w:divBdr>
            <w:top w:val="none" w:sz="0" w:space="0" w:color="auto"/>
            <w:left w:val="none" w:sz="0" w:space="0" w:color="auto"/>
            <w:bottom w:val="none" w:sz="0" w:space="0" w:color="auto"/>
            <w:right w:val="none" w:sz="0" w:space="0" w:color="auto"/>
          </w:divBdr>
          <w:divsChild>
            <w:div w:id="137189495">
              <w:marLeft w:val="0"/>
              <w:marRight w:val="0"/>
              <w:marTop w:val="0"/>
              <w:marBottom w:val="0"/>
              <w:divBdr>
                <w:top w:val="none" w:sz="0" w:space="0" w:color="auto"/>
                <w:left w:val="none" w:sz="0" w:space="0" w:color="auto"/>
                <w:bottom w:val="none" w:sz="0" w:space="0" w:color="auto"/>
                <w:right w:val="none" w:sz="0" w:space="0" w:color="auto"/>
              </w:divBdr>
              <w:divsChild>
                <w:div w:id="754010060">
                  <w:marLeft w:val="0"/>
                  <w:marRight w:val="0"/>
                  <w:marTop w:val="0"/>
                  <w:marBottom w:val="0"/>
                  <w:divBdr>
                    <w:top w:val="none" w:sz="0" w:space="0" w:color="auto"/>
                    <w:left w:val="none" w:sz="0" w:space="0" w:color="auto"/>
                    <w:bottom w:val="none" w:sz="0" w:space="0" w:color="auto"/>
                    <w:right w:val="none" w:sz="0" w:space="0" w:color="auto"/>
                  </w:divBdr>
                  <w:divsChild>
                    <w:div w:id="1566918515">
                      <w:marLeft w:val="0"/>
                      <w:marRight w:val="0"/>
                      <w:marTop w:val="0"/>
                      <w:marBottom w:val="0"/>
                      <w:divBdr>
                        <w:top w:val="none" w:sz="0" w:space="0" w:color="auto"/>
                        <w:left w:val="none" w:sz="0" w:space="0" w:color="auto"/>
                        <w:bottom w:val="none" w:sz="0" w:space="0" w:color="auto"/>
                        <w:right w:val="none" w:sz="0" w:space="0" w:color="auto"/>
                      </w:divBdr>
                      <w:divsChild>
                        <w:div w:id="921791067">
                          <w:marLeft w:val="0"/>
                          <w:marRight w:val="0"/>
                          <w:marTop w:val="15"/>
                          <w:marBottom w:val="0"/>
                          <w:divBdr>
                            <w:top w:val="none" w:sz="0" w:space="0" w:color="auto"/>
                            <w:left w:val="none" w:sz="0" w:space="0" w:color="auto"/>
                            <w:bottom w:val="none" w:sz="0" w:space="0" w:color="auto"/>
                            <w:right w:val="none" w:sz="0" w:space="0" w:color="auto"/>
                          </w:divBdr>
                          <w:divsChild>
                            <w:div w:id="1926527049">
                              <w:marLeft w:val="0"/>
                              <w:marRight w:val="0"/>
                              <w:marTop w:val="0"/>
                              <w:marBottom w:val="0"/>
                              <w:divBdr>
                                <w:top w:val="none" w:sz="0" w:space="0" w:color="auto"/>
                                <w:left w:val="none" w:sz="0" w:space="0" w:color="auto"/>
                                <w:bottom w:val="none" w:sz="0" w:space="0" w:color="auto"/>
                                <w:right w:val="none" w:sz="0" w:space="0" w:color="auto"/>
                              </w:divBdr>
                              <w:divsChild>
                                <w:div w:id="328677582">
                                  <w:marLeft w:val="0"/>
                                  <w:marRight w:val="0"/>
                                  <w:marTop w:val="0"/>
                                  <w:marBottom w:val="0"/>
                                  <w:divBdr>
                                    <w:top w:val="none" w:sz="0" w:space="0" w:color="auto"/>
                                    <w:left w:val="none" w:sz="0" w:space="0" w:color="auto"/>
                                    <w:bottom w:val="none" w:sz="0" w:space="0" w:color="auto"/>
                                    <w:right w:val="none" w:sz="0" w:space="0" w:color="auto"/>
                                  </w:divBdr>
                                </w:div>
                                <w:div w:id="1062022943">
                                  <w:marLeft w:val="0"/>
                                  <w:marRight w:val="0"/>
                                  <w:marTop w:val="0"/>
                                  <w:marBottom w:val="0"/>
                                  <w:divBdr>
                                    <w:top w:val="none" w:sz="0" w:space="0" w:color="auto"/>
                                    <w:left w:val="none" w:sz="0" w:space="0" w:color="auto"/>
                                    <w:bottom w:val="none" w:sz="0" w:space="0" w:color="auto"/>
                                    <w:right w:val="none" w:sz="0" w:space="0" w:color="auto"/>
                                  </w:divBdr>
                                </w:div>
                                <w:div w:id="1567952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4C6402-A31B-4FE7-98AB-19443CA926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788</Words>
  <Characters>4496</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SUM</Company>
  <LinksUpToDate>false</LinksUpToDate>
  <CharactersWithSpaces>5274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Agnes Brunak</dc:creator>
  <cp:keywords/>
  <dc:description/>
  <cp:lastModifiedBy>Liana Brili</cp:lastModifiedBy>
  <cp:revision>9</cp:revision>
  <dcterms:created xsi:type="dcterms:W3CDTF">2021-03-24T09:43:00Z</dcterms:created>
  <dcterms:modified xsi:type="dcterms:W3CDTF">2021-11-03T16:36:00Z</dcterms:modified>
</cp:coreProperties>
</file>