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BF3" w:rsidRDefault="00694BF3" w:rsidP="00F54ECB">
      <w:pPr>
        <w:jc w:val="both"/>
      </w:pPr>
    </w:p>
    <w:p w:rsidR="009C128D" w:rsidRDefault="009C128D" w:rsidP="00F54ECB">
      <w:pPr>
        <w:jc w:val="both"/>
      </w:pPr>
    </w:p>
    <w:p w:rsidR="009C128D" w:rsidRDefault="009C128D" w:rsidP="00F54ECB">
      <w:pPr>
        <w:jc w:val="both"/>
        <w:rPr>
          <w:color w:val="000000"/>
          <w:rFonts w:ascii="Arial" w:hAnsi="Arial" w:cs="Arial"/>
        </w:rPr>
      </w:pPr>
      <w:r>
        <w:rPr>
          <w:color w:val="000000"/>
          <w:rFonts w:ascii="Arial" w:hAnsi="Arial"/>
        </w:rPr>
        <w:t xml:space="preserve">Luonnos laiksi, jolla vahvistetaan tasavallan periaatteiden noudattaminen</w:t>
      </w:r>
    </w:p>
    <w:p w:rsidR="009C128D" w:rsidRDefault="009C128D" w:rsidP="00F54ECB">
      <w:pPr>
        <w:jc w:val="both"/>
        <w:rPr>
          <w:rFonts w:ascii="Arial" w:hAnsi="Arial" w:cs="Arial"/>
          <w:color w:val="000000"/>
        </w:rPr>
      </w:pPr>
    </w:p>
    <w:p w:rsidR="009C128D" w:rsidRDefault="009C128D" w:rsidP="00F54ECB">
      <w:pPr>
        <w:jc w:val="both"/>
        <w:rPr>
          <w:rFonts w:ascii="Arial" w:hAnsi="Arial" w:cs="Arial"/>
          <w:color w:val="000000"/>
        </w:rPr>
      </w:pPr>
    </w:p>
    <w:p w:rsidR="009C128D" w:rsidRDefault="009C128D" w:rsidP="00F54ECB">
      <w:pPr>
        <w:autoSpaceDE w:val="0"/>
        <w:autoSpaceDN w:val="0"/>
        <w:adjustRightInd w:val="0"/>
        <w:spacing w:after="0" w:line="240" w:lineRule="auto"/>
        <w:jc w:val="both"/>
        <w:rPr>
          <w:b/>
          <w:bCs/>
          <w:sz w:val="21"/>
          <w:szCs w:val="21"/>
          <w:rFonts w:ascii="Times-Bold" w:hAnsi="Times-Bold" w:cs="Times-Bold"/>
        </w:rPr>
      </w:pPr>
      <w:r>
        <w:rPr>
          <w:b/>
          <w:sz w:val="21"/>
          <w:rFonts w:ascii="Times-Bold" w:hAnsi="Times-Bold"/>
        </w:rPr>
        <w:t xml:space="preserve">19 §</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Muutetaan luottamuksesta digitaaliseen talouteen 21.6.2004 annetun lain nro 2004-575 I osan II luku seuraavasti: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Pr>
        <w:t xml:space="preserve">1.</w:t>
      </w:r>
      <w:r>
        <w:rPr>
          <w:sz w:val="21"/>
        </w:rPr>
        <w:t xml:space="preserve"> </w:t>
      </w:r>
      <w:r>
        <w:rPr>
          <w:sz w:val="21"/>
          <w:i/>
          <w:iCs/>
        </w:rPr>
        <w:t xml:space="preserve">(uusi)</w:t>
      </w:r>
      <w:r>
        <w:rPr>
          <w:sz w:val="21"/>
        </w:rPr>
        <w:t xml:space="preserve"> 6 §:n I momentin 8 kohdassa</w:t>
      </w:r>
      <w:r>
        <w:rPr>
          <w:sz w:val="21"/>
          <w:rFonts w:ascii="Times-Roman" w:hAnsi="Times-Roman"/>
        </w:rPr>
        <w:t xml:space="preserve"> </w:t>
      </w:r>
      <w:r>
        <w:rPr>
          <w:sz w:val="21"/>
          <w:rFonts w:ascii="Times-Roman" w:hAnsi="Times-Roman"/>
        </w:rPr>
        <w:t xml:space="preserve">korvataan ilmaisu ”2 kohdassa tai, jos sitä ei ole, 1 kohdassa tarkoitetulle henkilölle” seuraavasti:</w:t>
      </w:r>
      <w:r>
        <w:rPr>
          <w:sz w:val="21"/>
          <w:rFonts w:ascii="Times-Roman" w:hAnsi="Times-Roman"/>
        </w:rPr>
        <w:t xml:space="preserve"> </w:t>
      </w:r>
      <w:r>
        <w:rPr>
          <w:sz w:val="21"/>
          <w:rFonts w:ascii="Times-Roman" w:hAnsi="Times-Roman"/>
        </w:rPr>
        <w:t xml:space="preserve">“1 tai 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9C128D" w:rsidRDefault="009C128D"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Lisätään 19.10.2020 annetun lain 2020-1266, jonka tarkoituksena on säännellä alle kuusitoistavuotiaiden lasten kuvien kaupallista hyödyntämistä verkkoalustoilla, 6-2, 6-3 ja 6-4 §:n jälkeen seuraavaa: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w:t>
      </w:r>
      <w:r>
        <w:rPr>
          <w:sz w:val="21"/>
          <w:i/>
          <w:rFonts w:ascii="Times-Italic" w:hAnsi="Times-Italic"/>
        </w:rPr>
        <w:t xml:space="preserve">6-4 §</w:t>
      </w:r>
      <w:r>
        <w:rPr>
          <w:sz w:val="21"/>
          <w:i/>
          <w:rFonts w:ascii="Times-Italic" w:hAnsi="Times-Italic"/>
        </w:rPr>
        <w:t xml:space="preserve"> </w:t>
      </w:r>
      <w:r>
        <w:rPr>
          <w:sz w:val="21"/>
          <w:rFonts w:ascii="Times-Roman" w:hAnsi="Times-Roman"/>
        </w:rPr>
        <w:t xml:space="preserve">– Jos täytäntöönpanokelpoisessa tuomioistuimen päätöksessä on määrätty mistä tahansa toimenpiteestä, jonka tarkoituksena on estää pääsy verkkoviestintäpalveluun, jonka sisältö kuuluu 6 §:n I momentin 7 kohdassa säädettyihin rikkomuksiin, hallintoviranomainen voi tarvittaessa kenen tahansa asiasta kiinnostuneen niin vedotessa pyytää saman I momentin 1 tai 2 kohdassa tarkoitettuja henkilöitä estämään yleisön pääsyn verkkoviestintäpalveluun, jonka sisältö on sama tai osittain sama kuin tuomioistuimen päätöksessä mainitun palvelun sisältö, enintään tuomioistuimen päätöksessä määrättyjen toimenpiteiden jäljellä olevaksi ajaksi.</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Samoin edellytyksin hallintoviranomainen voi myös pyytää hakukoneen, hakemiston tai muun viitepalvelun operaattoria lopettamaan sellaiset viittaukset web-osoitteisiin, jotka antavat yleisölle pääsyn tällaisiin verkkoviestintäpalveluihin.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Hallintoviranomaisen on pidettävä ajan tasalla luettelo tämän pykälän 1 momentissa tarkoitetuista verkkoviestintäpalveluista, joiden osalta on pyydetty pääsyn estämistä saman 1 momentin mukaisesti, sekä verkko-osoitteista, jotka antavat pääsyn tällaisiin palveluihin, ja asetettava luettelo mainostajien, niiden edustajien ja yleisen verolain 299 artiklan II momentin 2 kohdassa tarkoitettujen palvelujen saataville.</w:t>
      </w:r>
      <w:r>
        <w:rPr>
          <w:sz w:val="21"/>
          <w:rFonts w:ascii="Times-Roman" w:hAnsi="Times-Roman"/>
        </w:rPr>
        <w:t xml:space="preserve"> </w:t>
      </w:r>
      <w:r>
        <w:rPr>
          <w:sz w:val="21"/>
          <w:rFonts w:ascii="Times-Roman" w:hAnsi="Times-Roman"/>
        </w:rPr>
        <w:t xml:space="preserve">Nämä palvelut on sisällytettävä tähän luetteloon oikeusviranomaisen määräämien toimenpiteiden jäljellä olevan ajan.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Jos tällaisia palveluja ei estetä tai jos niihin ei ole otettu viittauksia tämän pykälän mukaisesti, oikeusviranomaiseen voidaan vedota väliaikaismääräyksen perusteella tai pyynnöstä, jotta se määräisi toimenpiteen, jonka tarkoituksena on estää pääsy näiden palvelujen sisältöön.</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Bold" w:hAnsi="Times-Bold" w:cs="Times-Bold"/>
          <w:b/>
          <w:bCs/>
          <w:sz w:val="21"/>
          <w:szCs w:val="21"/>
        </w:rPr>
      </w:pPr>
    </w:p>
    <w:p w:rsidR="001048BC" w:rsidRDefault="001048BC" w:rsidP="00F54ECB">
      <w:pPr>
        <w:autoSpaceDE w:val="0"/>
        <w:autoSpaceDN w:val="0"/>
        <w:adjustRightInd w:val="0"/>
        <w:spacing w:after="0" w:line="240" w:lineRule="auto"/>
        <w:jc w:val="both"/>
        <w:rPr>
          <w:rFonts w:ascii="Times-Bold" w:hAnsi="Times-Bold" w:cs="Times-Bold"/>
          <w:b/>
          <w:b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sz w:val="21"/>
          <w:rFonts w:ascii="Times-Bold" w:hAnsi="Times-Bold"/>
        </w:rPr>
        <w:t xml:space="preserve">19 </w:t>
      </w:r>
      <w:r>
        <w:rPr>
          <w:b/>
          <w:sz w:val="21"/>
          <w:i/>
          <w:rFonts w:ascii="Times-BoldItalic" w:hAnsi="Times-BoldItalic"/>
        </w:rPr>
        <w:t xml:space="preserve">a § (uusi)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rFonts w:ascii="Times-Roman" w:hAnsi="Times-Roman"/>
        </w:rPr>
        <w:t xml:space="preserve">I. – Muutetaan luottamuksesta digitaaliseen talouteen 21.6.2004 annetun lain nro 2004-575 I osan II luku seuraavasti: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Muutetaan 6 §:n 7 momentin neljäs kohta seuraavasti:</w:t>
      </w:r>
    </w:p>
    <w:p w:rsidR="004E021A" w:rsidRDefault="004E021A"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a)</w:t>
      </w:r>
      <w:r>
        <w:rPr>
          <w:sz w:val="21"/>
        </w:rPr>
        <w:t xml:space="preserve"> </w:t>
      </w:r>
      <w:r>
        <w:rPr>
          <w:sz w:val="21"/>
          <w:rFonts w:ascii="Times-Roman" w:hAnsi="Times-Roman"/>
        </w:rPr>
        <w:t xml:space="preserve">Ensimmäistä virkettä täydennetään sanoilla:</w:t>
      </w:r>
      <w:r>
        <w:rPr>
          <w:sz w:val="21"/>
          <w:rFonts w:ascii="Times-Roman" w:hAnsi="Times-Roman"/>
        </w:rPr>
        <w:t xml:space="preserve"> </w:t>
      </w:r>
      <w:r>
        <w:rPr>
          <w:sz w:val="21"/>
          <w:rFonts w:ascii="Times-Roman" w:hAnsi="Times-Roman"/>
        </w:rPr>
        <w:t xml:space="preserve">”ja julkistettava keinot, joita ne käyttävät tämän 7 momentin kolmannessa kohdassa tarkoitetun laittoman toiminnan torjuntaan”;</w:t>
      </w:r>
    </w:p>
    <w:p w:rsidR="001048BC" w:rsidRDefault="001048BC"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b)</w:t>
      </w:r>
      <w:r>
        <w:rPr>
          <w:sz w:val="21"/>
        </w:rPr>
        <w:t xml:space="preserve"> </w:t>
      </w:r>
      <w:r>
        <w:rPr>
          <w:sz w:val="21"/>
          <w:rFonts w:ascii="Times-Roman" w:hAnsi="Times-Roman"/>
        </w:rPr>
        <w:t xml:space="preserve">Lisätään saman ensimmäisen virkkeen jälkeen virke seuraavasti:</w:t>
      </w:r>
      <w:r>
        <w:rPr>
          <w:sz w:val="21"/>
          <w:rFonts w:ascii="Times-Roman" w:hAnsi="Times-Roman"/>
        </w:rPr>
        <w:t xml:space="preserve"> </w:t>
      </w:r>
      <w:r>
        <w:rPr>
          <w:sz w:val="21"/>
          <w:rFonts w:ascii="Times-Roman" w:hAnsi="Times-Roman"/>
        </w:rPr>
        <w:t xml:space="preserve">”Näitä velvoitteita ei sovelleta 6-5 §:n 1 momentissa tarkoitettuihin toimijoihin samassa 1 momentissa tarkoitetun sisällön levittämisen estämiseksi.</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c)</w:t>
      </w:r>
      <w:r>
        <w:rPr>
          <w:sz w:val="21"/>
        </w:rPr>
        <w:t xml:space="preserve"> Muutetaan toinen virke seuraavasti: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alussa ilmaisu</w:t>
      </w:r>
      <w:r>
        <w:rPr>
          <w:sz w:val="21"/>
          <w:rFonts w:ascii="Times-Roman" w:hAnsi="Times-Roman"/>
        </w:rPr>
        <w:t xml:space="preserve"> </w:t>
      </w:r>
      <w:r>
        <w:rPr>
          <w:sz w:val="21"/>
          <w:rFonts w:ascii="Times-Roman" w:hAnsi="Times-Roman"/>
        </w:rPr>
        <w:t xml:space="preserve">”he” korvataan sanoilla:</w:t>
      </w:r>
      <w:r>
        <w:rPr>
          <w:sz w:val="21"/>
          <w:rFonts w:ascii="Times-Roman" w:hAnsi="Times-Roman"/>
        </w:rPr>
        <w:t xml:space="preserve"> </w:t>
      </w:r>
      <w:r>
        <w:rPr>
          <w:sz w:val="21"/>
          <w:rFonts w:ascii="Times-Roman" w:hAnsi="Times-Roman"/>
        </w:rPr>
        <w:t xml:space="preserve">”Edellä 1 ja 2 kohdassa mainitut henkilöt”;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Pr>
        <w:t xml:space="preserve">– ilmaisu</w:t>
      </w:r>
      <w:r>
        <w:rPr>
          <w:sz w:val="21"/>
          <w:rFonts w:ascii="Times-Roman" w:hAnsi="Times-Roman"/>
        </w:rPr>
        <w:t xml:space="preserve"> </w:t>
      </w:r>
      <w:r>
        <w:rPr>
          <w:sz w:val="21"/>
          <w:rFonts w:ascii="Times-Roman" w:hAnsi="Times-Roman"/>
        </w:rPr>
        <w:t xml:space="preserve">”toisaalta” poistetaan;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ilmaisu</w:t>
      </w:r>
      <w:r>
        <w:rPr>
          <w:sz w:val="21"/>
          <w:rFonts w:ascii="Times-Roman" w:hAnsi="Times-Roman"/>
        </w:rPr>
        <w:t xml:space="preserve"> </w:t>
      </w:r>
      <w:r>
        <w:rPr>
          <w:sz w:val="21"/>
          <w:rFonts w:ascii="Times-Roman" w:hAnsi="Times-Roman"/>
        </w:rPr>
        <w:t xml:space="preserve">”edellisen kohdan” korvataan ilmaisulla</w:t>
      </w:r>
      <w:r>
        <w:rPr>
          <w:sz w:val="21"/>
          <w:rFonts w:ascii="Times-Roman" w:hAnsi="Times-Roman"/>
        </w:rPr>
        <w:t xml:space="preserve"> </w:t>
      </w:r>
      <w:r>
        <w:rPr>
          <w:sz w:val="21"/>
          <w:rFonts w:ascii="Times-Roman" w:hAnsi="Times-Roman"/>
        </w:rPr>
        <w:t xml:space="preserve">”samassa kolmannessa kohdassa”;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ilmaisun</w:t>
      </w:r>
      <w:r>
        <w:rPr>
          <w:sz w:val="21"/>
          <w:rFonts w:ascii="Times-Roman" w:hAnsi="Times-Roman"/>
        </w:rPr>
        <w:t xml:space="preserve"> </w:t>
      </w:r>
      <w:r>
        <w:rPr>
          <w:sz w:val="21"/>
          <w:rFonts w:ascii="Times-Roman" w:hAnsi="Times-Roman"/>
        </w:rPr>
        <w:t xml:space="preserve">”palvelut” jälkeen poistetaan loppu;</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Lisätään edellä mainittuun 19.10.2020 annettuun lakiin nro 2020-1266 perustuvan 6-2 §:n jälkeen 6-5 § seuraavasti:</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Fonts w:ascii="Times-Italic" w:hAnsi="Times-Italic"/>
        </w:rPr>
        <w:t xml:space="preserve">”6/5 §.</w:t>
      </w:r>
      <w:r>
        <w:rPr>
          <w:sz w:val="21"/>
          <w:i/>
          <w:rFonts w:ascii="Times-Italic" w:hAnsi="Times-Italic"/>
        </w:rPr>
        <w:t xml:space="preserve"> </w:t>
      </w:r>
      <w:r>
        <w:rPr>
          <w:sz w:val="21"/>
          <w:rFonts w:ascii="Times-Roman" w:hAnsi="Times-Roman"/>
        </w:rPr>
        <w:t xml:space="preserve">– Kuluttajansuojalain artiklassa 111-7 §:ssä määriteltyjen verkkoalustojen operaattorit, jotka tarjoavat yleisölle verkkoviestintäpalvelua, joka perustuu kolmansien osapuolten verkkoon asettaman sisällön luokitteluun, viittaamiseen tai jakamiseen ja joiden toiminta Ranskan alueella ylittää asetuksella määritettyjen yhteyksien määrän, riippumatta siitä, ovatko ne sijoittautuneet Ranskan alueelle vai eivät, edistävät sellaisen sisällön julkista levittämistä, joka on ristiriidassa tämän lain 6 §:n I momentin 7 kohdassa ja 24 §:n a momentissa ja 29.7.1881 säädetyn lehdistönvapauslain 33 §:n 3 ja 4 momentissa mainittujen säännösten kanssa, torjuntaa.</w:t>
      </w:r>
      <w:r>
        <w:rPr>
          <w:sz w:val="21"/>
          <w:rFonts w:ascii="Times-Roman" w:hAnsi="Times-Roman"/>
        </w:rPr>
        <w:t xml:space="preserve"> </w:t>
      </w:r>
      <w:r>
        <w:rPr>
          <w:sz w:val="21"/>
          <w:rFonts w:ascii="Times-Roman" w:hAnsi="Times-Roman"/>
        </w:rPr>
        <w:t xml:space="preserve">Tältä osin:</w:t>
      </w:r>
    </w:p>
    <w:p w:rsidR="00F54ECB" w:rsidRDefault="00F54ECB" w:rsidP="00196BE6">
      <w:pPr>
        <w:spacing w:after="0"/>
        <w:jc w:val="both"/>
        <w:rPr>
          <w:rFonts w:ascii="Times-Roman" w:hAnsi="Times-Roman" w:cs="Times-Roman"/>
          <w:sz w:val="21"/>
          <w:szCs w:val="21"/>
        </w:rPr>
      </w:pPr>
    </w:p>
    <w:p w:rsidR="00317039" w:rsidRDefault="00317039" w:rsidP="00196BE6">
      <w:pPr>
        <w:spacing w:after="0"/>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Niiden on sovellettava oikeasuhteisia inhimillisiä ja teknologisia menettelyjä ja keinoja, joiden avulla ne voivat:</w:t>
      </w:r>
    </w:p>
    <w:p w:rsidR="001048BC" w:rsidRDefault="001048BC" w:rsidP="00196BE6">
      <w:pPr>
        <w:spacing w:after="0"/>
        <w:jc w:val="both"/>
        <w:rPr>
          <w:rFonts w:ascii="Times-Roman" w:hAnsi="Times-Roman" w:cs="Times-Roman"/>
          <w:sz w:val="21"/>
          <w:szCs w:val="21"/>
        </w:rPr>
      </w:pPr>
    </w:p>
    <w:p w:rsidR="00317039" w:rsidRPr="004E021A" w:rsidRDefault="001048BC" w:rsidP="00196BE6">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ilmoittaa mahdollisimman pian oikeus- tai hallintoviranomaisille toimista, joita ne ovat toteuttaneet näiden viranomaisten antamien kieltokanteiden johdosta, jotka koskevat tämän pykälän 1 momentissa tarkoitettua sisältöä;</w:t>
      </w:r>
    </w:p>
    <w:p w:rsidR="004E021A" w:rsidRPr="004E021A" w:rsidRDefault="004E021A" w:rsidP="00196BE6">
      <w:pPr>
        <w:spacing w:after="0"/>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vahvistaa viipymättä oikeus- tai hallintoviranomaisten pyyntöjen turvallinen vastaanottaminen käytettävissään olevien tietojen toimittamista varten, jotta voidaan tunnistaa käyttäjät, jotka ovat ladanneet samassa 1 momentissa tarkoitetun sisällön, ja ilmoittaa kyseisille viranomaisille mahdollisimman pian tällaisten pyyntöjen jatkotoimista;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säilyttää väliaikaisesti sisällön, jonka on ilmoitettu heille olevan 1 momentissa viitattujen säännösten vastaista ja jonka he ovat peruuttaneet tai jotka eivät ole päässeet käsiksi, jotta ne voitaisiin saattaa oikeusviranomaisen saataville rikosten tutkimista, selvittämistä ja syytteeseenpanoa varten.</w:t>
      </w:r>
      <w:r>
        <w:rPr>
          <w:sz w:val="21"/>
          <w:rFonts w:ascii="Times-Roman" w:hAnsi="Times-Roman"/>
        </w:rPr>
        <w:t xml:space="preserve"> </w:t>
      </w:r>
      <w:r>
        <w:rPr>
          <w:sz w:val="21"/>
          <w:rFonts w:ascii="Times-Roman" w:hAnsi="Times-Roman"/>
        </w:rPr>
        <w:t xml:space="preserve">Sisällön säilytyksen kesto ja säilytysmenetelmät määritellään valtioneuvoston asetuksella sen jälkeen, kun</w:t>
      </w: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Tietotekniikkaa ja -vapauksia käsittelevä kansallinen toimikunta on antanut lausuntonsa;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Niiden on nimettävä keskitetty asiointipiste, luonnollinen henkilö, jonka tehtävänä on kommunikoida viranomaisten kanssa tämän artiklan säännösten täytäntöönpanosta ja jolle erityisesti kaikki viestintävapaudesta 30.9.1986 annetun lain nro 86-1067 62 §:n nojalla esittämät pyynnöt voidaan lähettää sähköisesti.</w:t>
      </w:r>
      <w:r>
        <w:rPr>
          <w:sz w:val="21"/>
          <w:rFonts w:ascii="Times-Roman" w:hAnsi="Times-Roman"/>
        </w:rPr>
        <w:t xml:space="preserve"> </w:t>
      </w:r>
      <w:r>
        <w:rPr>
          <w:sz w:val="21"/>
          <w:rFonts w:ascii="Times-Roman" w:hAnsi="Times-Roman"/>
        </w:rPr>
        <w:t xml:space="preserve">Tämä keskitetty asiointipiste vastaa erityisesti siitä, että oikeusviranomainen vastaanottaa toimijalle tämän lain 6 §:n II momentissa säädetyn menettelyn mukaisesti hakemukset, joiden tarkoituksena on varmistaa niiden nopea käsittely;</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Niiden on asetettava tarjoamansa palvelun yleiset käyttöehdot helposti yleisön saataville; niihin on sisällyttävä säännöksiä, joilla kielletään tämän artiklan ensimmäisessä kohdassa tarkoitetun sisällön julkaiseminen verkossa; niiden on kuvailtava selkeästi ja täsmällisesti kohtuullisuutta koskevat järjestelynsä, joiden tarkoituksena on tarvittaessa havaita ja käsitellä tällaista sisältöä, yksityiskohtaisesti tähän tarkoitukseen käytetyt menettelyt ja inhimilliset tai automaattiset keinot sekä toimenpiteet, jotka vaikuttavat kyseisen sisällön saatavuuteen, näkyvyyteen ja käytettävyyteen; niiden on ilmoitettava toteuttamansa toimenpiteet niiden käyttäjien osalta, jotka ovat asettaneet tämän sisällön saataville verkossa, sekä kotimaiset ja oikeudelliset oikeussuojakeinot tällaisten käyttäjien käyttöön;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w:t>
      </w:r>
      <w:r>
        <w:rPr>
          <w:sz w:val="21"/>
          <w:rFonts w:ascii="Times-Roman" w:hAnsi="Times-Roman"/>
        </w:rPr>
        <w:t xml:space="preserve"> </w:t>
      </w:r>
      <w:r>
        <w:rPr>
          <w:sz w:val="21"/>
          <w:rFonts w:ascii="Times-Roman" w:hAnsi="Times-Roman"/>
        </w:rPr>
        <w:t xml:space="preserve">Niiden on tiedotettava yleisölle ensimmäisessä kohdassa tarkoitetun sisällön levittämiseksi käytetyistä keinoista ja toimenpiteistä Ranskan alueella sijaitseville käyttäjille julkaisemalla audiovisuaalisen alan korkean neuvoston vahvistamia menettelyjä ja määräaikoja noudattaen tietoja ja määrällisiä indikaattoreita, jotka liittyvät erityisesti oikeus- tai hallintoviranomaisten esittämien kieltojen tai tietopyyntöjen käsittelyyn, vastaanotettuihin ilmoituksiin ja sisäisten oikeussuojakeinojen valintaan, viimeksi mainitun määrittelemiin määrällisiin indikaattoreihin, jotka liittyvät erityisesti oikeus- tai hallintoviranomaisten esittämien kieltojen tai tietopyyntöjen käsittelyyn, vastaanotettuihin ilmoituksiin sekä sellaisten sisäisten oikeussuojakeinojen valintaan, joita sovelletaan, jos ne ovat luotettavia ja ensisijaisia kolmansia osapuolia.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5.</w:t>
      </w:r>
      <w:r>
        <w:rPr>
          <w:sz w:val="21"/>
          <w:rFonts w:ascii="Times-Roman" w:hAnsi="Times-Roman"/>
        </w:rPr>
        <w:t xml:space="preserve"> </w:t>
      </w:r>
      <w:r>
        <w:rPr>
          <w:sz w:val="21"/>
          <w:rFonts w:ascii="Times-Roman" w:hAnsi="Times-Roman"/>
        </w:rPr>
        <w:t xml:space="preserve">Niiden on pantava täytäntöön helposti saatavilla oleva ja helppokäyttöinen menettely, jonka avulla kuka tahansa voi sähköisesti ilmoittaa ensimmäisessä kohdassa mainittujen säännösten vastaiseksi katsotusta sisällöstä ja täsmentää selkeästi sen sijaintipaikan ja syyt, joiden vuoksi tätä sisältöä olisi pidettävä laittomana, sekä antaa tiedot, joiden avulla voidaan ottaa yhteyttä ja ilmoittaa seuraamuksista, joita on aiheutunut virheellisestä ilmoituksesta;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6.</w:t>
      </w:r>
      <w:r>
        <w:rPr>
          <w:sz w:val="21"/>
          <w:rFonts w:ascii="Times-Roman" w:hAnsi="Times-Roman"/>
        </w:rPr>
        <w:t xml:space="preserve"> </w:t>
      </w:r>
      <w:r>
        <w:rPr>
          <w:sz w:val="21"/>
          <w:rFonts w:ascii="Times-Roman" w:hAnsi="Times-Roman"/>
        </w:rPr>
        <w:t xml:space="preserve">Niiden on toteutettava oikeasuhteisia inhimillisiä ja teknologisia menettelyjä ja keinoja, joiden avulla ne voivat: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vahvistaa viipymättä ensimmäisessä kohdassa tarkoitettuun sisältöön liittyvien ilmoitusten turvallinen vastaanottaminen edellyttäen, että toimijaan yhteydenottoon tarvittavat tiedot ovat tarpeen;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varmistaa näiden ilmoitusten asianmukainen analysointi hyvissä ajoin;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tiedottaa laatijalle toimenpiteistä ja käytettävissä olevista kansallisista ja oikeudellisista oikeussuojakeinoista edellyttäen, että heillä on tarvittavat tiedot, jotta heihin voidaan ottaa yhteyttä;</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d) jos ensimmäisessä kohdassa tarkoitettujen säännösten noudattamatta jättämisen perusteella päätetään poistaa sisältö tai ottaa se pois saatavilta, ilmoittaa käyttäjälle julkaisun lähteessä edellyttäen, että sillä on tarvittavat tiedot yhteydenottoon, seuraavaa: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päätöksen perustelut;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täsmennys siitä, tehtiinkö päätös automatisoidulla välineellä;</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tiedot käyttäjän käytettävissä olevista kansallisista ja oikeudellisista oikeussuojakeinoista;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ja ilmoitus siitä, että laittoman sisällön julkaisemisesta aiheutuu siviili- ja rikosoikeudellisia seuraamuksia;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7.</w:t>
      </w:r>
      <w:r>
        <w:rPr>
          <w:sz w:val="21"/>
          <w:rFonts w:ascii="Times-Roman" w:hAnsi="Times-Roman"/>
        </w:rPr>
        <w:t xml:space="preserve"> </w:t>
      </w:r>
      <w:r>
        <w:rPr>
          <w:sz w:val="21"/>
          <w:rFonts w:ascii="Times-Roman" w:hAnsi="Times-Roman"/>
        </w:rPr>
        <w:t xml:space="preserve">Niiden on käytettävä sisäisiä korjaavia keinoja, joiden avulla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edellä 1 momentissa tarkoitetun sisältöä koskevan ilmoituksen tekijä voi riitauttaa toimijan kyseisen ilmoituksen johdosta tekemän päätöksen;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käyttäjä, joka on sellaisen sisällön julkaisemisen alullepanija, josta on tehty 6 momentin d kohdassa tarkoitettu päätös, voi riitauttaa kyseisen päätöksen;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Pr="004E021A" w:rsidRDefault="00317039" w:rsidP="00F54ECB">
      <w:pPr>
        <w:autoSpaceDE w:val="0"/>
        <w:autoSpaceDN w:val="0"/>
        <w:adjustRightInd w:val="0"/>
        <w:spacing w:after="0" w:line="240" w:lineRule="auto"/>
        <w:jc w:val="both"/>
        <w:rPr>
          <w:i/>
          <w:iCs/>
          <w:sz w:val="21"/>
          <w:szCs w:val="21"/>
          <w:rFonts w:ascii="Times-Italic" w:hAnsi="Times-Italic" w:cs="Times-Italic"/>
        </w:rPr>
      </w:pPr>
      <w:r>
        <w:rPr>
          <w:sz w:val="21"/>
          <w:rFonts w:ascii="Times-Roman" w:hAnsi="Times-Roman"/>
        </w:rPr>
        <w:t xml:space="preserve">c) käyttäjä, josta on tehty 8 momentin a tai b kohdassa tarkoitettu päätös, voi riitauttaa kyseisen päätöksen.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Niiden on varmistettava, että nämä järjestelmät ovat helposti saatavilla ja helppokäyttöisiä ja että ne mahdollistavat muutoksenhaun asianmukaisen ja nopean käsittelyn, joka ei perustu pelkästään automaattisten keinojen käyttöön, ilmoittamalla käyttäjälle viipymättä tehdystä päätöksestä ja peruuttamalla viipymättä kyseiseen sisältöön tai käyttäjään liittyvät toimenpiteet, kun se muutoksenhaun perusteella katsoo, että riidanalainen päätös ei ollut perusteltu;</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8.</w:t>
      </w:r>
      <w:r>
        <w:rPr>
          <w:sz w:val="21"/>
          <w:rFonts w:ascii="Times-Roman" w:hAnsi="Times-Roman"/>
        </w:rPr>
        <w:t xml:space="preserve"> </w:t>
      </w:r>
      <w:r>
        <w:rPr>
          <w:sz w:val="21"/>
          <w:rFonts w:ascii="Times-Roman" w:hAnsi="Times-Roman"/>
        </w:rPr>
        <w:t xml:space="preserve">Päättäessään tällaisten menettelyjen täytäntöönpanosta niiden on esitettävä käyttöehdoissaan selkeät ja täsmälliset menettelyt, jotka johtavat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sellaisten käyttäjien tilin keskeyttäminen tai lopettaminen, jotka ovat toistuvasti ladanneet sisältöä tämän artiklan ensimmäisessä kohdassa tarkoitettujen säännösten vastaisesti;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sellaisten käyttäjien pääsyn keskeyttäminen, jotka ovat toistuvasti toimittaneet ilmeisen perusteettomia ilmoituksia, jotka liittyvät samassa ensimmäisessä kohdassa tarkoitettuun sisältöön.</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Tällaisia menettelyjä toteutettaessa on pantava täytäntöön tapauskohtainen analyysi, jonka tarkoituksena on objektiivisesti kuvata tämän 8 momentin a tai b kohdassa tarkoitetun toiminnan olemassaoloa, ja siinä otetaan huomioon erityisesti:</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tämän artiklan ensimmäisessä kohdassa tarkoitetun laittoman sisällön tai käyttäjän viime vuoden aikana tekemien ilmeisen perusteettomien ilmoitusten määrä sekä absoluuttisesti että suhteessa niiden sisältöjen tai ilmoitusten kokonaismäärään, joista hän oli vastuussa;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 ja näiden väärinkäytösten vakavuudesta ja seurauksista.</w:t>
      </w:r>
    </w:p>
    <w:p w:rsidR="004E021A" w:rsidRDefault="004E021A"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Näissä menettelyissä säädetään, että 8 momentin a ja b kohdassa tarkoitettujen toimenpiteiden on oltava luonteeltaan oikeassa suhteessa kyseisen menettelyn vakavuuteen ja, jos kyseessä on keskeyttäminen, että se määrätään kohtuulliseksi ajaksi.</w:t>
      </w:r>
      <w:r>
        <w:rPr>
          <w:sz w:val="21"/>
          <w:rFonts w:ascii="Times-Roman" w:hAnsi="Times-Roman"/>
        </w:rPr>
        <w:t xml:space="preserve"> </w:t>
      </w:r>
      <w:r>
        <w:rPr>
          <w:sz w:val="21"/>
          <w:rFonts w:ascii="Times-Roman" w:hAnsi="Times-Roman"/>
        </w:rPr>
        <w:t xml:space="preserve">Käyttäjälle on annettava varoitus ja tiedot käytettävissä olevista kotimaisista ja oikeudellisista oikeussuojakeinoista;</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9.</w:t>
      </w:r>
      <w:r>
        <w:rPr>
          <w:sz w:val="21"/>
          <w:rFonts w:ascii="Times-Roman" w:hAnsi="Times-Roman"/>
        </w:rPr>
        <w:t xml:space="preserve"> </w:t>
      </w:r>
      <w:r>
        <w:rPr>
          <w:sz w:val="21"/>
          <w:rFonts w:ascii="Times-Roman" w:hAnsi="Times-Roman"/>
        </w:rPr>
        <w:t xml:space="preserve">Tämän pykälän 1 momentissa mainittujen liikenteenharjoittajien, joiden toiminta Ranskan alueella ylittää asetuksessa määrätyn yhteyksien määrän ja jotka ovat suurempia kuin samassa ensimmäisessä kohdassa mainitut, on</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 Arvioitava vuosittain niiden palvelujen toimintaan ja käyttöön liittyviä järjestelmäriskejä ensimmäisessä kohdassa tarkoitetun sisällön levittämisen osalta sekä perusoikeuksien, sananvapaus mukaan luettuna, loukkausten osalta.</w:t>
      </w:r>
      <w:r>
        <w:rPr>
          <w:sz w:val="21"/>
          <w:rFonts w:ascii="Times-Roman" w:hAnsi="Times-Roman"/>
        </w:rPr>
        <w:t xml:space="preserve"> </w:t>
      </w:r>
      <w:r>
        <w:rPr>
          <w:sz w:val="21"/>
          <w:rFonts w:ascii="Times-Roman" w:hAnsi="Times-Roman"/>
        </w:rPr>
        <w:t xml:space="preserve">Arvioinnissa on otettava huomioon näiden palvelujen ominaispiirteet ja erityisesti niiden vaikutukset edellä mainitun sisällön leviämiseen tai levitykseen;</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b) Toteutettava kohtuullisia, tehokkaita ja oikeasuhteisia toimenpiteitä, jotka koskevat erityisesti niiden palvelujen ominaispiirteitä sekä 9 momentin a kohdassa tarkoitetun arvioinnin lopussa havaittujen riskien laajuutta ja vakavuutta ja joilla pyritään lieventämään tällaisen sisällön levittämiseen liittyviä riskejä, jotka voivat liittyä erityisesti niihin menettelyihin ja niihin liittyviin inhimillisiin ja teknisiin keinoihin, joita käytetään sisällön havaitsemiseksi, tunnistamiseksi ja käsittelemiseksi, samalla kun estetään perusteettoman poistumisen riskit sovellettavan lainsäädännön ja niiden käyttöehtojen mukaisesti;</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c) Raportoitava yleisölle audiovisuaalisen alan korkean neuvoston vahvistamien menettelyjen ja määräaikojen mukaisesti näiden järjestelmäriskien arvioinnista ja toteutetuista riskinhallintatoimenpiteistä;</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(10) Edellä 1 momentissa mainittujen toimijoiden on raportoitava audiovisuaalisen alan korkean tason neuvostolle tämän pykälän soveltamisessa käytetyistä menettelyistä ja keinoista edellä mainituin 30.9.1986 annetun lain nro 86-1067 62 §:ssä säädetyin edellytyksin.</w:t>
      </w:r>
      <w:r>
        <w:rPr>
          <w:sz w:val="21"/>
          <w:rFonts w:ascii="Times-Roman" w:hAnsi="Times-Roman"/>
        </w:rPr>
        <w:t xml:space="preserve"> </w:t>
      </w:r>
      <w:r>
        <w:rPr>
          <w:sz w:val="21"/>
          <w:rFonts w:ascii="Times-Roman" w:hAnsi="Times-Roman"/>
        </w:rPr>
        <w:t xml:space="preserve">”</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Muutetaan viestintävapaudesta 30.9.1986 annettua lakia nro 86-1067 seuraavasti:</w:t>
      </w:r>
    </w:p>
    <w:p w:rsidR="00317039" w:rsidRDefault="00317039"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1.</w:t>
      </w:r>
      <w:r>
        <w:rPr>
          <w:sz w:val="21"/>
          <w:rFonts w:ascii="Times-Roman" w:hAnsi="Times-Roman"/>
        </w:rPr>
        <w:t xml:space="preserve"> </w:t>
      </w:r>
      <w:r>
        <w:rPr>
          <w:sz w:val="21"/>
          <w:rFonts w:ascii="Times-Roman" w:hAnsi="Times-Roman"/>
        </w:rPr>
        <w:t xml:space="preserve">Korvataan 19 §:n I momentin 1 kohdan kolmannessa alakohdassa seuraavaa:</w:t>
      </w:r>
      <w:r>
        <w:rPr>
          <w:sz w:val="21"/>
          <w:rFonts w:ascii="Times-Roman" w:hAnsi="Times-Roman"/>
        </w:rPr>
        <w:t xml:space="preserve"> </w:t>
      </w:r>
      <w:r>
        <w:rPr>
          <w:sz w:val="21"/>
          <w:rFonts w:ascii="Times-Roman" w:hAnsi="Times-Roman"/>
        </w:rPr>
        <w:t xml:space="preserve">Korvataan ilmaisu ”sekä videonjakoalustoilla” ilmaisulla</w:t>
      </w:r>
      <w:r>
        <w:rPr>
          <w:sz w:val="21"/>
          <w:rFonts w:ascii="Times-Roman" w:hAnsi="Times-Roman"/>
        </w:rPr>
        <w:t xml:space="preserve"> </w:t>
      </w:r>
      <w:r>
        <w:rPr>
          <w:sz w:val="21"/>
          <w:rFonts w:ascii="Times-Roman" w:hAnsi="Times-Roman"/>
        </w:rPr>
        <w:t xml:space="preserve">”62 pykälässä tarkoitetut videonjakoalustat sekä verkkoalustan ylläpitäjät”;</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2.</w:t>
      </w:r>
      <w:r>
        <w:rPr>
          <w:sz w:val="21"/>
          <w:rFonts w:ascii="Times-Roman" w:hAnsi="Times-Roman"/>
        </w:rPr>
        <w:t xml:space="preserve"> </w:t>
      </w:r>
      <w:r>
        <w:rPr>
          <w:sz w:val="21"/>
          <w:rFonts w:ascii="Times-Roman" w:hAnsi="Times-Roman"/>
        </w:rPr>
        <w:t xml:space="preserve">Korvataan 42-7 §:n 1 momentissa oleva viittaus</w:t>
      </w:r>
      <w:r>
        <w:rPr>
          <w:sz w:val="21"/>
          <w:rFonts w:ascii="Times-Roman" w:hAnsi="Times-Roman"/>
        </w:rPr>
        <w:t xml:space="preserve"> </w:t>
      </w:r>
      <w:r>
        <w:rPr>
          <w:sz w:val="21"/>
          <w:rFonts w:ascii="Times-Roman" w:hAnsi="Times-Roman"/>
        </w:rPr>
        <w:t xml:space="preserve">”ja 48-3” viittauksilla</w:t>
      </w:r>
      <w:r>
        <w:rPr>
          <w:sz w:val="21"/>
          <w:rFonts w:ascii="Times-Roman" w:hAnsi="Times-Roman"/>
        </w:rPr>
        <w:t xml:space="preserve"> </w:t>
      </w:r>
      <w:r>
        <w:rPr>
          <w:sz w:val="21"/>
          <w:rFonts w:ascii="Times-Roman" w:hAnsi="Times-Roman"/>
        </w:rPr>
        <w:t xml:space="preserve">”, 48-3 ja 62”;</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3.</w:t>
      </w:r>
      <w:r>
        <w:rPr>
          <w:sz w:val="21"/>
          <w:rFonts w:ascii="Times-Roman" w:hAnsi="Times-Roman"/>
        </w:rPr>
        <w:t xml:space="preserve"> </w:t>
      </w:r>
      <w:r>
        <w:rPr>
          <w:sz w:val="21"/>
          <w:rFonts w:ascii="Times-Roman" w:hAnsi="Times-Roman"/>
        </w:rPr>
        <w:t xml:space="preserve">Lisätään IV osaan III luku seuraavasti:</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i/>
          <w:iCs/>
          <w:sz w:val="21"/>
          <w:szCs w:val="21"/>
          <w:rFonts w:ascii="Times-Italic" w:hAnsi="Times-Italic" w:cs="Times-Italic"/>
        </w:rPr>
      </w:pPr>
      <w:r>
        <w:rPr>
          <w:i/>
          <w:rFonts w:ascii="Times-Italic" w:hAnsi="Times-Italic"/>
        </w:rPr>
        <w:t xml:space="preserve">III LUKU</w:t>
      </w:r>
    </w:p>
    <w:p w:rsidR="00F54ECB" w:rsidRDefault="00F54ECB" w:rsidP="00F54ECB">
      <w:pPr>
        <w:autoSpaceDE w:val="0"/>
        <w:autoSpaceDN w:val="0"/>
        <w:adjustRightInd w:val="0"/>
        <w:spacing w:after="0" w:line="240" w:lineRule="auto"/>
        <w:jc w:val="both"/>
        <w:rPr>
          <w:rFonts w:ascii="Times-Italic" w:hAnsi="Times-Italic" w:cs="Times-Italic"/>
          <w:i/>
          <w:iCs/>
          <w:sz w:val="21"/>
          <w:szCs w:val="21"/>
        </w:rPr>
      </w:pPr>
    </w:p>
    <w:p w:rsidR="00317039" w:rsidRDefault="00317039" w:rsidP="00F54ECB">
      <w:pPr>
        <w:autoSpaceDE w:val="0"/>
        <w:autoSpaceDN w:val="0"/>
        <w:adjustRightInd w:val="0"/>
        <w:spacing w:after="0" w:line="240" w:lineRule="auto"/>
        <w:jc w:val="both"/>
        <w:rPr>
          <w:b/>
          <w:bCs/>
          <w:i/>
          <w:iCs/>
          <w:sz w:val="21"/>
          <w:szCs w:val="21"/>
          <w:rFonts w:ascii="Times-BoldItalic" w:hAnsi="Times-BoldItalic" w:cs="Times-BoldItalic"/>
        </w:rPr>
      </w:pPr>
      <w:r>
        <w:rPr>
          <w:b/>
          <w:i/>
          <w:sz w:val="21"/>
          <w:rFonts w:ascii="Times-BoldItalic" w:hAnsi="Times-BoldItalic"/>
        </w:rPr>
        <w:t xml:space="preserve">Vihasisältöä torjuviin verkkoalustoihin sovellettavat säännökset</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54ECB">
      <w:pPr>
        <w:autoSpaceDE w:val="0"/>
        <w:autoSpaceDN w:val="0"/>
        <w:adjustRightInd w:val="0"/>
        <w:spacing w:after="0" w:line="240" w:lineRule="auto"/>
        <w:jc w:val="both"/>
        <w:rPr>
          <w:sz w:val="21"/>
          <w:szCs w:val="21"/>
          <w:rFonts w:ascii="Times-Roman" w:hAnsi="Times-Roman" w:cs="Times-Roman"/>
        </w:rPr>
      </w:pPr>
      <w:r>
        <w:rPr>
          <w:sz w:val="21"/>
          <w:i/>
        </w:rPr>
        <w:t xml:space="preserve">62 §</w:t>
      </w:r>
      <w:r>
        <w:rPr>
          <w:sz w:val="21"/>
          <w:i/>
          <w:rFonts w:ascii="Times-Italic" w:hAnsi="Times-Italic"/>
        </w:rPr>
        <w:t xml:space="preserve"> </w:t>
      </w:r>
      <w:r>
        <w:rPr>
          <w:sz w:val="21"/>
          <w:rFonts w:ascii="Times-Roman" w:hAnsi="Times-Roman"/>
        </w:rPr>
        <w:t xml:space="preserve">– I. – Audiovisuaalisen alan korkean neuvoston on varmistettava, että luottamuksesta digitaalitalouteen 21.6.2004 annetun lain nro 2004-575 6-5 §:n 1 momentissa tarkoitetut verkkoalustaoperaattorit noudattavat 6-5 §:n säännöksiä, ottaen huomioon jokaisen palvelun, joita operaattori tarjoaa, osalta palvelun ominaispiirteet ja niiden keinojen riittävyyden, joita operaattorin käyttää, suhteessa erityisesti 6-5 §:n 1 momentissa tarkoitetun sisällön levittämiseen palvelussa liittyvien riskien ja sovellettavaan lakiin ja operaattorin käyttöehtoihin perustuvaan aiheettomaan poistoon liittyvien riskien laajuuteen ja vakavuuteen.</w:t>
      </w:r>
      <w:r>
        <w:rPr>
          <w:sz w:val="21"/>
          <w:rFonts w:ascii="Times-Roman" w:hAnsi="Times-Roman"/>
        </w:rPr>
        <w:t xml:space="preserve"> </w:t>
      </w:r>
      <w:r>
        <w:rPr>
          <w:sz w:val="21"/>
          <w:rFonts w:ascii="Times-Roman" w:hAnsi="Times-Roman"/>
        </w:rPr>
        <w:t xml:space="preserve">Sen on annettava näille alustaoperaattoreille ohjeet 6-5 §:n soveltamiseksi.</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317039" w:rsidRDefault="00317039" w:rsidP="00F02A14">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Sen on kerättävä tällaisilta operaattoreilta tämän lain 19 §:ssä säädetyin edellytyksin tiedot, jotka ovat tarpeen niiden velvollisuuksien valvomiseksi.</w:t>
      </w:r>
      <w:r>
        <w:rPr>
          <w:sz w:val="21"/>
          <w:rFonts w:ascii="Times-Roman" w:hAnsi="Times-Roman"/>
        </w:rPr>
        <w:t xml:space="preserve"> </w:t>
      </w:r>
      <w:r>
        <w:rPr>
          <w:sz w:val="21"/>
          <w:rFonts w:ascii="Times-Roman" w:hAnsi="Times-Roman"/>
        </w:rPr>
        <w:t xml:space="preserve">Edellä 21.6.2004 annetun lain nro 2004-575 6-5 §:n 9 momentissa mainitut toimijat antavat mahdollisuuden tutustua näiden velvoitteiden täyttämisessä käytettävien automatisoitujen välineiden toimintaperiaatteisiin, näiden välineiden käyttämiin parametreihin, niiden suorituskyvyn arviointiin ja parantamiseen käytettäviin menetelmiin ja tietoihin sekä kaikkiin muihin tietoihin, joiden avulla se voi arvioida niiden tehokkuutta henkilötietojen suojaa koskevien säännösten mukaisesti.</w:t>
      </w:r>
      <w:r>
        <w:rPr>
          <w:sz w:val="21"/>
          <w:rFonts w:ascii="Times-Roman" w:hAnsi="Times-Roman"/>
        </w:rPr>
        <w:t xml:space="preserve"> </w:t>
      </w:r>
      <w:r>
        <w:rPr>
          <w:sz w:val="21"/>
          <w:rFonts w:ascii="Times-Roman" w:hAnsi="Times-Roman"/>
        </w:rPr>
        <w:t xml:space="preserve">Näiden säännösten mukaisesti audiovisuaalisen alan korkean tason neuvosto voi lähettää oikeasuhteisia pyyntöjä, jotka koskevat pääsyä erityisten ohjelmointirajapintojen kautta kaikkiin tietoihin, jotka ovat merkityksellisiä niiden tehokkuuden arvioimiseksi.</w:t>
      </w:r>
      <w:r>
        <w:rPr>
          <w:sz w:val="21"/>
          <w:rFonts w:ascii="Times-Roman" w:hAnsi="Times-Roman"/>
        </w:rPr>
        <w:t xml:space="preserve"> </w:t>
      </w:r>
      <w:r>
        <w:rPr>
          <w:sz w:val="21"/>
          <w:rFonts w:ascii="Times-Roman" w:hAnsi="Times-Roman"/>
        </w:rPr>
        <w:t xml:space="preserve">Näiden säännösten mukaisesti ja samaa tarkoitusta varten audiovisuaalisen alan neuvosto voi ottaa käyttöön oikeasuhteisia menetelmiä yleisesti saatavilla olevien tietojen automaattiseen keruuseen tarvittavien tietojen saamiseksi.</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Default="001048BC"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Siinä määritellään tiedot ja määrälliset indikaattorit, jotka näiden toimijoiden on julkaistava 6-5 §:n 4 momentin mukaisesti, sekä tämän julkaisemisen yksityiskohtaiset säännöt ja määräajat.</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Se julkaisee vuosittain 6-5 §:n säännösten soveltamista koskevan katsauksen.</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w:t>
      </w:r>
      <w:r>
        <w:rPr>
          <w:sz w:val="21"/>
          <w:rFonts w:ascii="Times-Roman" w:hAnsi="Times-Roman"/>
        </w:rPr>
        <w:t xml:space="preserve"> </w:t>
      </w:r>
      <w:r>
        <w:rPr>
          <w:sz w:val="21"/>
          <w:rFonts w:ascii="Times-Roman" w:hAnsi="Times-Roman"/>
        </w:rPr>
        <w:t xml:space="preserve">– Audiovisuaalisia asioita käsittelevä korkea neuvosto voi kehottaa operaattoreita noudattamaan edellä mainitun 21.6.2004 annetun lain nro 2004-575 6-5 §:n säännöksiä antamalla virallisen ilmoituksen ja asettamassaan määräajassa.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Jos operaattori ei noudata vastaanotettua ilmoitusta, audiovisuaalisen alan korkean tason neuvosto voi tämän lain 42-7 §:ssä säädetyin edellytyksin määrätä sakon, jonka määrässä on otettava huomioon noudattamatta jättämisen vakavuus ja tarvittaessa sen toistuminen ja joka on enintään 20 miljoonaa euroa tai kuusi prosenttia edellisen vuoden vuotuisesta kokonaisliikevaihdosta sen mukaan, kumpi on suurempi.</w:t>
      </w:r>
      <w:r>
        <w:rPr>
          <w:sz w:val="21"/>
          <w:rFonts w:ascii="Times-Roman" w:hAnsi="Times-Roman"/>
        </w:rPr>
        <w:t xml:space="preserve"> </w:t>
      </w:r>
      <w:r>
        <w:rPr>
          <w:sz w:val="21"/>
          <w:rFonts w:ascii="Times-Roman" w:hAnsi="Times-Roman"/>
        </w:rPr>
        <w:t xml:space="preserve">Jos samasta rikkomuksesta on toisessa valtiossa määrätty samansuuruinen taloudellinen seuraamus, tämän momentin nojalla määrättävä seuraamus on otettava huomioon.</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Poiketen siitä, mitä tämän II §:n 2 momentissa säädetään, seuraamuksen määrä ei saa ylittää yhtä prosenttia edellisen tilikauden vuotuisesta kokonaisliikevaihdosta, jos sääntelyviranomaisen I §:n 2 momentin nojalla pyytämiä tietoja kieltäydytään luovuttamasta tai jos toimitetaan vääriä tai harhaanjohtavia tietoja.</w:t>
      </w:r>
    </w:p>
    <w:p w:rsidR="00F54ECB" w:rsidRDefault="00F54ECB"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Audiovisuaalisen alan korkea neuvosto voi julkistaa ilmoitukset ja määrätyt seuraamukset.</w:t>
      </w:r>
      <w:r>
        <w:rPr>
          <w:sz w:val="21"/>
          <w:rFonts w:ascii="Times-Roman" w:hAnsi="Times-Roman"/>
        </w:rPr>
        <w:t xml:space="preserve"> </w:t>
      </w:r>
      <w:r>
        <w:rPr>
          <w:sz w:val="21"/>
          <w:rFonts w:ascii="Times-Roman" w:hAnsi="Times-Roman"/>
        </w:rPr>
        <w:t xml:space="preserve">Se määrittelee päätöksessään tällaisen julkistamisen yksityiskohdat, joiden on oltava oikeassa suhteessa rikkomuksen vakavuuteen.</w:t>
      </w:r>
      <w:r>
        <w:rPr>
          <w:sz w:val="21"/>
          <w:rFonts w:ascii="Times-Roman" w:hAnsi="Times-Roman"/>
        </w:rPr>
        <w:t xml:space="preserve"> </w:t>
      </w:r>
      <w:r>
        <w:rPr>
          <w:sz w:val="21"/>
          <w:rFonts w:ascii="Times-Roman" w:hAnsi="Times-Roman"/>
        </w:rPr>
        <w:t xml:space="preserve">Se voi myös määrätä, että päätös sisällytetään nimettyihin julkaisuihin, sanomalehtiin ja tiedotusvälineisiin virallisen ilmoituksen tai seuraamuksen kohteena olevien operaattorien kustannuksella.</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Sakot peritään muina kuin valtion saatavina verovelkoina ja omaisuusvelkoina.</w:t>
      </w:r>
      <w:r>
        <w:rPr>
          <w:sz w:val="21"/>
          <w:rFonts w:ascii="Times-Roman" w:hAnsi="Times-Roman"/>
        </w:rPr>
        <w:t xml:space="preserve"> </w:t>
      </w:r>
      <w:r>
        <w:rPr>
          <w:sz w:val="21"/>
          <w:rFonts w:ascii="Times-Roman" w:hAnsi="Times-Roman"/>
        </w:rPr>
        <w:t xml:space="preserve">;</w:t>
      </w:r>
    </w:p>
    <w:p w:rsidR="001048BC" w:rsidRDefault="001048BC" w:rsidP="00F54ECB">
      <w:pPr>
        <w:autoSpaceDE w:val="0"/>
        <w:autoSpaceDN w:val="0"/>
        <w:adjustRightInd w:val="0"/>
        <w:spacing w:after="0" w:line="240" w:lineRule="auto"/>
        <w:jc w:val="both"/>
        <w:rPr>
          <w:rFonts w:ascii="Times-Roman" w:hAnsi="Times-Roman" w:cs="Times-Roman"/>
          <w:sz w:val="21"/>
          <w:szCs w:val="21"/>
        </w:rPr>
      </w:pPr>
    </w:p>
    <w:p w:rsidR="006522CF"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4. Ilmaisun</w:t>
      </w:r>
      <w:r>
        <w:rPr>
          <w:sz w:val="21"/>
          <w:rFonts w:ascii="Times-Roman" w:hAnsi="Times-Roman"/>
        </w:rPr>
        <w:t xml:space="preserve"> </w:t>
      </w:r>
      <w:r>
        <w:rPr>
          <w:sz w:val="21"/>
          <w:rFonts w:ascii="Times-Roman" w:hAnsi="Times-Roman"/>
        </w:rPr>
        <w:t xml:space="preserve">”perustuu” jälkeen 108 §:n 1 momentin sanamuoto on seuraava:</w:t>
      </w:r>
      <w:r>
        <w:rPr>
          <w:sz w:val="21"/>
          <w:rFonts w:ascii="Times-Roman" w:hAnsi="Times-Roman"/>
        </w:rPr>
        <w:t xml:space="preserve"> </w:t>
      </w:r>
      <w:r>
        <w:rPr>
          <w:sz w:val="21"/>
          <w:rFonts w:ascii="Times-Roman" w:hAnsi="Times-Roman"/>
        </w:rPr>
        <w:t xml:space="preserve">”lakiin nro , annettu , jolla vahvistetaan tasavallan periaatteiden kunnioittaminen.</w:t>
      </w:r>
      <w:r>
        <w:rPr>
          <w:sz w:val="21"/>
          <w:rFonts w:ascii="Times-Roman" w:hAnsi="Times-Roman"/>
        </w:rPr>
        <w:t xml:space="preserve"> </w:t>
      </w:r>
      <w:r>
        <w:rPr>
          <w:sz w:val="21"/>
          <w:rFonts w:ascii="Times-Roman" w:hAnsi="Times-Roman"/>
        </w:rPr>
        <w:t xml:space="preserve">”</w:t>
      </w:r>
    </w:p>
    <w:p w:rsidR="00317039" w:rsidRPr="00196BE6" w:rsidRDefault="00317039" w:rsidP="00196BE6">
      <w:pPr>
        <w:autoSpaceDE w:val="0"/>
        <w:autoSpaceDN w:val="0"/>
        <w:adjustRightInd w:val="0"/>
        <w:spacing w:after="0" w:line="240" w:lineRule="auto"/>
        <w:jc w:val="both"/>
        <w:rPr>
          <w:rFonts w:ascii="Times-Roman" w:hAnsi="Times-Roman" w:cs="Times-Roman"/>
          <w:sz w:val="21"/>
          <w:szCs w:val="21"/>
        </w:rPr>
      </w:pPr>
    </w:p>
    <w:p w:rsidR="006522CF" w:rsidRPr="00F54ECB" w:rsidRDefault="006522CF" w:rsidP="00F54ECB">
      <w:pPr>
        <w:autoSpaceDE w:val="0"/>
        <w:autoSpaceDN w:val="0"/>
        <w:adjustRightInd w:val="0"/>
        <w:spacing w:after="0" w:line="240" w:lineRule="auto"/>
        <w:jc w:val="both"/>
        <w:rPr>
          <w:sz w:val="21"/>
          <w:szCs w:val="21"/>
          <w:rFonts w:ascii="Times-Roman" w:hAnsi="Times-Roman" w:cs="Times-Roman"/>
        </w:rPr>
      </w:pPr>
      <w:r>
        <w:rPr>
          <w:sz w:val="21"/>
          <w:rFonts w:ascii="Times-Roman" w:hAnsi="Times-Roman"/>
        </w:rPr>
        <w:t xml:space="preserve">III.</w:t>
      </w:r>
      <w:r>
        <w:rPr>
          <w:sz w:val="21"/>
          <w:rFonts w:ascii="Times-Roman" w:hAnsi="Times-Roman"/>
        </w:rPr>
        <w:t xml:space="preserve"> </w:t>
      </w:r>
      <w:r>
        <w:rPr>
          <w:sz w:val="21"/>
          <w:rFonts w:ascii="Times-Roman" w:hAnsi="Times-Roman"/>
        </w:rPr>
        <w:t xml:space="preserve">– Tämän pykälän säännöksiä sovelletaan 31.12.2023 saakka.</w:t>
      </w:r>
    </w:p>
    <w:sectPr w:rsidR="006522CF" w:rsidRPr="00F54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Italic">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FF1FF0"/>
    <w:multiLevelType w:val="hybridMultilevel"/>
    <w:tmpl w:val="70DE856A"/>
    <w:lvl w:ilvl="0" w:tplc="73F84A00">
      <w:start w:val="1"/>
      <w:numFmt w:val="lowerLetter"/>
      <w:lvlText w:val="%1)"/>
      <w:lvlJc w:val="left"/>
      <w:pPr>
        <w:ind w:left="720" w:hanging="360"/>
      </w:pPr>
      <w:rPr>
        <w:rFonts w:ascii="Times-Italic" w:hAnsi="Times-Italic" w:cs="Times-Italic"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dirty" w:grammar="dirty"/>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28D"/>
    <w:rsid w:val="001048BC"/>
    <w:rsid w:val="00134B73"/>
    <w:rsid w:val="00196BE6"/>
    <w:rsid w:val="00317039"/>
    <w:rsid w:val="00485A93"/>
    <w:rsid w:val="004E021A"/>
    <w:rsid w:val="006522CF"/>
    <w:rsid w:val="00694BF3"/>
    <w:rsid w:val="00994AE4"/>
    <w:rsid w:val="009C128D"/>
    <w:rsid w:val="00F02A14"/>
    <w:rsid w:val="00F54ECB"/>
    <w:rsid w:val="00FD5A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122478-4E01-4C1D-9BE7-99AC4826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E021A"/>
    <w:pPr>
      <w:ind w:left="720"/>
      <w:contextualSpacing/>
    </w:pPr>
  </w:style>
  <w:style w:type="paragraph" w:styleId="Textedebulles">
    <w:name w:val="Balloon Text"/>
    <w:basedOn w:val="Normal"/>
    <w:link w:val="TextedebullesCar"/>
    <w:uiPriority w:val="99"/>
    <w:semiHidden/>
    <w:unhideWhenUsed/>
    <w:rsid w:val="00F02A1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2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2964</Words>
  <Characters>16308</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19234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RUBIN Chantal</dc:creator>
  <cp:keywords/>
  <dc:description/>
  <cp:lastModifiedBy>SOURY-LAVERGNE Blaise</cp:lastModifiedBy>
  <cp:revision>6</cp:revision>
  <dcterms:created xsi:type="dcterms:W3CDTF">2021-03-12T11:39:00Z</dcterms:created>
  <dcterms:modified xsi:type="dcterms:W3CDTF">2021-03-12T12:08:00Z</dcterms:modified>
</cp:coreProperties>
</file>