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BF3" w:rsidRDefault="00694BF3" w:rsidP="00F54ECB">
      <w:pPr>
        <w:jc w:val="both"/>
      </w:pPr>
    </w:p>
    <w:p w:rsidR="009C128D" w:rsidRDefault="009C128D" w:rsidP="00F54ECB">
      <w:pPr>
        <w:jc w:val="both"/>
      </w:pPr>
    </w:p>
    <w:p w:rsidR="009C128D" w:rsidRDefault="009C128D" w:rsidP="00F54ECB">
      <w:pPr>
        <w:jc w:val="both"/>
        <w:rPr>
          <w:color w:val="000000"/>
          <w:rFonts w:ascii="Arial" w:hAnsi="Arial" w:cs="Arial"/>
        </w:rPr>
      </w:pPr>
      <w:r>
        <w:rPr>
          <w:color w:val="000000"/>
          <w:rFonts w:ascii="Arial" w:hAnsi="Arial"/>
        </w:rPr>
        <w:t xml:space="preserve">Progetto di legge che conferma il rispetto dei principi della Repubblica</w:t>
      </w:r>
    </w:p>
    <w:p w:rsidR="009C128D" w:rsidRDefault="009C128D" w:rsidP="00F54ECB">
      <w:pPr>
        <w:jc w:val="both"/>
        <w:rPr>
          <w:rFonts w:ascii="Arial" w:hAnsi="Arial" w:cs="Arial"/>
          <w:color w:val="000000"/>
        </w:rPr>
      </w:pPr>
    </w:p>
    <w:p w:rsidR="009C128D" w:rsidRDefault="009C128D" w:rsidP="00F54ECB">
      <w:pPr>
        <w:jc w:val="both"/>
        <w:rPr>
          <w:rFonts w:ascii="Arial" w:hAnsi="Arial" w:cs="Arial"/>
          <w:color w:val="000000"/>
        </w:rPr>
      </w:pPr>
    </w:p>
    <w:p w:rsidR="009C128D" w:rsidRDefault="009C128D" w:rsidP="00F54ECB">
      <w:pPr>
        <w:autoSpaceDE w:val="0"/>
        <w:autoSpaceDN w:val="0"/>
        <w:adjustRightInd w:val="0"/>
        <w:spacing w:after="0" w:line="240" w:lineRule="auto"/>
        <w:jc w:val="both"/>
        <w:rPr>
          <w:b/>
          <w:bCs/>
          <w:sz w:val="21"/>
          <w:szCs w:val="21"/>
          <w:rFonts w:ascii="Times-Bold" w:hAnsi="Times-Bold" w:cs="Times-Bold"/>
        </w:rPr>
      </w:pPr>
      <w:r>
        <w:rPr>
          <w:b/>
          <w:sz w:val="21"/>
          <w:rFonts w:ascii="Times-Bold" w:hAnsi="Times-Bold"/>
        </w:rPr>
        <w:t xml:space="preserve">Articolo 19</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rFonts w:ascii="Times-Roman" w:hAnsi="Times-Roman"/>
        </w:rPr>
        <w:t xml:space="preserve">Il capitolo II del titolo I della Legge n. 2004-575 del 21 giugno 2004 sulla fiducia nell’economia digitale viene modificato come segue: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sz w:val="21"/>
        </w:rPr>
        <w:t xml:space="preserve">1.</w:t>
      </w:r>
      <w:r>
        <w:rPr>
          <w:sz w:val="21"/>
        </w:rPr>
        <w:t xml:space="preserve"> </w:t>
      </w:r>
      <w:r>
        <w:rPr>
          <w:sz w:val="21"/>
          <w:i/>
        </w:rPr>
        <w:t xml:space="preserve">(nuovo)</w:t>
      </w:r>
      <w:r>
        <w:rPr>
          <w:sz w:val="21"/>
        </w:rPr>
        <w:t xml:space="preserve"> Nel punto 8 di I dell’articolo 6, le parole:</w:t>
      </w:r>
      <w:r>
        <w:rPr>
          <w:sz w:val="21"/>
          <w:rFonts w:ascii="Times-Roman" w:hAnsi="Times-Roman"/>
        </w:rPr>
        <w:t xml:space="preserve"> </w:t>
      </w:r>
      <w:r>
        <w:rPr>
          <w:sz w:val="21"/>
          <w:rFonts w:ascii="Times-Roman" w:hAnsi="Times-Roman"/>
        </w:rPr>
        <w:t xml:space="preserve">“nel punto 2 o, in mancanza, a qualsiasi persona di cui al punto 1" sono sostituiti dal testo seguente:</w:t>
      </w:r>
      <w:r>
        <w:rPr>
          <w:sz w:val="21"/>
          <w:rFonts w:ascii="Times-Roman" w:hAnsi="Times-Roman"/>
        </w:rPr>
        <w:t xml:space="preserve"> </w:t>
      </w:r>
      <w:r>
        <w:rPr>
          <w:sz w:val="21"/>
          <w:rFonts w:ascii="Times-Roman" w:hAnsi="Times-Roman"/>
        </w:rPr>
        <w:t xml:space="preserve">“nell’1 o nel 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Dopo l’articolo 6-2 nella sua formulazione risultante dalla Legge n. 2020-1266 del 19 ottobre 2020 volta a regolamentare lo sfruttamento commerciale dell’immagine dei minori di sedici anni su piattaforme online, sono inseriti gli articoli 6-3 e 6-4:</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Pr>
        <w:t xml:space="preserve">“</w:t>
      </w:r>
      <w:r>
        <w:rPr>
          <w:sz w:val="21"/>
          <w:i/>
          <w:rFonts w:ascii="Times-Italic" w:hAnsi="Times-Italic"/>
        </w:rPr>
        <w:t xml:space="preserve">Articolo 6-4.</w:t>
      </w:r>
      <w:r>
        <w:rPr>
          <w:sz w:val="21"/>
          <w:i/>
          <w:rFonts w:ascii="Times-Italic" w:hAnsi="Times-Italic"/>
        </w:rPr>
        <w:t xml:space="preserve"> </w:t>
      </w:r>
      <w:r>
        <w:rPr>
          <w:sz w:val="21"/>
          <w:rFonts w:ascii="Times-Roman" w:hAnsi="Times-Roman"/>
        </w:rPr>
        <w:t xml:space="preserve">— Qualora una sentenza giudiziaria esecutiva abbia disposto misure volte ad impedire l’accesso a un servizio pubblico di comunicazione online il cui contenuto rientra nell’ambito delle infrazioni di cui all’articolo 6 (I)(7), l’autorità amministrativa, coinvolta se necessario da qualsiasi interessato, può chiedere alle persone di cui ai punti 1 o 2 dello stesso I, per un periodo non superiore a quello rimanente per le misure ordinate da tale sentenza giudiziaria, di impedire al pubblico l’accesso a un servizio di comunicazione online il cui contenuto è identico o parzialmente equivalente al contenuto del servizio menzionato nella suddetta decisione.</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Alle stesse condizioni, l’autorità amministrativa può anche chiedere a tutti gli operatori di un motore di ricerca, di un elenco o di un altro servizio di riferimento di porre fine alla segnalazione di indirizzi web che diano accesso al pubblico a tali servizi di comunicazione online.</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L’autorità amministrativa tiene aggiornato un elenco dei servizi di comunicazione online di cui al primo paragrafo del presente articolo, che sono stati oggetto di una richiesta di blocco dell'accesso ai sensi dello stesso primo paragrafo, nonché degli indirizzi web che danno accesso a tali servizi e mette tale elenco a disposizione degli inserzionisti, dei loro agenti e dei servizi di cui all'articolo 299, (II) (2) del Codice generale delle imposte.</w:t>
      </w:r>
      <w:r>
        <w:rPr>
          <w:sz w:val="21"/>
          <w:rFonts w:ascii="Times-Roman" w:hAnsi="Times-Roman"/>
        </w:rPr>
        <w:t xml:space="preserve"> </w:t>
      </w:r>
      <w:r>
        <w:rPr>
          <w:sz w:val="21"/>
          <w:rFonts w:ascii="Times-Roman" w:hAnsi="Times-Roman"/>
        </w:rPr>
        <w:t xml:space="preserve">Tali servizi devono essere inclusi nel presente elenco per la restante durata dei provvedimenti ordinati dall'autorità giudiziaria.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Qualora tali servizi non siano bloccati o non siano soppressi ai sensi del presente articolo, l’autorità giudiziaria può essere deferita, con provvedimento provvisorio o su richiesta, a qualsiasi misura intesa a cessare l'accesso al contenuto di tali servizi.</w:t>
      </w:r>
      <w:r>
        <w:rPr>
          <w:sz w:val="21"/>
          <w:rFonts w:ascii="Times-Roman" w:hAnsi="Times-Roman"/>
        </w:rPr>
        <w:t xml:space="preserve"> </w:t>
      </w:r>
      <w:r>
        <w:rPr>
          <w:sz w:val="21"/>
          <w:rFonts w:ascii="Times-Roman" w:hAnsi="Times-Roman"/>
        </w:rPr>
        <w:t xml:space="preserve">”</w:t>
      </w:r>
    </w:p>
    <w:p w:rsidR="00317039" w:rsidRDefault="00317039" w:rsidP="00F54ECB">
      <w:pPr>
        <w:autoSpaceDE w:val="0"/>
        <w:autoSpaceDN w:val="0"/>
        <w:adjustRightInd w:val="0"/>
        <w:spacing w:after="0" w:line="240" w:lineRule="auto"/>
        <w:jc w:val="both"/>
        <w:rPr>
          <w:rFonts w:ascii="Times-Bold" w:hAnsi="Times-Bold" w:cs="Times-Bold"/>
          <w:b/>
          <w:bCs/>
          <w:sz w:val="21"/>
          <w:szCs w:val="21"/>
        </w:rPr>
      </w:pPr>
    </w:p>
    <w:p w:rsidR="001048BC" w:rsidRDefault="001048BC" w:rsidP="00F54ECB">
      <w:pPr>
        <w:autoSpaceDE w:val="0"/>
        <w:autoSpaceDN w:val="0"/>
        <w:adjustRightInd w:val="0"/>
        <w:spacing w:after="0" w:line="240" w:lineRule="auto"/>
        <w:jc w:val="both"/>
        <w:rPr>
          <w:rFonts w:ascii="Times-Bold" w:hAnsi="Times-Bold" w:cs="Times-Bold"/>
          <w:b/>
          <w:bCs/>
          <w:sz w:val="21"/>
          <w:szCs w:val="21"/>
        </w:rPr>
      </w:pPr>
    </w:p>
    <w:p w:rsidR="00317039" w:rsidRDefault="00317039" w:rsidP="00F54ECB">
      <w:pPr>
        <w:autoSpaceDE w:val="0"/>
        <w:autoSpaceDN w:val="0"/>
        <w:adjustRightInd w:val="0"/>
        <w:spacing w:after="0" w:line="240" w:lineRule="auto"/>
        <w:jc w:val="both"/>
        <w:rPr>
          <w:b/>
          <w:bCs/>
          <w:i/>
          <w:iCs/>
          <w:sz w:val="21"/>
          <w:szCs w:val="21"/>
          <w:rFonts w:ascii="Times-BoldItalic" w:hAnsi="Times-BoldItalic" w:cs="Times-BoldItalic"/>
        </w:rPr>
      </w:pPr>
      <w:r>
        <w:rPr>
          <w:b/>
          <w:sz w:val="21"/>
          <w:rFonts w:ascii="Times-Bold" w:hAnsi="Times-Bold"/>
        </w:rPr>
        <w:t xml:space="preserve">Articolo 19 </w:t>
      </w:r>
      <w:r>
        <w:rPr>
          <w:b/>
          <w:sz w:val="21"/>
          <w:i/>
          <w:rFonts w:ascii="Times-BoldItalic" w:hAnsi="Times-BoldItalic"/>
        </w:rPr>
        <w:t xml:space="preserve">a (nuovo)</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rFonts w:ascii="Times-Roman" w:hAnsi="Times-Roman"/>
        </w:rPr>
        <w:t xml:space="preserve">I. - Il capitolo II del titolo I della Legge n. 2004-575 del 21 giugno 2004 sulla fiducia nell’economia digitale viene modificato come segue: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Il quarto paragrafo dell’articolo 6 (7) viene modificato come segue:</w:t>
      </w:r>
    </w:p>
    <w:p w:rsidR="004E021A" w:rsidRDefault="004E021A"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a)</w:t>
      </w:r>
      <w:r>
        <w:rPr>
          <w:sz w:val="21"/>
        </w:rPr>
        <w:t xml:space="preserve"> </w:t>
      </w:r>
      <w:r>
        <w:rPr>
          <w:sz w:val="21"/>
          <w:rFonts w:ascii="Times-Roman" w:hAnsi="Times-Roman"/>
        </w:rPr>
        <w:t xml:space="preserve">La prima frase è completata dalle parole:</w:t>
      </w:r>
      <w:r>
        <w:rPr>
          <w:sz w:val="21"/>
          <w:rFonts w:ascii="Times-Roman" w:hAnsi="Times-Roman"/>
        </w:rPr>
        <w:t xml:space="preserve"> </w:t>
      </w:r>
      <w:r>
        <w:rPr>
          <w:sz w:val="21"/>
          <w:rFonts w:ascii="Times-Roman" w:hAnsi="Times-Roman"/>
        </w:rPr>
        <w:t xml:space="preserve">“e rendere pubblici i mezzi che essi destinano alla lotta contro le attività illecite di cui al terzo comma del presente regolamento 7";</w:t>
      </w:r>
    </w:p>
    <w:p w:rsidR="001048BC" w:rsidRDefault="001048BC"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b)</w:t>
      </w:r>
      <w:r>
        <w:rPr>
          <w:sz w:val="21"/>
        </w:rPr>
        <w:t xml:space="preserve"> </w:t>
      </w:r>
      <w:r>
        <w:rPr>
          <w:sz w:val="21"/>
          <w:rFonts w:ascii="Times-Roman" w:hAnsi="Times-Roman"/>
        </w:rPr>
        <w:t xml:space="preserve">dopo la prima frase stessa, è inserita la frase seguente:</w:t>
      </w:r>
      <w:r>
        <w:rPr>
          <w:sz w:val="21"/>
          <w:rFonts w:ascii="Times-Roman" w:hAnsi="Times-Roman"/>
        </w:rPr>
        <w:t xml:space="preserve"> </w:t>
      </w:r>
      <w:r>
        <w:rPr>
          <w:sz w:val="21"/>
          <w:rFonts w:ascii="Times-Roman" w:hAnsi="Times-Roman"/>
        </w:rPr>
        <w:t xml:space="preserve">“Questi obblighi non si applicano agli operatori di cui all'articolo 6-5, primo paragrafo, per combattere la diffusione del contenuto di cui allo stesso primo paragrafo.</w:t>
      </w:r>
      <w:r>
        <w:rPr>
          <w:sz w:val="21"/>
          <w:rFonts w:ascii="Times-Roman" w:hAnsi="Times-Roman"/>
        </w:rPr>
        <w:t xml:space="preserve"> </w:t>
      </w:r>
      <w:r>
        <w:rPr>
          <w:sz w:val="21"/>
          <w:rFonts w:ascii="Times-Roman" w:hAnsi="Times-Roman"/>
        </w:rPr>
        <w:t xml:space="preserv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c)</w:t>
      </w:r>
      <w:r>
        <w:rPr>
          <w:sz w:val="21"/>
        </w:rPr>
        <w:t xml:space="preserve"> La seconda frase è così modificata: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all’inizio, la parola:</w:t>
      </w:r>
      <w:r>
        <w:rPr>
          <w:sz w:val="21"/>
          <w:rFonts w:ascii="Times-Roman" w:hAnsi="Times-Roman"/>
        </w:rPr>
        <w:t xml:space="preserve"> </w:t>
      </w:r>
      <w:r>
        <w:rPr>
          <w:sz w:val="21"/>
          <w:rFonts w:ascii="Times-Roman" w:hAnsi="Times-Roman"/>
        </w:rPr>
        <w:t xml:space="preserve">“Essi” deve essere sostituita dalle parole:</w:t>
      </w:r>
      <w:r>
        <w:rPr>
          <w:sz w:val="21"/>
          <w:rFonts w:ascii="Times-Roman" w:hAnsi="Times-Roman"/>
        </w:rPr>
        <w:t xml:space="preserve"> </w:t>
      </w:r>
      <w:r>
        <w:rPr>
          <w:sz w:val="21"/>
          <w:rFonts w:ascii="Times-Roman" w:hAnsi="Times-Roman"/>
        </w:rPr>
        <w:t xml:space="preserve">“Le persone menzionate in 1 e 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Pr>
        <w:t xml:space="preserve">- le parole:</w:t>
      </w:r>
      <w:r>
        <w:rPr>
          <w:sz w:val="21"/>
          <w:rFonts w:ascii="Times-Roman" w:hAnsi="Times-Roman"/>
        </w:rPr>
        <w:t xml:space="preserve"> </w:t>
      </w:r>
      <w:r>
        <w:rPr>
          <w:sz w:val="21"/>
          <w:rFonts w:ascii="Times-Roman" w:hAnsi="Times-Roman"/>
        </w:rPr>
        <w:t xml:space="preserve">“, da un lato,” sono soppressi;</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le parole:</w:t>
      </w:r>
      <w:r>
        <w:rPr>
          <w:sz w:val="21"/>
          <w:rFonts w:ascii="Times-Roman" w:hAnsi="Times-Roman"/>
        </w:rPr>
        <w:t xml:space="preserve"> </w:t>
      </w:r>
      <w:r>
        <w:rPr>
          <w:sz w:val="21"/>
          <w:rFonts w:ascii="Times-Roman" w:hAnsi="Times-Roman"/>
        </w:rPr>
        <w:t xml:space="preserve">“del paragrafo precedente" sono sostituite dai termini:</w:t>
      </w:r>
      <w:r>
        <w:rPr>
          <w:sz w:val="21"/>
          <w:rFonts w:ascii="Times-Roman" w:hAnsi="Times-Roman"/>
        </w:rPr>
        <w:t xml:space="preserve"> </w:t>
      </w:r>
      <w:r>
        <w:rPr>
          <w:sz w:val="21"/>
          <w:rFonts w:ascii="Times-Roman" w:hAnsi="Times-Roman"/>
        </w:rPr>
        <w:t xml:space="preserve">“al medesimo terzo paragrafo”;</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dopo la parola:</w:t>
      </w:r>
      <w:r>
        <w:rPr>
          <w:sz w:val="21"/>
          <w:rFonts w:ascii="Times-Roman" w:hAnsi="Times-Roman"/>
        </w:rPr>
        <w:t xml:space="preserve"> </w:t>
      </w:r>
      <w:r>
        <w:rPr>
          <w:sz w:val="21"/>
          <w:rFonts w:ascii="Times-Roman" w:hAnsi="Times-Roman"/>
        </w:rPr>
        <w:t xml:space="preserve">“servizi", la fine viene cancellata;</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Dopo la formulazione dell'articolo 6-2 risultante dalla suddetta Legge n. 2020-1266 del 19 ottobre 2020, viene inserito il seguente articolo 6-5:</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w:t>
      </w:r>
      <w:r>
        <w:rPr>
          <w:sz w:val="21"/>
          <w:i/>
          <w:rFonts w:ascii="Times-Italic" w:hAnsi="Times-Italic"/>
        </w:rPr>
        <w:t xml:space="preserve">Articolo </w:t>
      </w:r>
      <w:r>
        <w:rPr>
          <w:sz w:val="21"/>
          <w:i/>
          <w:rFonts w:ascii="Times-Italic" w:hAnsi="Times-Italic"/>
        </w:rPr>
        <w:t xml:space="preserve">6</w:t>
      </w:r>
      <w:r>
        <w:rPr>
          <w:sz w:val="21"/>
          <w:i/>
          <w:rFonts w:ascii="Times-Italic" w:hAnsi="Times-Italic"/>
        </w:rPr>
        <w:t xml:space="preserve">-5</w:t>
      </w:r>
      <w:r>
        <w:rPr>
          <w:sz w:val="21"/>
          <w:i/>
          <w:rFonts w:ascii="Times-Italic" w:hAnsi="Times-Italic"/>
        </w:rPr>
        <w:t xml:space="preserve">.</w:t>
      </w:r>
      <w:r>
        <w:rPr>
          <w:sz w:val="21"/>
          <w:i/>
          <w:rFonts w:ascii="Times-Italic" w:hAnsi="Times-Italic"/>
        </w:rPr>
        <w:t xml:space="preserve"> </w:t>
      </w:r>
      <w:r>
        <w:rPr>
          <w:sz w:val="21"/>
          <w:rFonts w:ascii="Times-Roman" w:hAnsi="Times-Roman"/>
        </w:rPr>
        <w:t xml:space="preserve">- Gli operatori delle piattaforme online di cui all’articolo L. 111-7 del codice dei consumatori che offrono al pubblico un servizio di comunicazione online basato sulla classificazione, la referenziazione o la condivisione di contenuti messi online da terzi e la cui attività nel territorio francese supera la soglia del numero di connessioni determinate dal decreto, indipendentemente dal fatto che siano o meno stabilite nel territorio francese, contribuiscono alla lotta contro la diffusione pubblica di contenuti contrari alle disposizioni di cui all’articolo 6 (I) (7), terzo paragrafo, della presente Legge, nonché all’articolo 24 (a), terzo e quarto paragrafo dell’articolo 33 della Legge del 29 luglio 1881 sulla libertà di stampa.</w:t>
      </w:r>
      <w:r>
        <w:rPr>
          <w:sz w:val="21"/>
          <w:rFonts w:ascii="Times-Roman" w:hAnsi="Times-Roman"/>
        </w:rPr>
        <w:t xml:space="preserve"> </w:t>
      </w:r>
      <w:r>
        <w:rPr>
          <w:sz w:val="21"/>
          <w:rFonts w:ascii="Times-Roman" w:hAnsi="Times-Roman"/>
        </w:rPr>
        <w:t xml:space="preserve">A questo proposito:</w:t>
      </w:r>
    </w:p>
    <w:p w:rsidR="00F54ECB" w:rsidRDefault="00F54ECB" w:rsidP="00196BE6">
      <w:pPr>
        <w:spacing w:after="0"/>
        <w:jc w:val="both"/>
        <w:rPr>
          <w:rFonts w:ascii="Times-Roman" w:hAnsi="Times-Roman" w:cs="Times-Roman"/>
          <w:sz w:val="21"/>
          <w:szCs w:val="21"/>
        </w:rPr>
      </w:pPr>
    </w:p>
    <w:p w:rsidR="00317039" w:rsidRDefault="00317039" w:rsidP="00196BE6">
      <w:pPr>
        <w:spacing w:after="0"/>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Essi devono attuare procedure umane e tecnologiche proporzionate e gli strumenti che consentano loro di:</w:t>
      </w:r>
    </w:p>
    <w:p w:rsidR="001048BC" w:rsidRDefault="001048BC" w:rsidP="00196BE6">
      <w:pPr>
        <w:spacing w:after="0"/>
        <w:jc w:val="both"/>
        <w:rPr>
          <w:rFonts w:ascii="Times-Roman" w:hAnsi="Times-Roman" w:cs="Times-Roman"/>
          <w:sz w:val="21"/>
          <w:szCs w:val="21"/>
        </w:rPr>
      </w:pPr>
    </w:p>
    <w:p w:rsidR="00317039" w:rsidRPr="004E021A" w:rsidRDefault="001048BC" w:rsidP="00196BE6">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Informare al più presto le autorità giudiziarie o amministrative delle azioni intraprese in seguito alle ingiunzioni emanate da dette autorità in merito al contenuto di cui al primo paragrafo del presente articolo;</w:t>
      </w:r>
    </w:p>
    <w:p w:rsidR="004E021A" w:rsidRPr="004E021A" w:rsidRDefault="004E021A" w:rsidP="00196BE6">
      <w:pPr>
        <w:spacing w:after="0"/>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Confermare tempestivamente la ricezione sicura delle richieste di comunicazione dei dati a loro disposizione da parte delle autorità giudiziarie o amministrative al fine di consentire l’identificazione degli utenti che hanno caricato il contenuto di cui al medesimo primo paragrafo e di informare al più presto tali autorità del seguito dato a tali richieste;</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Conservare temporaneamente i contenuti che sono stati loro comunicati in contrasto con le disposizioni di cui al primo paragrafo e che hanno ritirato o reso inaccessibili, al fine di metterli a disposizione dell'autorità giudiziaria ai fini della perquisizione, dell'accertamento e dell'azione penale.</w:t>
      </w:r>
      <w:r>
        <w:rPr>
          <w:sz w:val="21"/>
          <w:rFonts w:ascii="Times-Roman" w:hAnsi="Times-Roman"/>
        </w:rPr>
        <w:t xml:space="preserve"> </w:t>
      </w:r>
      <w:r>
        <w:rPr>
          <w:sz w:val="21"/>
          <w:rFonts w:ascii="Times-Roman" w:hAnsi="Times-Roman"/>
        </w:rPr>
        <w:t xml:space="preserve">La durata e i metodi per la conservazione di tali contenuti sono definiti con decreto del Consiglio di Stato, previo parere della</w:t>
      </w: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Commissione Nazionale per le Tecnologie dell’Informazione e delle Libertà;</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Essi devono definire un unico punto di contatto, una persona fisica incaricata di comunicare con le autorità pubbliche per l’attuazione delle disposizioni del presente articolo, alla quale, in particolare, tutte le domande presentate dall’Alto Consiglio per le questioni audiovisive ai sensi dell'articolo 62 della Legge n. 86-1067 del 30 settembre 1986 sulla libertà di comunicazione possono essere inviate per via elettronica.</w:t>
      </w:r>
      <w:r>
        <w:rPr>
          <w:sz w:val="21"/>
          <w:rFonts w:ascii="Times-Roman" w:hAnsi="Times-Roman"/>
        </w:rPr>
        <w:t xml:space="preserve"> </w:t>
      </w:r>
      <w:r>
        <w:rPr>
          <w:sz w:val="21"/>
          <w:rFonts w:ascii="Times-Roman" w:hAnsi="Times-Roman"/>
        </w:rPr>
        <w:t xml:space="preserve">Tale unico punto di contatto è responsabile in particolare della ricezione delle richieste rivolte all’operatore dall’autorità giudiziaria secondo la procedura di cui all’articolo 6 (II), della presente Legge, al fine di garantirne il rapido trattamento;</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3.</w:t>
      </w:r>
      <w:r>
        <w:rPr>
          <w:sz w:val="21"/>
          <w:rFonts w:ascii="Times-Roman" w:hAnsi="Times-Roman"/>
        </w:rPr>
        <w:t xml:space="preserve"> </w:t>
      </w:r>
      <w:r>
        <w:rPr>
          <w:sz w:val="21"/>
          <w:rFonts w:ascii="Times-Roman" w:hAnsi="Times-Roman"/>
        </w:rPr>
        <w:t xml:space="preserve">Questi devono mettere a disposizione del pubblico, in modo facilmente accessibile, le condizioni generali di utilizzo del servizio da essi offerto; esse comprendono le disposizioni che vietano la pubblicazione online del contenuto di cui al primo paragrafo del presente articolo; essi descrivono in modo chiaro e preciso le loro modalità di moderazione volte a individuare, se necessario, l'identificazione e il trattamento di tali contenuti, precisando le procedure e i mezzi umani o automatizzati utilizzati a tal fine e le misure da essi attuate che incidono sulla disponibilità, la visibilità e l'accessibilità di tali contenuti; indicano le misure che stanno attuando nei confronti degli utenti che hanno reso disponibile questo contenuto online, nonché i mezzi di ricorso nazionali e giudiziari a disposizione di tali utenti;</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4.</w:t>
      </w:r>
      <w:r>
        <w:rPr>
          <w:sz w:val="21"/>
          <w:rFonts w:ascii="Times-Roman" w:hAnsi="Times-Roman"/>
        </w:rPr>
        <w:t xml:space="preserve"> </w:t>
      </w:r>
      <w:r>
        <w:rPr>
          <w:sz w:val="21"/>
          <w:rFonts w:ascii="Times-Roman" w:hAnsi="Times-Roman"/>
        </w:rPr>
        <w:t xml:space="preserve">Essi devono informare il pubblico dei mezzi utilizzati e delle misure adottate per combattere la diffusione, agli utenti situati nel territorio francese, del contenuto di cui al primo paragrafo mediante la pubblicazione, secondo le procedure e ad intervalli stabiliti dall’Alto Consiglio per le questioni audiovisive, di informazioni e di indicatori quantificati, definiti da queste ultime, relativi in particolare al trattamento di ingiunzioni o richieste di informazioni da parte delle autorità giudiziarie o amministrative, alle notifiche ricevute e alla selezione dei rimedi interni, nonché alle modalità di selezione di tali criteri di cooperazione;</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5.</w:t>
      </w:r>
      <w:r>
        <w:rPr>
          <w:sz w:val="21"/>
          <w:rFonts w:ascii="Times-Roman" w:hAnsi="Times-Roman"/>
        </w:rPr>
        <w:t xml:space="preserve"> </w:t>
      </w:r>
      <w:r>
        <w:rPr>
          <w:sz w:val="21"/>
          <w:rFonts w:ascii="Times-Roman" w:hAnsi="Times-Roman"/>
        </w:rPr>
        <w:t xml:space="preserve">Questi devono attuare una procedura facilmente accessibile e di facile utilizzo che consenta a chiunque di segnalare, per via elettronica, qualsiasi contenuto ritenuto contrario alle disposizioni di cui al primo paragrafo, per specificare chiaramente la sua ubicazione e i motivi per i quali si ritiene che tale contenuto debba essere considerato illegale e fornire le informazioni che consentono di contattare e comunicare le sanzioni inflitte in caso di notificazione impropria;</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6.</w:t>
      </w:r>
      <w:r>
        <w:rPr>
          <w:sz w:val="21"/>
          <w:rFonts w:ascii="Times-Roman" w:hAnsi="Times-Roman"/>
        </w:rPr>
        <w:t xml:space="preserve"> </w:t>
      </w:r>
      <w:r>
        <w:rPr>
          <w:sz w:val="21"/>
          <w:rFonts w:ascii="Times-Roman" w:hAnsi="Times-Roman"/>
        </w:rPr>
        <w:t xml:space="preserve">Essi attuano procedure e mezzi umani e tecnologici proporzionati che consentano loro di:</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Confermare tempestivamente la ricezione sicura delle notifiche relative al contenuto di cui al primo paragrafo, fatte salve le informazioni necessarie per contattare l'attore;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Garantire l’adeguata analisi tempestiva di tali notifiche;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Informare l’autore dell’azione intrapresa e dei mezzi di ricorso nazionali e giudiziari disponibili, a condizione di disporre delle informazioni necessarie per contattarli;</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 Se si decide di rimuovere il contenuto o renderlo inaccessibile per violazione delle disposizioni di cui al primo paragrafo, informare l'utilizzatore all'origine della sua pubblicazione, purché disponga delle informazioni necessarie per contattarlo:</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indicando i motivi alla base della decisione;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specificando se tale decisione sia stata presa mediante uno strumento automatizzato;</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informando sui mezzi di ricorso nazionali e giudiziari a loro disposizione;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e denunciando l'esistenza di sanzioni civili e penali per la pubblicazione di contenuti illeciti;</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7.</w:t>
      </w:r>
      <w:r>
        <w:rPr>
          <w:sz w:val="21"/>
          <w:rFonts w:ascii="Times-Roman" w:hAnsi="Times-Roman"/>
        </w:rPr>
        <w:t xml:space="preserve"> </w:t>
      </w:r>
      <w:r>
        <w:rPr>
          <w:sz w:val="21"/>
          <w:rFonts w:ascii="Times-Roman" w:hAnsi="Times-Roman"/>
        </w:rPr>
        <w:t xml:space="preserve">Essi attuano azioni correttive interne che consentono:</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L’attore di una notifica del contenuto di cui al primo paragrafo di contestare la decisione presa dall’operatore in risposta a tale notifica;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L’utente che ha dato origine alla pubblicazione di contenuti oggetto di una decisione di cui al punto 6 (d), di contestare tale decisione;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Pr="004E021A" w:rsidRDefault="00317039" w:rsidP="00F54ECB">
      <w:pPr>
        <w:autoSpaceDE w:val="0"/>
        <w:autoSpaceDN w:val="0"/>
        <w:adjustRightInd w:val="0"/>
        <w:spacing w:after="0" w:line="240" w:lineRule="auto"/>
        <w:jc w:val="both"/>
        <w:rPr>
          <w:i/>
          <w:iCs/>
          <w:sz w:val="21"/>
          <w:szCs w:val="21"/>
          <w:rFonts w:ascii="Times-Italic" w:hAnsi="Times-Italic" w:cs="Times-Italic"/>
        </w:rPr>
      </w:pPr>
      <w:r>
        <w:rPr>
          <w:sz w:val="21"/>
          <w:rFonts w:ascii="Times-Roman" w:hAnsi="Times-Roman"/>
        </w:rPr>
        <w:t xml:space="preserve">(c) L’utente che è stato oggetto di una decisione di cui al punto 8, (a) o (b), di impugnare tale decisione.</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Questi devono garantire che tali sistemi siano facilmente accessibili e facili da usare, e consentano l’evasione adeguata e tempestiva dei ricorsi, che non si fondano esclusivamente sull’uso di mezzi automatizzati, informando senza indugio l'utente della decisione adottata e annullando senza indugio le misure relative al contenuto in questione o all'utilizzatore attuate dall'operatore quando il ricorso induce a ritenere che la decisione impugnata non fosse giustificata;</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8.</w:t>
      </w:r>
      <w:r>
        <w:rPr>
          <w:sz w:val="21"/>
          <w:rFonts w:ascii="Times-Roman" w:hAnsi="Times-Roman"/>
        </w:rPr>
        <w:t xml:space="preserve"> </w:t>
      </w:r>
      <w:r>
        <w:rPr>
          <w:sz w:val="21"/>
          <w:rFonts w:ascii="Times-Roman" w:hAnsi="Times-Roman"/>
        </w:rPr>
        <w:t xml:space="preserve">Nel decidere di applicare tali procedure, essi precisano nelle loro condizioni d’uso, in termini chiari e precisi, le procedure che portano 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La sospensione o, nei casi più gravi, la cessazione dell’account degli utenti che hanno caricato ripetutamente contenuti contrari alle disposizioni di cui al primo paragrafo del presente articolo;</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La sospensione dell'accesso al meccanismo di notifica degli utenti che hanno ripetutamente presentato notifiche manifestamente infondate relative ai contenuti di cui allo stesso primo paragrafo.</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All’atto dell’implementazione di tali procedure, viene effettuata un'analisi caso per caso volta a valutare obiettivamente l'esistenza del comportamento di cui alle lettere a o b del presente 8 e tiene conto in particolare: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il numero di contenuti illeciti di cui al primo paragrafo del presente articolo o di notifiche manifestamente infondate provenienti dall’utente nell'anno precedente, sia in termini assoluti che proporzionalmente al numero totale di contenuti o notifiche di cui è responsabile;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e la gravità e le conseguenze di questi abusi.</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All’atto dell’attuazione, tali procedure prevedono che le misure di cui al 8, (a) e (b), siano proporzionate, nella loro natura, alla gravità del comportamento in questione e, in caso di sospensione, siano pronunciate per un periodo di tempo ragionevole.</w:t>
      </w:r>
      <w:r>
        <w:rPr>
          <w:sz w:val="21"/>
          <w:rFonts w:ascii="Times-Roman" w:hAnsi="Times-Roman"/>
        </w:rPr>
        <w:t xml:space="preserve"> </w:t>
      </w:r>
      <w:r>
        <w:rPr>
          <w:sz w:val="21"/>
          <w:rFonts w:ascii="Times-Roman" w:hAnsi="Times-Roman"/>
        </w:rPr>
        <w:t xml:space="preserve">All’utente è dato un avvertimento e informazioni sui mezzi di ricorso nazionali e giudiziari disponibili;</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9.</w:t>
      </w:r>
      <w:r>
        <w:rPr>
          <w:sz w:val="21"/>
          <w:rFonts w:ascii="Times-Roman" w:hAnsi="Times-Roman"/>
        </w:rPr>
        <w:t xml:space="preserve"> </w:t>
      </w:r>
      <w:r>
        <w:rPr>
          <w:sz w:val="21"/>
          <w:rFonts w:ascii="Times-Roman" w:hAnsi="Times-Roman"/>
        </w:rPr>
        <w:t xml:space="preserve">Gli operatori di cui al primo paragrafo del presente articolo, con attività sul territorio francese che superano il numero di connessioni determinato con decreto e sono superiori a quelle menzionate nello stesso primo paragrafo:</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Devono effettuare una valutazione, su base annuale, dei rischi sistemici connessi al funzionamento e all’uso dei loro servizi per quanto riguarda la diffusione del contenuto di cui al primo paragrafo e in relazione alle violazioni dei diritti fondamentali, compresa la libertà di espressione.</w:t>
      </w:r>
      <w:r>
        <w:rPr>
          <w:sz w:val="21"/>
          <w:rFonts w:ascii="Times-Roman" w:hAnsi="Times-Roman"/>
        </w:rPr>
        <w:t xml:space="preserve"> </w:t>
      </w:r>
      <w:r>
        <w:rPr>
          <w:sz w:val="21"/>
          <w:rFonts w:ascii="Times-Roman" w:hAnsi="Times-Roman"/>
        </w:rPr>
        <w:t xml:space="preserve">Tale valutazione deve tenere conto delle caratteristiche di tali servizi, in particolare dei loro effetti sulla diffusione virale o sulla diffusione di massa dei suddetti contenuti;</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Devono attuare misure ragionevoli, efficaci e proporzionate, in particolare per quanto riguarda le caratteristiche dei loro servizi e l'entità e la gravità dei rischi individuati al termine della valutazione di cui al 9 (a), finalizzati ad attenuare i rischi di diffusione di tali contenuti, che possono riguardare in particolare le procedure e i mezzi umani e tecnologici utilizzati per individuare, identificare e trattare tali contenuti, evitando nel contempo i rischi di eliminazione ingiustificata ai sensi della legge applicabile e le loro condizioni d'uso;</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Riferire al pubblico, secondo le procedure e gli intervalli stabiliti dall’Alto Consiglio per le questioni audiovisive, la valutazione di tali rischi sistemici e le misure di attenuazione dei rischi attuate;</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(10) Gli operatori di cui al primo paragrafo riferiscono all’Alto Consiglio per le questioni audiovisive in merito alle procedure e ai mezzi utilizzati per l'applicazione del presente articolo, alle condizioni di cui all'articolo 62 della Legge 30 settembre 1986, n. 86-1067, di cui sopra.</w:t>
      </w:r>
      <w:r>
        <w:rPr>
          <w:sz w:val="21"/>
          <w:rFonts w:ascii="Times-Roman" w:hAnsi="Times-Roman"/>
        </w:rPr>
        <w:t xml:space="preserve"> </w:t>
      </w:r>
      <w:r>
        <w:rPr>
          <w:sz w:val="21"/>
          <w:rFonts w:ascii="Times-Roman" w:hAnsi="Times-Roman"/>
        </w:rPr>
        <w:t xml:space="preserve">”</w:t>
      </w:r>
    </w:p>
    <w:p w:rsidR="00317039" w:rsidRDefault="00317039"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w:t>
      </w:r>
      <w:r>
        <w:rPr>
          <w:sz w:val="21"/>
          <w:rFonts w:ascii="Times-Roman" w:hAnsi="Times-Roman"/>
        </w:rPr>
        <w:t xml:space="preserve"> </w:t>
      </w:r>
      <w:r>
        <w:rPr>
          <w:sz w:val="21"/>
          <w:rFonts w:ascii="Times-Roman" w:hAnsi="Times-Roman"/>
        </w:rPr>
        <w:t xml:space="preserve">— La Legge n. 86-1067 del 30 settembre 1986 relativa alla libertà di comunicazione è così modificata:</w:t>
      </w:r>
    </w:p>
    <w:p w:rsidR="00317039" w:rsidRDefault="00317039"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Nel terzo paragrafo dell’articolo 19 (I) (1) le parole:</w:t>
      </w:r>
      <w:r>
        <w:rPr>
          <w:sz w:val="21"/>
          <w:rFonts w:ascii="Times-Roman" w:hAnsi="Times-Roman"/>
        </w:rPr>
        <w:t xml:space="preserve"> </w:t>
      </w:r>
      <w:r>
        <w:rPr>
          <w:sz w:val="21"/>
          <w:rFonts w:ascii="Times-Roman" w:hAnsi="Times-Roman"/>
        </w:rPr>
        <w:t xml:space="preserve">“nonché le piattaforme di condivisione video" sono sostituite dalle parole:</w:t>
      </w:r>
      <w:r>
        <w:rPr>
          <w:sz w:val="21"/>
          <w:rFonts w:ascii="Times-Roman" w:hAnsi="Times-Roman"/>
        </w:rPr>
        <w:t xml:space="preserve"> </w:t>
      </w:r>
      <w:r>
        <w:rPr>
          <w:sz w:val="21"/>
          <w:rFonts w:ascii="Times-Roman" w:hAnsi="Times-Roman"/>
        </w:rPr>
        <w:t xml:space="preserve">“, piattaforme di condivisione di video e operatori di piattaforme online di cui all'articolo 62";</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Nel primo paragrafo dell’articolo 42-7 il riferimento:</w:t>
      </w:r>
      <w:r>
        <w:rPr>
          <w:sz w:val="21"/>
          <w:rFonts w:ascii="Times-Roman" w:hAnsi="Times-Roman"/>
        </w:rPr>
        <w:t xml:space="preserve"> </w:t>
      </w:r>
      <w:r>
        <w:rPr>
          <w:sz w:val="21"/>
          <w:rFonts w:ascii="Times-Roman" w:hAnsi="Times-Roman"/>
        </w:rPr>
        <w:t xml:space="preserve">“e 48-3” deve essere sostituito dai riferimenti:</w:t>
      </w:r>
      <w:r>
        <w:rPr>
          <w:sz w:val="21"/>
          <w:rFonts w:ascii="Times-Roman" w:hAnsi="Times-Roman"/>
        </w:rPr>
        <w:t xml:space="preserve"> </w:t>
      </w:r>
      <w:r>
        <w:rPr>
          <w:sz w:val="21"/>
          <w:rFonts w:ascii="Times-Roman" w:hAnsi="Times-Roman"/>
        </w:rPr>
        <w:t xml:space="preserve">“, 48-3 e 62”;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3.</w:t>
      </w:r>
      <w:r>
        <w:rPr>
          <w:sz w:val="21"/>
          <w:rFonts w:ascii="Times-Roman" w:hAnsi="Times-Roman"/>
        </w:rPr>
        <w:t xml:space="preserve"> </w:t>
      </w:r>
      <w:r>
        <w:rPr>
          <w:sz w:val="21"/>
          <w:rFonts w:ascii="Times-Roman" w:hAnsi="Times-Roman"/>
        </w:rPr>
        <w:t xml:space="preserve">Il titolo IV viene integrato dal capitolo III, che recita come segue:</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i/>
          <w:iCs/>
          <w:sz w:val="21"/>
          <w:szCs w:val="21"/>
          <w:rFonts w:ascii="Times-Italic" w:hAnsi="Times-Italic" w:cs="Times-Italic"/>
        </w:rPr>
      </w:pPr>
      <w:r>
        <w:rPr>
          <w:i/>
          <w:rFonts w:ascii="Times-Italic" w:hAnsi="Times-Italic"/>
        </w:rPr>
        <w:t xml:space="preserve">“CAPITOLO III</w:t>
      </w:r>
    </w:p>
    <w:p w:rsidR="00F54ECB" w:rsidRDefault="00F54ECB"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b/>
          <w:bCs/>
          <w:i/>
          <w:iCs/>
          <w:sz w:val="21"/>
          <w:szCs w:val="21"/>
          <w:rFonts w:ascii="Times-BoldItalic" w:hAnsi="Times-BoldItalic" w:cs="Times-BoldItalic"/>
        </w:rPr>
      </w:pPr>
      <w:r>
        <w:rPr>
          <w:b/>
          <w:i/>
          <w:sz w:val="21"/>
          <w:rFonts w:ascii="Times-BoldItalic" w:hAnsi="Times-BoldItalic"/>
        </w:rPr>
        <w:t xml:space="preserve">Disposizioni applicabili alle piattaforme online per contrastare i contenuti di incitamento all'odio</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Pr>
        <w:t xml:space="preserve">Articolo 62.</w:t>
      </w:r>
      <w:r>
        <w:rPr>
          <w:sz w:val="21"/>
          <w:i/>
          <w:rFonts w:ascii="Times-Italic" w:hAnsi="Times-Italic"/>
        </w:rPr>
        <w:t xml:space="preserve"> </w:t>
      </w:r>
      <w:r>
        <w:rPr>
          <w:sz w:val="21"/>
          <w:rFonts w:ascii="Times-Roman" w:hAnsi="Times-Roman"/>
        </w:rPr>
        <w:t xml:space="preserve">- I. - L’Alto Consiglio per le questioni audiovisive garantisce che gli operatori della piattaforma online di cui all’articolo 6-5, primo paragrafo, della Legge 21 giugno 2004, n. 2004-575, relativa alla fiducia nell’economia digitale, rispettino le disposizioni dello stesso articolo 6-5, tenendo conto, per quanto riguarda ciascuno dei servizi da essi offerti, delle caratteristiche del servizio e dell’adeguatezza dei mezzi utilizzati dall’operatore per quanto riguarda, in particolare, la portata e la gravità dei rischi di diffusione del contenuto di cui all’articolo 6-5 e dell’eliminazione ingiustificata ai sensi della legislazione vigente e delle condizioni di utilizzo.</w:t>
      </w:r>
      <w:r>
        <w:rPr>
          <w:sz w:val="21"/>
          <w:rFonts w:ascii="Times-Roman" w:hAnsi="Times-Roman"/>
        </w:rPr>
        <w:t xml:space="preserve"> </w:t>
      </w:r>
      <w:r>
        <w:rPr>
          <w:sz w:val="21"/>
          <w:rFonts w:ascii="Times-Roman" w:hAnsi="Times-Roman"/>
        </w:rPr>
        <w:t xml:space="preserve">Essa deve fornire agli operatori della piattaforma gli orientamenti per l'applicazione dello stesso articolo 6-5.</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02A14">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Essa deve raccogliere presso tali operatori, alle condizioni di cui all’articolo 19 della presente Legge, le informazioni necessarie al controllo dei loro obblighi.</w:t>
      </w:r>
      <w:r>
        <w:rPr>
          <w:sz w:val="21"/>
          <w:rFonts w:ascii="Times-Roman" w:hAnsi="Times-Roman"/>
        </w:rPr>
        <w:t xml:space="preserve"> </w:t>
      </w:r>
      <w:r>
        <w:rPr>
          <w:sz w:val="21"/>
          <w:rFonts w:ascii="Times-Roman" w:hAnsi="Times-Roman"/>
        </w:rPr>
        <w:t xml:space="preserve">In quanto tali, gli operatori di cui all’articolo 6-5 (9) della Legge 21 giugno 2004, n. 2004-575, consentono di accedere ai principi di funzionamento degli strumenti automatizzati utilizzati per adempiere a tali obblighi, ai parametri utilizzati da tali strumenti, alle modalità e ai dati utilizzati per la valutazione e il miglioramento delle loro prestazioni, nonché a qualsiasi altra informazione o dato che gli consenta di valutarne l’efficacia, nel rispetto delle disposizioni relative alla protezione dei dati personali.</w:t>
      </w:r>
      <w:r>
        <w:rPr>
          <w:sz w:val="21"/>
          <w:rFonts w:ascii="Times-Roman" w:hAnsi="Times-Roman"/>
        </w:rPr>
        <w:t xml:space="preserve"> </w:t>
      </w:r>
      <w:r>
        <w:rPr>
          <w:sz w:val="21"/>
          <w:rFonts w:ascii="Times-Roman" w:hAnsi="Times-Roman"/>
        </w:rPr>
        <w:t xml:space="preserve">Conformemente a tali disposizioni, l’Alto Consiglio per le questioni audiovisive può inviare richieste proporzionate di accesso, attraverso interfacce di programmazione dedicate, a tutti i dati pertinenti per valutarne l'efficacia.</w:t>
      </w:r>
      <w:r>
        <w:rPr>
          <w:sz w:val="21"/>
          <w:rFonts w:ascii="Times-Roman" w:hAnsi="Times-Roman"/>
        </w:rPr>
        <w:t xml:space="preserve"> </w:t>
      </w:r>
      <w:r>
        <w:rPr>
          <w:sz w:val="21"/>
          <w:rFonts w:ascii="Times-Roman" w:hAnsi="Times-Roman"/>
        </w:rPr>
        <w:t xml:space="preserve">Nel rispetto di tali disposizioni e per gli stessi scopi, l’Alto Consiglio per le questioni audiovisive può applicare metodi proporzionati per la raccolta automatizzata di dati accessibili al pubblico al fine di accedere ai dati necessari.</w:t>
      </w:r>
    </w:p>
    <w:p w:rsidR="00317039" w:rsidRPr="00196BE6" w:rsidRDefault="00317039" w:rsidP="00196BE6">
      <w:pPr>
        <w:autoSpaceDE w:val="0"/>
        <w:autoSpaceDN w:val="0"/>
        <w:adjustRightInd w:val="0"/>
        <w:spacing w:after="0" w:line="240" w:lineRule="auto"/>
        <w:jc w:val="both"/>
        <w:rPr>
          <w:rFonts w:ascii="Times-Roman" w:hAnsi="Times-Roman" w:cs="Times-Roman"/>
          <w:sz w:val="21"/>
          <w:szCs w:val="21"/>
        </w:rPr>
      </w:pPr>
    </w:p>
    <w:p w:rsidR="006522CF" w:rsidRDefault="001048BC"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Essa definisce le informazioni e gli indicatori quantificati che tali operatori sono tenuti a pubblicare a norma dell’articolo 6-5 (4), nonché le modalità e gli intervalli della presente pubblicazione.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Essa pubblica annualmente un riesame dell'applicazione delle disposizioni dell'articolo 6-5.</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w:t>
      </w:r>
      <w:r>
        <w:rPr>
          <w:sz w:val="21"/>
          <w:rFonts w:ascii="Times-Roman" w:hAnsi="Times-Roman"/>
        </w:rPr>
        <w:t xml:space="preserve"> </w:t>
      </w:r>
      <w:r>
        <w:rPr>
          <w:sz w:val="21"/>
          <w:rFonts w:ascii="Times-Roman" w:hAnsi="Times-Roman"/>
        </w:rPr>
        <w:t xml:space="preserve">- L’Alto Consiglio per le questioni audiovisive può esortare gli operatori a conformarsi, mediante presentazione di una costituzione in mora ed entro il termine da esso stabilito, alle disposizioni dell'articolo 6-5 della Legge 21 giugno 2004, n. 2004-575.</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Nel caso in cui l’operatore non si conformi alla comunicazione ricevuta, l’Alto Consiglio per le questioni audiovisive può, alle condizioni di cui all’articolo 42-7 della presente legge, emettere un’ammenda il cui importo tiene conto della gravità della non conformità e, se del caso, della sua natura ripetuta, non superiore a 20 milioni di euro o al 6% del fatturato annuo totale dell'anno precedente, se superiore.</w:t>
      </w:r>
      <w:r>
        <w:rPr>
          <w:sz w:val="21"/>
          <w:rFonts w:ascii="Times-Roman" w:hAnsi="Times-Roman"/>
        </w:rPr>
        <w:t xml:space="preserve"> </w:t>
      </w:r>
      <w:r>
        <w:rPr>
          <w:sz w:val="21"/>
          <w:rFonts w:ascii="Times-Roman" w:hAnsi="Times-Roman"/>
        </w:rPr>
        <w:t xml:space="preserve">Qualora la stessa violazione sia stata oggetto, in un altro Stato, di una sanzione pecuniaria calcolata sulla stessa base, l'importo di tale sanzione viene preso in considerazione per determinare la sanzione irrogata ai sensi del presente paragrafo.</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In deroga al secondo paragrafo del presente II, in caso di rifiuto di divulgare le informazioni richieste dall’autorità di regolamentazione ai sensi del secondo paragrafo dell’I, o in caso di comunicazione di informazioni false o fuorvianti, l’importo della sanzione non può superare l’1% del fatturato totale annuo mondiale dell’esercizio precedente.</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L’Alto Consiglio per le questioni audiovisive può rendere pubbliche le notifiche e le sanzioni imposte.</w:t>
      </w:r>
      <w:r>
        <w:rPr>
          <w:sz w:val="21"/>
          <w:rFonts w:ascii="Times-Roman" w:hAnsi="Times-Roman"/>
        </w:rPr>
        <w:t xml:space="preserve"> </w:t>
      </w:r>
      <w:r>
        <w:rPr>
          <w:sz w:val="21"/>
          <w:rFonts w:ascii="Times-Roman" w:hAnsi="Times-Roman"/>
        </w:rPr>
        <w:t xml:space="preserve">Essa stabilisce, nella sua decisione, i dettagli di tale pubblicazione, che sono proporzionati alla gravità della violazione.</w:t>
      </w:r>
      <w:r>
        <w:rPr>
          <w:sz w:val="21"/>
          <w:rFonts w:ascii="Times-Roman" w:hAnsi="Times-Roman"/>
        </w:rPr>
        <w:t xml:space="preserve"> </w:t>
      </w:r>
      <w:r>
        <w:rPr>
          <w:sz w:val="21"/>
          <w:rFonts w:ascii="Times-Roman" w:hAnsi="Times-Roman"/>
        </w:rPr>
        <w:t xml:space="preserve">Essa può inoltre ordinare l'inserimento della sua decisione in pubblicazioni, giornali e mezzi di comunicazione designati a spese degli operatori soggetti alla costituzione o alla sanzione.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Le ammende sono riscosse come debiti non fiscali e non immobiliari dovuti allo Stato.</w:t>
      </w:r>
      <w:r>
        <w:rPr>
          <w:sz w:val="21"/>
          <w:rFonts w:ascii="Times-Roman" w:hAnsi="Times-Roman"/>
        </w:rPr>
        <w:t xml:space="preserve"> </w:t>
      </w:r>
      <w:r>
        <w:rPr>
          <w:sz w:val="21"/>
          <w:rFonts w:ascii="Times-Roman" w:hAnsi="Times-Roman"/>
        </w:rPr>
        <w:t xml:space="preserv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4° Dopo la parola:</w:t>
      </w:r>
      <w:r>
        <w:rPr>
          <w:sz w:val="21"/>
          <w:rFonts w:ascii="Times-Roman" w:hAnsi="Times-Roman"/>
        </w:rPr>
        <w:t xml:space="preserve"> </w:t>
      </w:r>
      <w:r>
        <w:rPr>
          <w:sz w:val="21"/>
          <w:rFonts w:ascii="Times-Roman" w:hAnsi="Times-Roman"/>
        </w:rPr>
        <w:t xml:space="preserve">“risultante”, la fine dell'articolo 108, primo paragrafo, recita come segue:</w:t>
      </w:r>
      <w:r>
        <w:rPr>
          <w:sz w:val="21"/>
          <w:rFonts w:ascii="Times-Roman" w:hAnsi="Times-Roman"/>
        </w:rPr>
        <w:t xml:space="preserve"> </w:t>
      </w:r>
      <w:r>
        <w:rPr>
          <w:sz w:val="21"/>
          <w:rFonts w:ascii="Times-Roman" w:hAnsi="Times-Roman"/>
        </w:rPr>
        <w:t xml:space="preserve">“dalla legge n.     del      consolidamento del rispetto dei principi della Repubblica.</w:t>
      </w:r>
      <w:r>
        <w:rPr>
          <w:sz w:val="21"/>
          <w:rFonts w:ascii="Times-Roman" w:hAnsi="Times-Roman"/>
        </w:rPr>
        <w:t xml:space="preserve"> </w:t>
      </w:r>
      <w:r>
        <w:rPr>
          <w:sz w:val="21"/>
          <w:rFonts w:ascii="Times-Roman" w:hAnsi="Times-Roman"/>
        </w:rPr>
        <w:t xml:space="preserve">”</w:t>
      </w:r>
    </w:p>
    <w:p w:rsidR="00317039" w:rsidRPr="00196BE6" w:rsidRDefault="00317039" w:rsidP="00196BE6">
      <w:pPr>
        <w:autoSpaceDE w:val="0"/>
        <w:autoSpaceDN w:val="0"/>
        <w:adjustRightInd w:val="0"/>
        <w:spacing w:after="0" w:line="240" w:lineRule="auto"/>
        <w:jc w:val="both"/>
        <w:rPr>
          <w:rFonts w:ascii="Times-Roman" w:hAnsi="Times-Roman" w:cs="Times-Roman"/>
          <w:sz w:val="21"/>
          <w:szCs w:val="21"/>
        </w:rPr>
      </w:pPr>
    </w:p>
    <w:p w:rsidR="006522CF" w:rsidRPr="00F54ECB"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III.</w:t>
      </w:r>
      <w:r>
        <w:rPr>
          <w:sz w:val="21"/>
          <w:rFonts w:ascii="Times-Roman" w:hAnsi="Times-Roman"/>
        </w:rPr>
        <w:t xml:space="preserve"> </w:t>
      </w:r>
      <w:r>
        <w:rPr>
          <w:sz w:val="21"/>
          <w:rFonts w:ascii="Times-Roman" w:hAnsi="Times-Roman"/>
        </w:rPr>
        <w:t xml:space="preserve">— Le disposizioni del presente articolo si applicano fino al 31 dicembre 2023.</w:t>
      </w:r>
    </w:p>
    <w:sectPr w:rsidR="006522CF" w:rsidRPr="00F54E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Italic">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Bold">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imes-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FF1FF0"/>
    <w:multiLevelType w:val="hybridMultilevel"/>
    <w:tmpl w:val="70DE856A"/>
    <w:lvl w:ilvl="0" w:tplc="73F84A00">
      <w:start w:val="1"/>
      <w:numFmt w:val="lowerLetter"/>
      <w:lvlText w:val="%1)"/>
      <w:lvlJc w:val="left"/>
      <w:pPr>
        <w:ind w:left="720" w:hanging="360"/>
      </w:pPr>
      <w:rPr>
        <w:rFonts w:ascii="Times-Italic" w:hAnsi="Times-Italic" w:cs="Times-Italic"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dirty" w:grammar="dirty"/>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28D"/>
    <w:rsid w:val="001048BC"/>
    <w:rsid w:val="00134B73"/>
    <w:rsid w:val="00196BE6"/>
    <w:rsid w:val="00317039"/>
    <w:rsid w:val="00485A93"/>
    <w:rsid w:val="004E021A"/>
    <w:rsid w:val="006522CF"/>
    <w:rsid w:val="00694BF3"/>
    <w:rsid w:val="00994AE4"/>
    <w:rsid w:val="009C128D"/>
    <w:rsid w:val="00F02A14"/>
    <w:rsid w:val="00F54ECB"/>
    <w:rsid w:val="00FD5A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122478-4E01-4C1D-9BE7-99AC4826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E021A"/>
    <w:pPr>
      <w:ind w:left="720"/>
      <w:contextualSpacing/>
    </w:pPr>
  </w:style>
  <w:style w:type="paragraph" w:styleId="Textedebulles">
    <w:name w:val="Balloon Text"/>
    <w:basedOn w:val="Normal"/>
    <w:link w:val="TextedebullesCar"/>
    <w:uiPriority w:val="99"/>
    <w:semiHidden/>
    <w:unhideWhenUsed/>
    <w:rsid w:val="00F02A1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2A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2964</Words>
  <Characters>16308</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19234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RUBIN Chantal</dc:creator>
  <cp:keywords/>
  <dc:description/>
  <cp:lastModifiedBy>SOURY-LAVERGNE Blaise</cp:lastModifiedBy>
  <cp:revision>6</cp:revision>
  <dcterms:created xsi:type="dcterms:W3CDTF">2021-03-12T11:39:00Z</dcterms:created>
  <dcterms:modified xsi:type="dcterms:W3CDTF">2021-03-12T12:08:00Z</dcterms:modified>
</cp:coreProperties>
</file>