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ΓΑΛΛΙΚΗ ΔΗΜΟΚΡΑΤΙΑ</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Υπουργείο Αλληλεγγύης και Υγείας</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Διάταξη της 10ης Απριλίου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για την τροποποίηση του διατάγματος της 10ης Ιουλίου 2020 για τη θέσπιση των οργανωτικών και λειτουργικών μέτρων του συστήματος υγείας που απαιτούνται για την αντιμετώπιση της επιδημίας COVID-19 στο πλαίσιο της κατάστασης έκτακτης υγειονομικής ανάγκης</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ΑΡΙΘ. ΑΝΑΦΟΡΑΣ:</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Ο Υπουργός Αλληλεγγύης και Υγείας,</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ιδίως την κοινοποίηση αριθ.……………….,</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έχοντας υπόψη τον κοινωνικό και οικογενειακό κώδικα·</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έχοντας υπόψη τον κώδικα δημόσιας υγείας, και ιδίως το άρθρο</w:t>
      </w:r>
      <w:r>
        <w:t xml:space="preserve"> </w:t>
      </w:r>
      <w:r>
        <w:rPr>
          <w:rFonts w:ascii="Times New Roman" w:hAnsi="Times New Roman"/>
          <w:sz w:val="24"/>
        </w:rPr>
        <w:t>L3131-16·</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έχοντας υπόψη τον κώδικα κοινωνικής ασφάλισης·</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έχοντας υπόψη το νόμο αριθ. 2020-734, της 17ης Ιουνίου 2020, σχετικά με τις διάφορες διατάξεις που αφορούν την υγειονομική κρίση, άλλα επείγοντα μέτρα και την απόσυρση του Ηνωμένου Βασιλείου από την Ευρωπαϊκή Ένωση, όπως τροποποιήθηκε, και ιδίως το άρθρο 23·</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έχοντας υπόψη τον νόμο αριθ. 2020-1379, της 14ης Νοεμβρίου 2020, που επιτρέπει την παράταση της κατάστασης έκτακτης υγειονομικής ανάγκης και τον καθορισμό διαφόρων μέτρων για τη διαχείριση της υγειονομικής κρίσης, όπως τροποποιήθηκε·</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έχοντας υπόψη το διάταγμα αριθ. 2020-1257 της 14ης Οκτωβρίου 2020 που κηρύσσει την κατάσταση έκτακτης ανάγκης στον τομέα της υγείας·</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έχοντας υπόψη το διάταγμα αριθ. 2020-1262, της 29ης Οκτωβρίου 2020, για τον καθορισμό των γενικών μέτρων που απαιτούνται για την αντιμετώπιση της επιδημίας COVID-19 στο πλαίσιο της κατάστασης έκτακτης ανάγκης στον τομέα της υγείας, όπως τροποποιήθηκε·</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t>έχοντας υπόψη το διάταγμα</w:t>
      </w:r>
      <w:r>
        <w:t xml:space="preserve"> </w:t>
      </w:r>
      <w:r>
        <w:rPr>
          <w:rFonts w:ascii="Times New Roman" w:hAnsi="Times New Roman"/>
          <w:sz w:val="24"/>
        </w:rPr>
        <w:t>αριθ. 2020-1310, της 29ης Οκτωβρίου 2020, για τον καθορισμό των γενικών μέτρων που απαιτούνται για την αντιμετώπιση της επιδημίας COVID-19 στο πλαίσιο της κατάστασης έκτακτης υγειονομικής ανάγκης, όπως τροποποιήθηκε·</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έχοντας υπόψη το διάταγμα, της 10ης Ιουλίου 2020, για τη θέσπιση των οργανωτικών και λειτουργικών μέτρων συστήματος υγείας που είναι αναγκαία για την αντιμετώπιση της επιδημίας COVID-19 στο πλαίσιο της κατάστασης έκτακτης υγειονομικής ανάγκης, όπως τροποποιήθηκε·</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έχοντας υπόψη τη γνωμοδότηση του Συμβουλίου της Γαλλικής Υγειονομικής Αρχής σχετικά με την ταχεία δοκιμασία αντιγόνων του SARS-CoV-2 στα ρινικά επιχρίσματα (TDR, TROD και δοκιμές αυτοελέγχου) της            15ης Μαρτίου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εκτιμώντας ότι τα στρατιωτικά νοσοκομεία φροντίζουν τους ασθενείς που πάσχουν από COVID-19 υπό τους ίδιους όρους με τα υγειονομικά ιδρύματα και, ως εκ τούτου, επιβαρύνονται με δαπάνες για παροχές που δεν περιλαμβάνονται στο πακέτο περίθαλψης που απαιτούν πρόσθετες επιβαρύνσεις·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εκτιμώντας ότι ο εμβολιασμός κατά του SARS-CoV-2 είναι απαραίτητος για τον περιορισμό της επιδημίας και ότι οι ιδιαίτερες προϋποθέσεις για την εφαρμογή αυτού του εμβολιασμού, στον οποίο συμμετέχουν στρατιωτικά νοσοκομεία, απαιτούν, όπως και για τα υγειονομικά ιδρύματα, την πρόβλεψη ειδικών αποδοχών για τα νοσοκομεία αυτά·</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εκτιμώντας ότι είναι αναγκαίο να επικαιροποιηθούν και να εναρμονιστούν οι αμοιβές που προτείνονται σύμφωνα με τη διεύρυνση του καταλόγου των επαγγελματιών υγείας, των φοιτητών υγειονομικής περίθαλψης και άλλων επαγγελματιών που μπορούν να παρέμβουν για τη συνταγογράφηση, τη χορήγηση ή/και την ένεση εμβολίων κατά της επιδημίας COVID και τον τρόπο με τον οποίο μπορούν να εφαρμόσουν τις εν λόγω διαδικασίες·</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εκτιμώντας ότι η απλότητα εφαρμογής των δοκιμών αυτοελέγχου, η οποία δεν απαιτεί την παρουσία επαγγελματιών υγείας, ενώ απαιτεί την υποστήριξη, και τη λιγότερο παρεμβατική μέθοδο λήψης επιχρίσματος, θα καταστήσει δυνατή την πραγματοποίηση περισσότερων συχνών δοκιμών. Σε αυτό το σημείο είναι σκόπιμο να καθοριστούν οι όροι διανομής και χρήσης των εν λόγω δοκιμών·εκτιμώντας: ότι, επιπλέον, πρέπει να καθοριστούν οι προδιαγραφές των τιμών πώλησης, ώστε να εξασφαλιστεί η πρόσβαση των δοκιμών στον γενικό πληθυσμό και να προβλεφθεί η ελεύθερη διαθεσιμότητα τους για ορισμένες κατηγορίες ατόμων που το απαιτούν· εκτιμώντας, τέλος, ότι είναι αναγκαίο να καθοριστούν οι προϋποθέσεις για την κάλυψη της από την ασφάλιση ασθενείας για ορισμένες κατηγορίες ατόμων·</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εκτιμώντας ότι για τη διανομή αυτών των δοκιμών αυτοελέγχου με φαρμακευτική συμβουλή, είναι απαραίτητο να περιοριστεί η διανομή της σε φαρμακεία και να απαγορευτεί η πώληση μέσω διαδικτύου·εκτιμώντας ότι, για να εξασφαλιστεί η αξιόπιστη πληροφόρηση, η διαφήμιση πρέπει να συμμορφώνεται με τις προδιαγραφές που καθορίζονται από τον Εθνικό Οργανισμό για την Ασφάλεια των Φαρμάκων και των Υγειονομικών Προϊόντων και η διαφήμιση που προορίζεται για το ευρύ κοινό πρέπει να υπόκειται στην προηγούμενη έγκριση του εν λόγω οργανισμού και να περιορίζεται στα φαρμακεία·</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lastRenderedPageBreak/>
        <w:t>εκτιμώντας ότι η κινητοποίηση των κλινικών εργαστηρίων για τον έλεγχο της επιδημίας είναι ασυμβίβαστη με την προετοιμασία των φακέλων διαπίστευσης έως την 1η Μαΐου 2021· εκτιμώντας: ότι η ημερομηνία αυτή πρέπει να παραταθεί έως την 1η Νοεμβρίου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Ορίζει τα εξής δια του παρόντος:</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Άρθρο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Η προαναφερθείσα διάταξη της 10ης Ιουλίου 2020 τροποποιείται ως εξής:</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t>1. Μετά το άρθρο 16 σημείο IV, προστίθεται ένα V με την ακόλουθη διατύπωση:</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Σύμφωνα με τις διατάξεις των I, II και III του παρόντος άρθρου, τα στρατιωτικά νοσοκομεία θεωρούνται ως ιδρύματα υγειονομικής περίθαλψης. Για τα νοσοκομεία αυτά, το ταμείο που αναφέρεται στο III είναι το Εθνικό Στρατιωτικό Ταμείο Κοινωνικής Ασφάλισης που αναφέρεται στο άρθρο L174-15 του κώδικα κοινωνικής ασφάλισης.».</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Το άρθρο 18-1 τροποποιείται ως εξής:</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Α) Στο δεύτερο εδάφιο του VI, η λέξη «νοσηλευτές» αντικαθίστανται από τις λέξεις: «επαγγελματίες υγείας πλην των ιατρών» και στην πέμπτη υποπαράγραφο του ιδίου VI, οι λέξεις «νοσηλευτές» αντικαθίστανται από τις λέξεις: «επαγγελματίες υγείας πλην των ιατρών»·</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Β) Το σημείο VI συμπληρώνεται από μία υποπαράγραφο που έχει ως εξής:</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«Σύμφωνα με το παρόν σημείο VI, τα στρατιωτικά νοσοκομεία θεωρούνται ιδρύματα υγειονομικής περίθαλψης. Η γραμμή εμβολιασμού ορίζεται για τα νοσοκομεία αυτά ως σύνολο ιατρών, νοσηλευτών, σπουδαστών και προσωπικού υποστήριξης, οι οποίοι κινητοποιούνται για την πραγματοποίηση εμβολιασμών εντός του κέντρου εμβολιασμού για διάρκεια τεσσάρων ωρών.».</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γ) Στο σημείο VII, οι λέξεις «γιατροί» αντικαθίστανται από τις λέξεις: «ιδιωτικοί επαγγελματίες υγείας εξουσιοδοτημένοι να χρεώνουν για την πράξη της έγχυσης του εμβολίου κατά της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Ο πίνακας που επισυνάπτεται στο άρθρο 18-1 αντικαθίσταται από τον πίνακα που επισυνάπτεται στο παρόν διάταγμα·</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Το άρθρο 26-2 τροποποιείται ως εξής:</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α) Στη δεύτερη πρόταση της πρώτης υποπαραγράφου του σημείου Ι, η φράση «μπορεί να οργανωθεί από» αντικαθίσταται από τη φράση «μπορεί να οργανωθεί μόνο από»·</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β) Στην πρώτη, δεύτερη και τέταρτη υποπαράγραφο της παραγράφου II, μετά τις λέξεις «με δοκιμή αυτοελέγχου» προστίθενται οι λέξεις «σε ρινικά επιχρίσματα»·</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γ) Πριν από την τελευταία υποπαράγραφο της παραγράφου II, παρεμβάλλεται μία υποπαράγραφος ως εξής: «Οι φαρμακοποιοί μπορούν να συμβουλεύουν, να διανέμουν και να </w:t>
      </w:r>
      <w:r>
        <w:rPr>
          <w:rFonts w:ascii="Times New Roman" w:hAnsi="Times New Roman"/>
          <w:sz w:val="24"/>
        </w:rPr>
        <w:lastRenderedPageBreak/>
        <w:t>πωλούν στο φαρμακείο τους, ιατροτεχνολογικές συσκευές διάγνωσης in vitro που προορίζονται για τη διεξαγωγή δοκιμών αυτοελέγχου για την αντιγονική ανίχνευση του ιού SARS-CoV-2 σε ρινικά επιχρίσματα που περιλαμβάνονται στον κατάλογο που αναφέρεται στην τέταρτη υποπαράγραφο της παρούσης παραγράφου ΙΙ. Οι συγκεκριμένες ιατροτεχνολογικές συσκευές προορίζονται για ασυμπτωματικά άτομα ηλικίας άνω των δεκαπέντε ετών, και μόνο για προσωπική χρήση.»·</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δ)</w:t>
      </w:r>
      <w:r>
        <w:t xml:space="preserve"> </w:t>
      </w:r>
      <w:r>
        <w:rPr>
          <w:rFonts w:ascii="Times New Roman" w:hAnsi="Times New Roman"/>
          <w:sz w:val="24"/>
        </w:rPr>
        <w:t xml:space="preserve"> Στη δεύτερη πρόταση της τελευταίας υποπαραγράφου της παραγράφου ΙΙ, η φράση «μπορεί να οργανωθεί από» αντικαθίσταται από τη φράση: «μπορεί να οργανωθεί μόνο από»·</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ε) Οι παράγραφοι IV, V, VI, VII και VIII προστίθενται ως εξής:</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Οι δοκιμές αυτοελέγχου για την αντιγονική ανίχνευση του SARS-CoV-2 σε ρινικά επιχρίσματα που αναφέρονται στην παράγραφο II παρέχονται δωρεάν από φαρμακοποιούς φαρμακείων, τα οποία είναι ανοικτά στο κοινό για τα άτομα που υπάγονται στις ακόλουθες κατηγορίες:</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μισθωτοί εργαζόμενοι των ακόλουθων υπηρεσιών κατ’ οίκον που εργάζονται με ηλικιωμένους ή άτομα με αναπηρία: υπηρεσία οικιακής βοήθειας και υποστήριξης (SAAD), υπηρεσία οικιακής βοήθειας και φροντίδας για ηλικιωμένους ή/και ενήλικες με αναπηρία (SPASAD), υπηρεσία οικιακής περίθαλψης (SSIAD), υπηρεσία κοινωνικής υποστήριξης (SAV), ιατρική υπηρεσία κοινωνικής υποστήριξης για ενήλικες με αναπηρία (SAMSAH), υπηρεσία ειδικής εκπαίδευσης και κατ’ οίκον περίθαλψης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μισθωτοί εργαζόμενοι ιδιωτικής ασφάλισης που εργάζονται με ηλικιωμένα άτομα ή άτομα με αναπηρίες για βασικές καθημερινές εργασίες·</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φροντιστές οικογενειών που αναφέρονται στο άρθρο L441-1 του Κώδικα Κοινωνικής Δράσης και Οικογένειας που συνοδεύουν ηλικιωμένα άτομα ή άτομα με αναπηρία.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«Η ελεύθερη χορήγηση των δοκιμών αυτοελέγχου παρέχεται με την προσκόμιση της απόδειξης από τον επαγγελματία και αμείβεται από τον φαρμακοποιό σύμφωνα με τις διαδικασίες που καθορίζονται στον πίνακα που επισυνάπτεται στο παρόν άρθρο.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«Για τους σκοπούς της παρούσας παραγράφου IV, το ποσό της αγοράς και της χορήγησης δοκιμών αυτοελέγχου από φαρμακεία ανοικτά στο κοινό επιστρέφεται και καταβάλλεται από την ασφάλιση υγείας σύμφωνα με τις διαδικασίες που καθορίζονται στον πίνακα 1 που επισυνάπτεται στο παρόν άρθρο και, κατά περίπτωση, μετά την εφαρμογή συντελεστή προσαύξησης που αναφέρεται στον πίνακα 2 του ίδιου παραρτήματος.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Κατά την διανομή ή την πώληση αυτών των συσκευών, οι φαρμακοποιοί υποβάλλουν τις οδηγίες χρήσης που είναι προσβάσιμες στην ιστοσελίδα του Υπουργείου Υγείας.</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Η λιανική πώληση και διανομή ιατροτεχνολογικών συσκευών διάγνωσης in vitro για την ανίχνευση αντιγόνων του ιού SARS-CoV-2 μέσω δοκιμών αυτοελέγχου που προορίζονται για τα φαρμακεία σύμφωνα με το άρθρο L4211-1 του κώδικα δημόσιας υγείας δεν μπορεί να αποτελέσει αντικείμενο δραστηριότητας ηλεκτρονικού εμπορίου που αναφέρεται στο άρθρο L5125-33 του ίδιου κώδικα.</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«VII. – Οι τιμές πώλησης των ιατροτεχνολογικών συσκευών διάγνωσης in vitro για την ανίχνευση αντιγόνων του ιού μέσω δοκιμών αυτοελέγχου δεν μπορούν να υπερβαίνουν, ανά δοκιμή και όλους τους φόρους που περιλαμβάνονται, 6,00 EUR έως τις 15 Μαΐου, ή 5,20 EUR στη συνέχεια.</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«Οι τιμές χονδρικής πώλησης που προορίζονται για τη μεταπώληση των προϊόντων που αναφέρονται στην προηγούμενη υποπαράγραφο δεν μπορούν να υπερβαίνουν, ανά δοκιμή και όλους τους φόρους που περιλαμβάνονται, 4,70 EUR έως τις 15 Μαΐου ή 3,70 EUR στη συνέχεια.</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Κατά παρέκκλιση από τις διατάξεις των άρθρων L5223-2 και L5223-3 του κώδικα δημόσιας υγείας, η διαφήμιση όλων των δοκιμών αυτοελέγχου για την ανίχνευση αντιγόνων του ιού SARS-CoV-2 σε ρινικά επιχρίσματα που περιλαμβάνονται στον κατάλογο που δημοσιεύεται στην ιστοσελίδα του Υπουργείου Υγείας υπόκειται στις ακόλουθες διατάξεις:</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Η διαφήμιση που απευθύνεται στο ευρύ κοινό υπόκειται σε προηγούμενη άδεια που εκδίδεται από τον Εθνικό Οργανισμό για την Ασφάλεια των Φαρμακευτικών και Υγειονομικών Προϊόντων που προβλέπεται στα άρθρα L5223-3 και επ. του κώδικα δημόσιας υγείας σύμφωνα με τους όρους και τις διαδικασίες που καθορίζονται σε προδιαγραφές που δημοσιεύονται στον δικτυακό τόπο του Οργανισμού· περιορίζεται σε φαρμακοποιούς εντός του φαρμακείου τους·</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Οι διαφημίσεις που απευθύνονται στους επαγγελματίες του τομέα της υγείας συμμορφώνονται ιδίως με τους όρους και τις διαδικασίες που καθορίζονται σε προδιαγραφή που δημοσιεύεται στον ίδιο δικτυακό τόπο.».</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Το άρθρο 28-3 παρεμβάλλεται μετά το άρθρο 28-2, με την ακόλουθη διατύπωση: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w:t>
      </w:r>
      <w:r>
        <w:rPr>
          <w:rFonts w:ascii="Times New Roman" w:hAnsi="Times New Roman"/>
          <w:i/>
          <w:sz w:val="24"/>
        </w:rPr>
        <w:t>Άρθρο 28-3.</w:t>
      </w:r>
      <w:r>
        <w:rPr>
          <w:rFonts w:ascii="Times New Roman" w:hAnsi="Times New Roman"/>
          <w:sz w:val="24"/>
        </w:rPr>
        <w:t xml:space="preserve"> – Η προθεσμία υποβολής αίτησης διαπίστευσης σχετικά με τις γραμμές προσωπικού κλινικού εργαστηρίου, η οποία καθορίστηκε στις 1 Μαΐου 2021 με το άρθρο 23 παράγραφος 1 στοιχείο β) του νόμου αριθ. 2020-734, της 17ης Ιουνίου 2020, σχετικά με διάφορες διατάξεις σχετικά με την υγειονομική κρίση, άλλα επείγοντα μέτρα και την απόσυρση του Ηνωμένου Βασιλείου από την Ευρωπαϊκή Ένωση, παρατείνεται έως τις 1 Νοεμβρίου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Άρθρο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Το παρόν διάταγμα δημοσιεύεται στην </w:t>
      </w:r>
      <w:r>
        <w:rPr>
          <w:rFonts w:ascii="Times New Roman" w:hAnsi="Times New Roman"/>
          <w:i/>
          <w:sz w:val="24"/>
        </w:rPr>
        <w:t>Επίσημη Εφημερίδα</w:t>
      </w:r>
      <w:r>
        <w:rPr>
          <w:rFonts w:ascii="Times New Roman" w:hAnsi="Times New Roman"/>
          <w:sz w:val="24"/>
        </w:rPr>
        <w:t xml:space="preserve"> της Γαλλικής Δημοκρατίας.</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Ημερομηνία 10 Απριλίου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Από τον Υπουργό Αλληλεγγύης και Υγείας,</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t>ΠΑΡΑΡΤΗΜΑ του ΑΡΘΡΟΥ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Ποσά των συντελεστών:</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01"/>
        <w:gridCol w:w="2011"/>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Εργάσιμες ημέρες και Σάββατο πρωί</w:t>
            </w:r>
            <w:r>
              <w:rPr>
                <w:rFonts w:ascii="Times New Roman" w:hAnsi="Times New Roman"/>
                <w:b/>
                <w:color w:val="FFFFFF"/>
                <w:sz w:val="20"/>
              </w:rPr>
              <w:br/>
              <w:t>(για 4 ώρες)</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Απογεύματα Σαββάτου, Κυριακές</w:t>
            </w:r>
            <w:r>
              <w:rPr>
                <w:rFonts w:ascii="Times New Roman" w:hAnsi="Times New Roman"/>
                <w:b/>
                <w:color w:val="FFFFFF"/>
                <w:sz w:val="20"/>
              </w:rPr>
              <w:br/>
              <w:t>και δημόσιες αργίες (για 4 ώρες)</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Συντελεστής A:</w:t>
            </w:r>
            <w:r>
              <w:rPr>
                <w:rFonts w:ascii="Times New Roman" w:hAnsi="Times New Roman"/>
                <w:b/>
                <w:sz w:val="20"/>
              </w:rPr>
              <w:br/>
              <w:t>-Γιατροί και επαγγελματίες του νοσοκομείου εκτός από τους ιατρούς, τους συνταξιούχους ή τους σπουδαστές</w:t>
            </w:r>
            <w:r>
              <w:rPr>
                <w:rFonts w:ascii="Times New Roman" w:hAnsi="Times New Roman"/>
                <w:b/>
                <w:sz w:val="20"/>
              </w:rPr>
              <w:br/>
              <w:t>-Εργαζόμενοι νοσοκομείων</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1.015 €</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Συντελεστής B:</w:t>
            </w:r>
            <w:r>
              <w:rPr>
                <w:rFonts w:ascii="Times New Roman" w:hAnsi="Times New Roman"/>
                <w:b/>
                <w:sz w:val="20"/>
              </w:rPr>
              <w:br/>
              <w:t>-Νοσοκομειακοί ιατροί, συνταξιούχοι ή φοιτητές</w:t>
            </w:r>
            <w:r>
              <w:rPr>
                <w:rFonts w:ascii="Times New Roman" w:hAnsi="Times New Roman"/>
                <w:b/>
                <w:sz w:val="20"/>
              </w:rPr>
              <w:br/>
              <w:t>-Ιδιωτικοί επαγγελματίες εκτός από τους γιατρούς</w:t>
            </w:r>
            <w:r>
              <w:rPr>
                <w:rFonts w:ascii="Times New Roman" w:hAnsi="Times New Roman"/>
                <w:b/>
                <w:sz w:val="20"/>
              </w:rPr>
              <w:br/>
              <w:t>-Εργαζόμενοι στη νοσοκομειακή υποστήριξη</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Συντελεστής C:</w:t>
            </w:r>
            <w:r>
              <w:rPr>
                <w:rFonts w:ascii="Times New Roman" w:hAnsi="Times New Roman"/>
                <w:b/>
                <w:sz w:val="20"/>
              </w:rPr>
              <w:br/>
              <w:t>-Ιδιωτικοί ιατροί</w:t>
            </w:r>
            <w:r>
              <w:rPr>
                <w:rFonts w:ascii="Times New Roman" w:hAnsi="Times New Roman"/>
                <w:b/>
                <w:sz w:val="20"/>
              </w:rPr>
              <w:br/>
              <w:t>-Εργαζόμενοι νοσοκομείων εκτός από τους γιατρούς, τους συνταξιούχους ή τους σπουδαστές</w:t>
            </w:r>
            <w:r>
              <w:rPr>
                <w:rFonts w:ascii="Times New Roman" w:hAnsi="Times New Roman"/>
                <w:b/>
                <w:sz w:val="20"/>
              </w:rPr>
              <w:br/>
              <w:t>-Εργαζόμενοι στη νοσοκομειακή υποστήριξη</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Συντελεστής Δ:</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-Ιδιωτικοί ιατροί</w:t>
            </w:r>
            <w:r>
              <w:rPr>
                <w:rFonts w:ascii="Times New Roman" w:hAnsi="Times New Roman"/>
                <w:b/>
                <w:sz w:val="20"/>
              </w:rPr>
              <w:br/>
              <w:t>-Ιδιωτικοί επαγγελματίες εκτός από τους γιατρούς</w:t>
            </w:r>
            <w:r>
              <w:rPr>
                <w:rFonts w:ascii="Times New Roman" w:hAnsi="Times New Roman"/>
                <w:b/>
                <w:sz w:val="20"/>
              </w:rPr>
              <w:br/>
              <w:t>-Εργαζόμενοι στη νοσοκομειακή υποστήριξη</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t>ΠΑΡΑΡΤΗΜΑ του ΑΡΘΡΟΥ 26-2(IV)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Πίνακας 1: Ποσό της αποζημίωσης που καταβάλλεται στους φαρμακοποιούς και ποσοστό μονάδας συντελεστή δοκιμής αυτοελέγχου που επιστρέφεται στην ασφάλιση υγείας</w:t>
      </w:r>
    </w:p>
    <w:tbl>
      <w:tblPr>
        <w:tblStyle w:val="TableGrid"/>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Δικαιούχοι των δωρεάν δοκιμών αυτοέλεγχου</w:t>
            </w:r>
          </w:p>
        </w:tc>
        <w:tc>
          <w:tcPr>
            <w:tcW w:w="2265" w:type="dxa"/>
          </w:tcPr>
          <w:p w14:paraId="3240F6AC" w14:textId="77777777" w:rsidR="006750FF" w:rsidRPr="001630BF" w:rsidRDefault="006750FF" w:rsidP="00EF32D5">
            <w:pPr>
              <w:rPr>
                <w:color w:val="1F497D"/>
                <w:sz w:val="24"/>
                <w:szCs w:val="24"/>
              </w:rPr>
            </w:pPr>
            <w:r>
              <w:rPr>
                <w:b/>
                <w:sz w:val="24"/>
              </w:rPr>
              <w:t>Συνοδευτικό έγγραφο που πρέπει να υποβληθεί προς διάθεση</w:t>
            </w:r>
          </w:p>
        </w:tc>
        <w:tc>
          <w:tcPr>
            <w:tcW w:w="2266" w:type="dxa"/>
          </w:tcPr>
          <w:p w14:paraId="0143F26A" w14:textId="77777777" w:rsidR="006750FF" w:rsidRPr="001630BF" w:rsidRDefault="006750FF" w:rsidP="00EF32D5">
            <w:pPr>
              <w:rPr>
                <w:color w:val="1F497D"/>
                <w:sz w:val="24"/>
                <w:szCs w:val="24"/>
              </w:rPr>
            </w:pPr>
            <w:r>
              <w:rPr>
                <w:b/>
                <w:sz w:val="24"/>
              </w:rPr>
              <w:t>Επίδομα χορήγησης για τους φαρμακοποιούς σε EUR</w:t>
            </w:r>
          </w:p>
        </w:tc>
        <w:tc>
          <w:tcPr>
            <w:tcW w:w="2266" w:type="dxa"/>
          </w:tcPr>
          <w:p w14:paraId="26B77C64" w14:textId="77777777" w:rsidR="006750FF" w:rsidRPr="001630BF" w:rsidRDefault="006750FF" w:rsidP="00EF32D5">
            <w:pPr>
              <w:rPr>
                <w:color w:val="1F497D"/>
                <w:sz w:val="24"/>
                <w:szCs w:val="24"/>
              </w:rPr>
            </w:pPr>
            <w:r>
              <w:rPr>
                <w:b/>
                <w:sz w:val="24"/>
              </w:rPr>
              <w:t>Συντελεστής δοκιμής αυτοελέγχου που επιβάλλεται στην ασφάλιση υγείας σε EUR εκτός του φόρου</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Μισθωτοί υπάλληλοι των υπηρεσιών κατ’ οίκον που εργάζονται με ηλικιωμένους ή άτομα με αναπηρία (SAAD, SPASAD, SSIAD, SAVs, SAMSAH, SESSAD),</w:t>
            </w:r>
          </w:p>
          <w:p w14:paraId="23DDCDFA" w14:textId="77777777" w:rsidR="006750FF" w:rsidRPr="001630BF" w:rsidRDefault="006750FF" w:rsidP="00EF32D5">
            <w:pPr>
              <w:rPr>
                <w:sz w:val="24"/>
                <w:szCs w:val="24"/>
              </w:rPr>
            </w:pPr>
            <w:r>
              <w:rPr>
                <w:sz w:val="24"/>
              </w:rPr>
              <w:t>– Μισθωτοί μισθωτοί ιδιωτών εργοδοτών που εργάζονται με ηλικιωμένους ή άτομα με αναπηρίες για βασικές καθημερινές εργασίες,</w:t>
            </w:r>
          </w:p>
          <w:p w14:paraId="0F33BBE0" w14:textId="77777777" w:rsidR="006750FF" w:rsidRPr="001630BF" w:rsidRDefault="006750FF" w:rsidP="00EF32D5">
            <w:pPr>
              <w:rPr>
                <w:sz w:val="24"/>
                <w:szCs w:val="24"/>
              </w:rPr>
            </w:pPr>
            <w:r>
              <w:rPr>
                <w:sz w:val="24"/>
              </w:rPr>
              <w:t xml:space="preserve">– Φροντιστές οικογένειας που αναφέρονται στο άρθρο L441-1 του Κώδικα Κοινωνικής Δράσης και Οικογένειας που συνοδεύουν </w:t>
            </w:r>
            <w:r>
              <w:rPr>
                <w:sz w:val="24"/>
              </w:rPr>
              <w:lastRenderedPageBreak/>
              <w:t xml:space="preserve">ηλικιωμένα άτομα ή άτομα με αναπηρία.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lastRenderedPageBreak/>
              <w:t>Ένα τμήμα ταυτοποίησης και ένα από τα ακόλουθα δικαιολογητικά:</w:t>
            </w:r>
          </w:p>
          <w:p w14:paraId="5B2D8E97" w14:textId="77777777" w:rsidR="006750FF" w:rsidRPr="001630BF" w:rsidRDefault="006750FF" w:rsidP="00EF32D5">
            <w:pPr>
              <w:pStyle w:val="NormalWeb"/>
              <w:spacing w:before="0" w:beforeAutospacing="0" w:after="120" w:afterAutospacing="0"/>
              <w:jc w:val="both"/>
            </w:pPr>
            <w:r>
              <w:t xml:space="preserve">E-mail ή επιστολή που απέστειλε η ΕΣΣΔΠΑ [οργανισμοί για τη συλλογή εισφορών κοινωνικής ασφάλισης και οικογενειακών παροχών] (για τους μισθωτούς ιδιωτικής ασφάλισης και των φροντιστών οικογενειών)· </w:t>
            </w:r>
          </w:p>
          <w:p w14:paraId="7DC424C6" w14:textId="77777777" w:rsidR="006750FF" w:rsidRPr="001630BF" w:rsidRDefault="006750FF" w:rsidP="00EF32D5">
            <w:pPr>
              <w:pStyle w:val="NormalWeb"/>
              <w:spacing w:before="0" w:beforeAutospacing="0" w:after="120" w:afterAutospacing="0"/>
              <w:jc w:val="both"/>
            </w:pPr>
            <w:r>
              <w:t xml:space="preserve">– Ένα έντυπο μισθοδοσίας (για τους μισθωτούς κατ’ οίκον), ένα έντυπο μισθοδοσίας για τις οικουμενικές υπηρεσίες απασχόλησης (CESU) (για τους υπαλλήλους ιδιωτικής ασφάλισης) ή αντίγραφο της μηνιαίας κατάστασης </w:t>
            </w:r>
            <w:r>
              <w:lastRenderedPageBreak/>
              <w:t>οικονομικής αποζημίωσης (για άτομα που παρέχουν οικογενειακή φροντίδα) κάτω των 3 μηνών.</w:t>
            </w:r>
          </w:p>
        </w:tc>
        <w:tc>
          <w:tcPr>
            <w:tcW w:w="2266" w:type="dxa"/>
          </w:tcPr>
          <w:p w14:paraId="68C3B723" w14:textId="77777777" w:rsidR="006750FF" w:rsidRPr="001630BF" w:rsidRDefault="006750FF" w:rsidP="00EF32D5">
            <w:pPr>
              <w:rPr>
                <w:sz w:val="24"/>
                <w:szCs w:val="24"/>
              </w:rPr>
            </w:pPr>
            <w:r>
              <w:rPr>
                <w:sz w:val="24"/>
              </w:rPr>
              <w:lastRenderedPageBreak/>
              <w:t>1.00 EUR εξαιρουμένου του φόρου για τη χορήγηση στον ασφαλισμένο 10 δοκιμών αυτοελέγχου για έναν μήνα.</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Προσαυξημένος επιπλέον, κατά περίπτωση, συντελεστής για τα διαμερίσματα και τις περιφέρειες που απαριθμούνται στον πίνακα 2</w:t>
            </w:r>
          </w:p>
        </w:tc>
        <w:tc>
          <w:tcPr>
            <w:tcW w:w="2266" w:type="dxa"/>
          </w:tcPr>
          <w:p w14:paraId="5C1F2FCC" w14:textId="77777777" w:rsidR="00CC0D4F" w:rsidRPr="00CC0D4F" w:rsidRDefault="00CC0D4F" w:rsidP="00CC0D4F">
            <w:pPr>
              <w:rPr>
                <w:sz w:val="24"/>
                <w:szCs w:val="24"/>
              </w:rPr>
            </w:pPr>
            <w:r>
              <w:rPr>
                <w:sz w:val="24"/>
              </w:rPr>
              <w:t>Από 12 Απριλίου 2021 έως 15 Μαΐου 2021</w:t>
            </w:r>
          </w:p>
          <w:p w14:paraId="337991AE" w14:textId="77777777" w:rsidR="00CC0D4F" w:rsidRPr="00CC0D4F" w:rsidRDefault="00CC0D4F" w:rsidP="00CC0D4F">
            <w:pPr>
              <w:rPr>
                <w:sz w:val="24"/>
                <w:szCs w:val="24"/>
              </w:rPr>
            </w:pPr>
            <w:r>
              <w:rPr>
                <w:sz w:val="24"/>
              </w:rPr>
              <w:t xml:space="preserve">5,20 EUR ανά δοκιμή αυτοελέγχου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Από την 16η Μαΐου 2021 </w:t>
            </w:r>
          </w:p>
          <w:p w14:paraId="4552B044" w14:textId="77777777" w:rsidR="00C95FFF" w:rsidRDefault="00CC0D4F" w:rsidP="00EF32D5">
            <w:pPr>
              <w:rPr>
                <w:sz w:val="24"/>
                <w:szCs w:val="24"/>
              </w:rPr>
            </w:pPr>
            <w:r>
              <w:rPr>
                <w:sz w:val="24"/>
              </w:rPr>
              <w:t xml:space="preserve">4,20 EUR ανά δοκιμή αυτοελέγχου </w:t>
            </w:r>
          </w:p>
          <w:p w14:paraId="48A882E1" w14:textId="5BA7897F" w:rsidR="006750FF" w:rsidRPr="001630BF" w:rsidRDefault="006750FF" w:rsidP="00EF32D5">
            <w:pPr>
              <w:rPr>
                <w:color w:val="1F497D"/>
                <w:sz w:val="24"/>
                <w:szCs w:val="24"/>
              </w:rPr>
            </w:pPr>
            <w:r>
              <w:rPr>
                <w:sz w:val="24"/>
              </w:rPr>
              <w:t>συντελεστής συν ο συντελεστής για τα διαμερίσματα και τις περιφέρειες που απαριθμούνται στον πίνακα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t>Πίνακας 2 – Επιπλέον επιβάρυνση που ισχύει για το επίδομα δοκιμής αυτοελέγχου και το ποσοστό μονάδας συντελεστή δοκιμής αυτοελέγχου που επιστρέφεται στην ασφάλιση υγείας</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723"/>
        <w:gridCol w:w="1213"/>
        <w:gridCol w:w="1184"/>
        <w:gridCol w:w="993"/>
        <w:gridCol w:w="883"/>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Γουαδελούπη</w:t>
            </w:r>
            <w:r>
              <w:rPr>
                <w:rFonts w:ascii="Times New Roman" w:hAnsi="Times New Roman"/>
                <w:b/>
                <w:sz w:val="24"/>
              </w:rPr>
              <w:br/>
            </w:r>
            <w:r>
              <w:rPr>
                <w:rFonts w:ascii="Times New Roman" w:hAnsi="Times New Roman"/>
                <w:b/>
                <w:sz w:val="24"/>
              </w:rPr>
              <w:br/>
              <w:t>Άγιος Βαρθολομαίος</w:t>
            </w:r>
            <w:r>
              <w:rPr>
                <w:rFonts w:ascii="Times New Roman" w:hAnsi="Times New Roman"/>
                <w:b/>
                <w:sz w:val="24"/>
              </w:rPr>
              <w:br/>
            </w:r>
            <w:r>
              <w:rPr>
                <w:rFonts w:ascii="Times New Roman" w:hAnsi="Times New Roman"/>
                <w:b/>
                <w:sz w:val="24"/>
              </w:rPr>
              <w:br/>
              <w:t>Άγιος Μαρτίνος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Μαρτινίκα</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Γαλλική Γουιάνα</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Ρεουνιόν</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Μαγιότ</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Συντελεστής προσαύξησης που εφαρμόζεται στο επίδομα χορήγησης και ο συντελεστής δοκιμής αυτοελέγχου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8398" w14:textId="77777777" w:rsidR="00180344" w:rsidRDefault="00180344" w:rsidP="002E7F03">
      <w:pPr>
        <w:spacing w:after="0" w:line="240" w:lineRule="auto"/>
      </w:pPr>
      <w:r>
        <w:separator/>
      </w:r>
    </w:p>
  </w:endnote>
  <w:endnote w:type="continuationSeparator" w:id="0">
    <w:p w14:paraId="27581958" w14:textId="77777777" w:rsidR="00180344" w:rsidRDefault="00180344" w:rsidP="002E7F03">
      <w:pPr>
        <w:spacing w:after="0" w:line="240" w:lineRule="auto"/>
      </w:pPr>
      <w:r>
        <w:continuationSeparator/>
      </w:r>
    </w:p>
  </w:endnote>
  <w:endnote w:type="continuationNotice" w:id="1">
    <w:p w14:paraId="65EB44A1" w14:textId="77777777" w:rsidR="00180344" w:rsidRDefault="00180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A17F" w14:textId="77777777" w:rsidR="00180344" w:rsidRDefault="00180344" w:rsidP="002E7F03">
      <w:pPr>
        <w:spacing w:after="0" w:line="240" w:lineRule="auto"/>
      </w:pPr>
      <w:r>
        <w:separator/>
      </w:r>
    </w:p>
  </w:footnote>
  <w:footnote w:type="continuationSeparator" w:id="0">
    <w:p w14:paraId="3625198C" w14:textId="77777777" w:rsidR="00180344" w:rsidRDefault="00180344" w:rsidP="002E7F03">
      <w:pPr>
        <w:spacing w:after="0" w:line="240" w:lineRule="auto"/>
      </w:pPr>
      <w:r>
        <w:continuationSeparator/>
      </w:r>
    </w:p>
  </w:footnote>
  <w:footnote w:type="continuationNotice" w:id="1">
    <w:p w14:paraId="0A864DE8" w14:textId="77777777" w:rsidR="00180344" w:rsidRDefault="001803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344"/>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723"/>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2290</Words>
  <Characters>13054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15314</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3</cp:revision>
  <cp:lastPrinted>2020-12-21T12:19:00Z</cp:lastPrinted>
  <dcterms:created xsi:type="dcterms:W3CDTF">2021-04-10T15:45:00Z</dcterms:created>
  <dcterms:modified xsi:type="dcterms:W3CDTF">2021-04-19T13:38:00Z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