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4D38" w14:textId="77777777" w:rsidR="005D5497" w:rsidRPr="005D5497" w:rsidRDefault="005D5497" w:rsidP="005D5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Despacho de 10 de abril de 2021</w:t>
      </w:r>
      <w:r>
        <w:rPr>
          <w:rFonts w:ascii="Times New Roman" w:hAnsi="Times New Roman"/>
          <w:b/>
          <w:sz w:val="36"/>
        </w:rPr>
        <w:br/>
        <w:t>que altera o Despacho de 10 de julho de 2020, que prescreve as medidas de organização e de funcionamento do sistema de saúde, necessárias para fazer face à epidemia de COVID-19 no âmbito do estado de emergência sanitária</w:t>
      </w:r>
    </w:p>
    <w:p w14:paraId="15475442" w14:textId="77777777" w:rsidR="005D5497" w:rsidRPr="005D5497" w:rsidRDefault="005D5497" w:rsidP="005D54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Versão inicial </w:t>
      </w:r>
    </w:p>
    <w:p w14:paraId="6C7825A4" w14:textId="77777777" w:rsidR="005D5497" w:rsidRPr="005D5497" w:rsidRDefault="005D5497" w:rsidP="005D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  <w:t>Tendo em conta o Código da Ação Social e da Família;</w:t>
      </w:r>
      <w:r>
        <w:rPr>
          <w:rFonts w:ascii="Times New Roman" w:hAnsi="Times New Roman"/>
          <w:sz w:val="24"/>
        </w:rPr>
        <w:br/>
        <w:t>Tendo em conta o Código da Saúde Pública, nomeadamente o artigo L. 3131-16;</w:t>
      </w:r>
      <w:r>
        <w:rPr>
          <w:rFonts w:ascii="Times New Roman" w:hAnsi="Times New Roman"/>
          <w:sz w:val="24"/>
        </w:rPr>
        <w:br/>
        <w:t>Tendo em conta o Código da Segurança Social;</w:t>
      </w:r>
      <w:r>
        <w:rPr>
          <w:rFonts w:ascii="Times New Roman" w:hAnsi="Times New Roman"/>
          <w:sz w:val="24"/>
        </w:rPr>
        <w:br/>
        <w:t>Tendo em conta a Lei n.º 2020-734, de 17 de junho de 2020, relativa a diversas disposições quanto à crise sanitária, outras medidas urgentes e à retirada do Reino Unido da União Europeia, com a redação que lhe foi dada, nomeadamente o artigo 23.º;</w:t>
      </w:r>
      <w:r>
        <w:rPr>
          <w:rFonts w:ascii="Times New Roman" w:hAnsi="Times New Roman"/>
          <w:sz w:val="24"/>
        </w:rPr>
        <w:br/>
        <w:t>Tendo em conta a Lei n.º 2020-1379, de 14 de novembro de 2020, que autoriza o prolongamento do estado de emergência sanitária e estabelece diversas medidas de gestão da crise sanitária, com a última redação que lhe foi dada;</w:t>
      </w:r>
      <w:r>
        <w:rPr>
          <w:rFonts w:ascii="Times New Roman" w:hAnsi="Times New Roman"/>
          <w:sz w:val="24"/>
        </w:rPr>
        <w:br/>
        <w:t>Tendo em conta o Decreto n.º 2020-1257, de 14 de outubro de 2020, que declara o estado de emergência sanitária;</w:t>
      </w:r>
      <w:r>
        <w:rPr>
          <w:rFonts w:ascii="Times New Roman" w:hAnsi="Times New Roman"/>
          <w:sz w:val="24"/>
        </w:rPr>
        <w:br/>
        <w:t>Tendo em consideração o Decreto n.º 2020-1262, de 16 de outubro de 2020, na redação em vigor, que prescreve as medidas gerais necessárias para fazer face à epidemia de COVID-19 no âmbito do estado de emergência sanitária, com a redação que lhe foi dada;</w:t>
      </w:r>
      <w:r>
        <w:rPr>
          <w:rFonts w:ascii="Times New Roman" w:hAnsi="Times New Roman"/>
          <w:sz w:val="24"/>
        </w:rPr>
        <w:br/>
        <w:t>Tendo em conta o Decreto n.º 2020-1310, de 29 de outubro de 2020, que prescreve as medidas gerais necessárias para fazer face à epidemia de COVID-19 no âmbito do estado de emergência sanitária, com a redação que lhe foi dada;</w:t>
      </w:r>
      <w:r>
        <w:rPr>
          <w:rFonts w:ascii="Times New Roman" w:hAnsi="Times New Roman"/>
          <w:sz w:val="24"/>
        </w:rPr>
        <w:br/>
        <w:t>Tendo em conta a Portaria de 10 de julho de 2020, que prescreve as medidas de organização e de funcionamento do sistema de saúde necessárias para fazer face à epidemia de COVID-19 no âmbito do estado de emergência sanitária, com a redação que lhe foi dada;</w:t>
      </w:r>
      <w:r>
        <w:rPr>
          <w:rFonts w:ascii="Times New Roman" w:hAnsi="Times New Roman"/>
          <w:sz w:val="24"/>
        </w:rPr>
        <w:br/>
        <w:t>Tendo em conta o parecer do Conselho da Autoridade Nacional para a Saúde francesa relativo à deteção rápida de antigénios de SARS-CoV-2 em esfregaços nasais (TDR, TROD e autotestes), datado de 15 de março de 2021;</w:t>
      </w:r>
      <w:r>
        <w:rPr>
          <w:rFonts w:ascii="Times New Roman" w:hAnsi="Times New Roman"/>
          <w:sz w:val="24"/>
        </w:rPr>
        <w:br/>
        <w:t>Considerando que os hospitais do exército cuidam de doentes que sofrem de COVID-19 nas mesmas condições que os estabelecimentos de saúde e, como tal, suportam despesas com prestações não incluídas no pacote de cuidados que exigem encargos adicionais;</w:t>
      </w:r>
      <w:r>
        <w:rPr>
          <w:rFonts w:ascii="Times New Roman" w:hAnsi="Times New Roman"/>
          <w:sz w:val="24"/>
        </w:rPr>
        <w:br/>
        <w:t>Considerando que a vacinação contra o SARS-CoV-2 é essencial para conter a epidemia e que as condições específicas para a realização dessa vacinação, na qual participam os hospitais do exército, exigem, como é o caso dos estabelecimentos de saúde, uma remuneração específica para esses hospitais;</w:t>
      </w:r>
      <w:r>
        <w:rPr>
          <w:rFonts w:ascii="Times New Roman" w:hAnsi="Times New Roman"/>
          <w:sz w:val="24"/>
        </w:rPr>
        <w:br/>
        <w:t>Considerando que é necessário atualizar e harmonizar a remuneração proposta de acordo com o alargamento da lista de profissionais de saúde, estudantes de saúde e outros profissionais que possam intervir para prescrever, administrar e/ou injetar vacinas contra a COVID e a forma como podem realizar esses procedimentos;</w:t>
      </w:r>
      <w:r>
        <w:rPr>
          <w:rFonts w:ascii="Times New Roman" w:hAnsi="Times New Roman"/>
          <w:sz w:val="24"/>
        </w:rPr>
        <w:br/>
        <w:t xml:space="preserve">Considerando que a facilidade de utilização dos autotestes, que não exige a presença de profissionais de saúde, mesmo que necessitem de apoio, e o seu método menos invasivo de </w:t>
      </w:r>
      <w:r>
        <w:rPr>
          <w:rFonts w:ascii="Times New Roman" w:hAnsi="Times New Roman"/>
          <w:sz w:val="24"/>
        </w:rPr>
        <w:lastRenderedPageBreak/>
        <w:t>realização de esfregaços, possibilitará a realização de testes mais frequentes; é, por conseguinte, adequado estabelecer as condições de distribuição e de utilização desses testes; considerando que, além disso, devem ser estabelecidas as normas para os preços de venda, de forma a garantir que os testes sejam acessíveis à população geral e possibilitar a sua disponibilização gratuita para determinadas categorias de pessoas que necessitem de tal; considerando, por último, que é necessário estabelecer as condições para a sua cobertura por parte do seguro de saúde para determinadas categorias de pessoas;</w:t>
      </w:r>
      <w:r>
        <w:rPr>
          <w:rFonts w:ascii="Times New Roman" w:hAnsi="Times New Roman"/>
          <w:sz w:val="24"/>
        </w:rPr>
        <w:br/>
        <w:t>Considerando que para acompanhar a dispensa destes autotestes com aconselhamento farmacêutico é necessário limitar esta dispensa às farmácias e proibir a sua venda na internet; considerando que, para assegurar uma informação fiável, a publicidade deve respeitar especificações definidas pela Agência Nacional para a Segurança dos Medicamentos e da Saúde e a publicidade destinada ao público em geral deve estar sujeita à autorização prévia do referido organismo e ser limitada às farmácias;</w:t>
      </w:r>
      <w:r>
        <w:rPr>
          <w:rFonts w:ascii="Times New Roman" w:hAnsi="Times New Roman"/>
          <w:sz w:val="24"/>
        </w:rPr>
        <w:br/>
        <w:t>Considerando que a mobilização dos laboratórios clínicos para o rastreio da epidemia é incompatível com a preparação dos processos de acreditação até 1 de maio de 2021; considerando que é conveniente prorrogar esta data até 1 de novembro de 2021,</w:t>
      </w:r>
      <w:r>
        <w:rPr>
          <w:rFonts w:ascii="Times New Roman" w:hAnsi="Times New Roman"/>
          <w:sz w:val="24"/>
        </w:rPr>
        <w:br/>
        <w:t>Decreta pelo presente:</w:t>
      </w:r>
    </w:p>
    <w:p w14:paraId="5848F139" w14:textId="77777777" w:rsidR="005D5497" w:rsidRPr="005D5497" w:rsidRDefault="005D5497" w:rsidP="005D5497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Artigo 1.º</w:t>
      </w:r>
    </w:p>
    <w:p w14:paraId="015B003C" w14:textId="09FB878E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O Despacho supracitado, de 10 de julho de 2020, é alterado do seguinte modo:</w:t>
      </w:r>
      <w:r>
        <w:rPr>
          <w:rFonts w:ascii="Times New Roman" w:hAnsi="Times New Roman"/>
          <w:sz w:val="24"/>
        </w:rPr>
        <w:br/>
        <w:t>1. Após o ponto IV do artigo 16.º, é aditado um ponto V, com a seguinte redação:</w:t>
      </w:r>
      <w:r>
        <w:rPr>
          <w:rFonts w:ascii="Times New Roman" w:hAnsi="Times New Roman"/>
          <w:sz w:val="24"/>
        </w:rPr>
        <w:br/>
        <w:t>«V. - Em conformidade com o disposto em I, II e III do presente artigo, os hospitais militares são considerados estabelecimentos de cuidados de saúde. Para esses hospitais, o fundo mencionado em III é o Fundo Nacional de Segurança Social Militar mencionado no artigo L174-15 do Código da Segurança Social.»;</w:t>
      </w:r>
      <w:r>
        <w:rPr>
          <w:rFonts w:ascii="Times New Roman" w:hAnsi="Times New Roman"/>
          <w:sz w:val="24"/>
        </w:rPr>
        <w:br/>
        <w:t xml:space="preserve">2. O n.º 1 do artigo 18.º é alterado do seguinte modo: </w:t>
      </w:r>
      <w:r w:rsidR="003C7183">
        <w:rPr>
          <w:rFonts w:ascii="Times New Roman" w:hAnsi="Times New Roman"/>
          <w:sz w:val="24"/>
        </w:rPr>
        <w:t xml:space="preserve">                                                       </w:t>
      </w:r>
      <w:r>
        <w:rPr>
          <w:rFonts w:ascii="Times New Roman" w:hAnsi="Times New Roman"/>
          <w:sz w:val="24"/>
        </w:rPr>
        <w:t>a) No segundo parágrafo de VI, a palavra: «enfermeiros» é substituída pela expressão: «profissionais que não são médicos» e, no quinto parágrafo do mesmo VI, a palavra: «enfermeiros» é substituída pela expressão: «profissionais que não são médicos»;</w:t>
      </w:r>
      <w:r>
        <w:rPr>
          <w:rFonts w:ascii="Times New Roman" w:hAnsi="Times New Roman"/>
          <w:sz w:val="24"/>
        </w:rPr>
        <w:br/>
        <w:t>b) VI é completado por um parágrafo com a seguinte redação:</w:t>
      </w:r>
      <w:r>
        <w:rPr>
          <w:rFonts w:ascii="Times New Roman" w:hAnsi="Times New Roman"/>
          <w:sz w:val="24"/>
        </w:rPr>
        <w:br/>
        <w:t>«Em conformidade com o presente VI, os hospitais militares são considerados estabelecimentos de cuidados de saúde. A linha de vacinação é definida para estes hospitais como um conjunto de médicos, enfermeiros, estudantes e pessoal de apoio, mobilizados para fornecer vacinas dentro de um centro de vacinação por um período de quatro horas.»;</w:t>
      </w:r>
      <w:r>
        <w:rPr>
          <w:rFonts w:ascii="Times New Roman" w:hAnsi="Times New Roman"/>
          <w:sz w:val="24"/>
        </w:rPr>
        <w:br/>
        <w:t xml:space="preserve">c) Em VII, a palavra «médicos» é substituída pela expressão: «profissionais de saúde do setor privado autorizados a cobrar um ato de injeção da vacina contra a COVID-19»; </w:t>
      </w:r>
      <w:r>
        <w:rPr>
          <w:rFonts w:ascii="Times New Roman" w:hAnsi="Times New Roman"/>
          <w:sz w:val="24"/>
        </w:rPr>
        <w:br/>
        <w:t>3. O quadro anexo ao n.º 1 do artigo 18.º é substituído pelo quadro anexo ao presente Despacho;</w:t>
      </w:r>
      <w:r>
        <w:rPr>
          <w:rFonts w:ascii="Times New Roman" w:hAnsi="Times New Roman"/>
          <w:sz w:val="24"/>
        </w:rPr>
        <w:br/>
        <w:t xml:space="preserve">4. O n.º 2 do artigo 26.º é alterado do seguinte modo: </w:t>
      </w:r>
      <w:r w:rsidR="003C7183">
        <w:rPr>
          <w:rFonts w:ascii="Times New Roman" w:hAnsi="Times New Roman"/>
          <w:sz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</w:rPr>
        <w:t>a) Na segunda frase do primeiro parágrafo de I, as palavras: «pode ser organizado por» são substituída pelas palavras: «só pode ser organizado por»;</w:t>
      </w:r>
      <w:r>
        <w:rPr>
          <w:rFonts w:ascii="Times New Roman" w:hAnsi="Times New Roman"/>
          <w:sz w:val="24"/>
        </w:rPr>
        <w:br/>
        <w:t xml:space="preserve">b) Nos primeiro, segundo e quarto parágrafos de II, após as palavras «por autotestes» são inseridas as palavras «em esfregaços nasais»;  </w:t>
      </w:r>
      <w:r>
        <w:rPr>
          <w:rFonts w:ascii="Times New Roman" w:hAnsi="Times New Roman"/>
          <w:sz w:val="24"/>
        </w:rPr>
        <w:br/>
        <w:t xml:space="preserve">c) Antes do último parágrafo de II, é inserido um parágrafo com a seguinte redação: «Os farmacêuticos podem aconselhar, dispensar e vender, na sua farmácia, dispositivos médicos de diagnóstico in vitro destinados a realizar autotestes para deteção antigénica do vírus SARS-CoV-2 em esfregaços nasais incluídos na lista referida no quarto </w:t>
      </w:r>
      <w:r>
        <w:rPr>
          <w:rFonts w:ascii="Times New Roman" w:hAnsi="Times New Roman"/>
          <w:sz w:val="24"/>
        </w:rPr>
        <w:lastRenderedPageBreak/>
        <w:t>parágrafo do presente II. Estes dispositivos médicos são reservados para pessoas assintomáticas com mais de quinze anos de idade, apenas para uso pessoal.»;</w:t>
      </w:r>
      <w:r>
        <w:rPr>
          <w:rFonts w:ascii="Times New Roman" w:hAnsi="Times New Roman"/>
          <w:sz w:val="24"/>
        </w:rPr>
        <w:br/>
        <w:t xml:space="preserve">d)  Na segunda frase do último parágrafo de II, as palavras «pode ser organizado por» são substituídas pelas palavras «só pode ser organizado por»;  </w:t>
      </w:r>
      <w:r>
        <w:rPr>
          <w:rFonts w:ascii="Times New Roman" w:hAnsi="Times New Roman"/>
          <w:sz w:val="24"/>
        </w:rPr>
        <w:br/>
        <w:t>e) IV, V, VI, VII e VIII são aditados do seguinte modo:</w:t>
      </w:r>
      <w:r>
        <w:rPr>
          <w:rFonts w:ascii="Times New Roman" w:hAnsi="Times New Roman"/>
          <w:sz w:val="24"/>
        </w:rPr>
        <w:br/>
        <w:t>«IV.- Os autotestes para a deteção antigénica do SARS-CoV-2 em esfregaços nasais referidos no ponto II são fornecidos gratuitamente pelos farmacêuticos, em farmácias abertas ao público, a pessoas das seguintes categorias:</w:t>
      </w:r>
    </w:p>
    <w:p w14:paraId="1B24C030" w14:textId="77777777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«- trabalhadores assalariados dos seguintes serviços domésticos que trabalham com idosos ou pessoas com deficiência: serviço de ajuda domiciliar e de apoio (SAAD), serviço de assistência domiciliar polivalente para idosos e/ou adultos com deficiência (SPASAD), serviço de enfermagem ao domicílio (SSIAD), serviço de apoio social (SAVS), serviço de apoio social médico para adultos com deficiência (SAMSAH), ensino especial e serviço de assistência domiciliar (SESSAD); </w:t>
      </w:r>
      <w:r>
        <w:rPr>
          <w:rFonts w:ascii="Times New Roman" w:hAnsi="Times New Roman"/>
          <w:sz w:val="24"/>
        </w:rPr>
        <w:br/>
        <w:t>«- trabalhadores assalariados de empregadores privados que trabalhem com pessoas idosas ou com deficiência para a realização de tarefas diárias básicas;</w:t>
      </w:r>
      <w:r>
        <w:rPr>
          <w:rFonts w:ascii="Times New Roman" w:hAnsi="Times New Roman"/>
          <w:sz w:val="24"/>
        </w:rPr>
        <w:br/>
        <w:t>«- cuidadores familiares referidos no artigo L441-1 do Código da Ação Social e das Famílias que acompanham pessoas idosas ou pessoas com deficiência.</w:t>
      </w:r>
    </w:p>
    <w:p w14:paraId="6BEDA25D" w14:textId="77777777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«A dispensa gratuita dos autotestes será efetuada mediante apresentação de prova pelo profissional e será remunerada pelo farmacêutico de acordo com os procedimentos previstos no quadro anexo ao presente artigo.</w:t>
      </w:r>
      <w:r>
        <w:rPr>
          <w:rFonts w:ascii="Times New Roman" w:hAnsi="Times New Roman"/>
          <w:sz w:val="24"/>
        </w:rPr>
        <w:br/>
        <w:t>«Para efeitos do presente IV, a compra e a dispensa de autotestes por farmácias abertas ao público são reembolsadas e pagas pelo seguro de saúde de acordo com os procedimentos previstos no quadro 1 anexo ao presente artigo e, se for caso disso, após a aplicação de uma sobretaxa, referida no quadro 2 do mesmo anexo.</w:t>
      </w:r>
      <w:r>
        <w:rPr>
          <w:rFonts w:ascii="Times New Roman" w:hAnsi="Times New Roman"/>
          <w:sz w:val="24"/>
        </w:rPr>
        <w:br/>
        <w:t>«V. - Ao dispensar ou vender esses dispositivos, os farmacêuticos devem apresentar o guia do utilizador que se encontra no site do Ministério da Saúde.</w:t>
      </w:r>
      <w:r>
        <w:rPr>
          <w:rFonts w:ascii="Times New Roman" w:hAnsi="Times New Roman"/>
          <w:sz w:val="24"/>
        </w:rPr>
        <w:br/>
        <w:t>«VI. - A venda a retalho e a dispensa de dispositivos médicos de diagnóstico in vitro para deteção antigénica do vírus SARS-CoV-2 por meio de autotestes reservados às farmácias, em conformidade com o artigo L4211-1 do Código de Saúde Pública, não podem ser objeto da atividade de comércio eletrónico referida no artigo L5125-33 do mesmo código.</w:t>
      </w:r>
      <w:r>
        <w:rPr>
          <w:rFonts w:ascii="Times New Roman" w:hAnsi="Times New Roman"/>
          <w:sz w:val="24"/>
        </w:rPr>
        <w:br/>
        <w:t>«VII. - Os preços de venda dos dispositivos médicos de diagnóstico in vitro para deteção antigénica do vírus por meio de autotestes não podem exceder, por teste e com todos os impostos incluídos, 6,00 EUR até 15 de maio, ou 5,20 EUR depois.</w:t>
      </w:r>
      <w:r>
        <w:rPr>
          <w:rFonts w:ascii="Times New Roman" w:hAnsi="Times New Roman"/>
          <w:sz w:val="24"/>
        </w:rPr>
        <w:br/>
        <w:t>«Os preços de venda por grosso destinados à revenda dos produtos referidos no parágrafo anterior não podem exceder, por teste e com todos os impostos incluídos, 4,70 EUR até 15 de maio ou 3,70 EUR depois.</w:t>
      </w:r>
      <w:r>
        <w:rPr>
          <w:rFonts w:ascii="Times New Roman" w:hAnsi="Times New Roman"/>
          <w:sz w:val="24"/>
        </w:rPr>
        <w:br/>
        <w:t xml:space="preserve">«VII. - Em derrogação do disposto nos artigos L5223-2 e L5223-3 do Código de Saúde Pública, a publicidade de todos os autotestes de deteção antigénica do vírus SARS-CoV-2 em esfregaços nasais, incluídos na lista publicada no sítio Web do Ministério da Saúde, está sujeita às seguintes disposições: </w:t>
      </w:r>
      <w:r>
        <w:rPr>
          <w:rFonts w:ascii="Times New Roman" w:hAnsi="Times New Roman"/>
          <w:sz w:val="24"/>
        </w:rPr>
        <w:br/>
        <w:t xml:space="preserve">«1. A publicidade dirigida ao público em geral está sujeita a autorização prévia emitida pela Agência Nacional para a Segurança dos Medicamentos e dos Produtos de Saúde, prevista nos artigos L5223-3 e seguintes do Código de Saúde Pública, de acordo com as condições e procedimentos estabelecidos numa especificação publicada no sítio Web da </w:t>
      </w:r>
      <w:r>
        <w:rPr>
          <w:rFonts w:ascii="Times New Roman" w:hAnsi="Times New Roman"/>
          <w:sz w:val="24"/>
        </w:rPr>
        <w:lastRenderedPageBreak/>
        <w:t>Agência; limita-se aos farmacêuticos dentro da sua farmácia;</w:t>
      </w:r>
      <w:r>
        <w:rPr>
          <w:rFonts w:ascii="Times New Roman" w:hAnsi="Times New Roman"/>
          <w:sz w:val="24"/>
        </w:rPr>
        <w:br/>
        <w:t>«2. A publicidade dirigida aos profissionais de saúde deve, em especial, respeitar as condições e procedimentos estabelecidos numa especificação publicada no mesmo sítio Web.»;</w:t>
      </w:r>
      <w:r>
        <w:rPr>
          <w:rFonts w:ascii="Times New Roman" w:hAnsi="Times New Roman"/>
          <w:sz w:val="24"/>
        </w:rPr>
        <w:br/>
        <w:t>5. É inserido um n.º 3 no artigo 28.º após o n.º 2 do artigo 28.º, com a seguinte redação:</w:t>
      </w:r>
    </w:p>
    <w:p w14:paraId="167AC695" w14:textId="77777777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«N.º 3 do artigo 28.º — O prazo para a apresentação de um pedido de acreditação relativo aos efetivos de um laboratório clínico, estabelecido em 1 de maio de 2021 pela alínea b) do n.º1 do ponto I do artigo 23.º da Lei n. º 2020-734, de 17 de junho de 2020, relativa a diversas disposições relativas à crise sanitária, outras medidas urgentes e à retirada do Reino Unido da União Europeia, é prorrogado até 1 de novembro de 2021.» </w:t>
      </w:r>
    </w:p>
    <w:p w14:paraId="7F20F680" w14:textId="77777777" w:rsidR="005D5497" w:rsidRPr="005D5497" w:rsidRDefault="005D5497" w:rsidP="005D5497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Artigo 2.º</w:t>
      </w:r>
    </w:p>
    <w:p w14:paraId="2E9D8B6E" w14:textId="77777777" w:rsidR="005D5497" w:rsidRPr="005D5497" w:rsidRDefault="005D5497" w:rsidP="005D549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O presente Despacho será publicado no Jornal Oficial da República Francesa.</w:t>
      </w:r>
    </w:p>
    <w:p w14:paraId="6CFAC969" w14:textId="77777777" w:rsidR="005D5497" w:rsidRPr="005D5497" w:rsidRDefault="005D5497" w:rsidP="005D5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Anexo</w:t>
      </w:r>
    </w:p>
    <w:p w14:paraId="6C0DA1CD" w14:textId="77777777" w:rsidR="005D5497" w:rsidRPr="005D5497" w:rsidRDefault="005D5497" w:rsidP="005D5497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Artigo</w:t>
      </w:r>
    </w:p>
    <w:p w14:paraId="62051B99" w14:textId="77777777" w:rsidR="005D5497" w:rsidRPr="005D5497" w:rsidRDefault="005D5497" w:rsidP="005D5497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Anexo ao n.º 1 do artigo 18.º</w:t>
      </w:r>
      <w:r>
        <w:rPr>
          <w:rFonts w:ascii="Times New Roman" w:hAnsi="Times New Roman"/>
          <w:sz w:val="24"/>
        </w:rPr>
        <w:br/>
        <w:t>Montantes das taxas: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1"/>
        <w:gridCol w:w="1890"/>
        <w:gridCol w:w="2305"/>
      </w:tblGrid>
      <w:tr w:rsidR="005D5497" w:rsidRPr="005D5497" w14:paraId="03FB0779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0AC99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A58A1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Dias úteis e sábados de manhã</w:t>
            </w:r>
            <w:r>
              <w:rPr>
                <w:rFonts w:ascii="Times New Roman" w:hAnsi="Times New Roman"/>
                <w:b/>
                <w:sz w:val="24"/>
              </w:rPr>
              <w:br/>
              <w:t>(por 4 horas)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6D376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Sábados à tarde, domingos e feriados</w:t>
            </w:r>
            <w:r>
              <w:rPr>
                <w:rFonts w:ascii="Times New Roman" w:hAnsi="Times New Roman"/>
                <w:b/>
                <w:sz w:val="24"/>
              </w:rPr>
              <w:br/>
              <w:t>(por 4 horas)</w:t>
            </w:r>
          </w:p>
        </w:tc>
      </w:tr>
      <w:tr w:rsidR="005D5497" w:rsidRPr="005D5497" w14:paraId="52544F51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A69E0" w14:textId="42E5B01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Taxa A: -</w:t>
            </w:r>
            <w:r w:rsidR="003C718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Médicos e profissionais hospitalares, que não sejam médicos, reformados ou estudantes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3C718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Auxiliares hospitalares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C83B4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625 €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55541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1015 €</w:t>
            </w:r>
          </w:p>
        </w:tc>
      </w:tr>
      <w:tr w:rsidR="005D5497" w:rsidRPr="005D5497" w14:paraId="455373E6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3B2D1" w14:textId="7490B580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Taxa B: -</w:t>
            </w:r>
            <w:r w:rsidR="003C718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Médicos hospitalares, reformados ou estudantes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3C718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Profissionais do setor privado que não sejam médicos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3C718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Auxiliares hospitalares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FADF9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500 €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2368D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800 €</w:t>
            </w:r>
          </w:p>
        </w:tc>
      </w:tr>
      <w:tr w:rsidR="005D5497" w:rsidRPr="005D5497" w14:paraId="2E886DBD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20CA2" w14:textId="5CE7D7BA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Taxa C: -</w:t>
            </w:r>
            <w:r w:rsidR="003C718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Médicos do setor privado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3C718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Profissionais hospitalares que não sejam médicos, reformados ou estudantes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3C718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Auxiliares hospitalares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B60AB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340 €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85458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550 €</w:t>
            </w:r>
          </w:p>
        </w:tc>
      </w:tr>
      <w:tr w:rsidR="005D5497" w:rsidRPr="005D5497" w14:paraId="03564BC5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6C739" w14:textId="37A70CAD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Taxa D: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3C718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Médicos do setor privado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3C718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Profissionais do setor privado que não sejam médicos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3C718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Auxiliares hospitalares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5AE33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220 €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8A1DB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380 €</w:t>
            </w:r>
          </w:p>
        </w:tc>
      </w:tr>
    </w:tbl>
    <w:p w14:paraId="20A565C3" w14:textId="77777777" w:rsidR="005D5497" w:rsidRPr="005D5497" w:rsidRDefault="005D5497" w:rsidP="005D54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Anexo</w:t>
      </w:r>
    </w:p>
    <w:p w14:paraId="043DAF3A" w14:textId="77777777" w:rsidR="005D5497" w:rsidRPr="005D5497" w:rsidRDefault="005D5497" w:rsidP="005D5497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Artigo</w:t>
      </w:r>
    </w:p>
    <w:p w14:paraId="4D77FF30" w14:textId="32BF95F5" w:rsidR="005D5497" w:rsidRPr="005D5497" w:rsidRDefault="005D5497" w:rsidP="005D5497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ANEXO</w:t>
      </w:r>
      <w:r>
        <w:rPr>
          <w:rFonts w:ascii="Times New Roman" w:hAnsi="Times New Roman"/>
          <w:sz w:val="24"/>
        </w:rPr>
        <w:br/>
        <w:t>A IV DO ARTIGO 26.º, n.º 2,</w:t>
      </w:r>
      <w:r>
        <w:rPr>
          <w:rFonts w:ascii="Times New Roman" w:hAnsi="Times New Roman"/>
          <w:sz w:val="24"/>
        </w:rPr>
        <w:br/>
        <w:t xml:space="preserve">Quadro 1. </w:t>
      </w:r>
      <w:r w:rsidR="003C718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Montante do subsídio de dispensa a pagar aos farmacêuticos e a taxa fixa de um autodiagnóstico reembolsado pelo seguro de doença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7"/>
        <w:gridCol w:w="3034"/>
        <w:gridCol w:w="1990"/>
        <w:gridCol w:w="1855"/>
      </w:tblGrid>
      <w:tr w:rsidR="005D5497" w:rsidRPr="005D5497" w14:paraId="551D9A25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5BA58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Beneficiários de autotestes gratuitos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A76A5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Documento comprovativo a apresentar para fornecimento do autoteste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66603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Subsídio de dispensa para farmacêuticos em 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48BA2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Taxa de autoteste cobrada ao seguro de saúde em EUR, excluindo impostos</w:t>
            </w:r>
          </w:p>
        </w:tc>
      </w:tr>
      <w:tr w:rsidR="005D5497" w:rsidRPr="005D5497" w14:paraId="6713DAAE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F648A" w14:textId="7AE8A1CE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- Trabalhadores assalariados de serviços domésticos que trabalham com idosos ou pessoas com deficiência (SAAD, SPASAD, SSIAD, SAVS, SAMSAH, SESSAD);</w:t>
            </w:r>
            <w:r>
              <w:rPr>
                <w:rFonts w:ascii="Times New Roman" w:hAnsi="Times New Roman"/>
                <w:sz w:val="24"/>
              </w:rPr>
              <w:br/>
              <w:t>- Trabalhadores assalariados de empregadores privados que trabalhem com idosos ou pessoas com deficiência para a realização de tarefas diárias básicas;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3C718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Cuidadores familiares mencionados no </w:t>
            </w:r>
            <w:r>
              <w:rPr>
                <w:rFonts w:ascii="Times New Roman" w:hAnsi="Times New Roman"/>
                <w:sz w:val="24"/>
              </w:rPr>
              <w:lastRenderedPageBreak/>
              <w:t>artigo L441-1 do Código da Ação Social e das Famílias que acompanham pessoas idosas ou pessoas com deficiência.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0FFF0" w14:textId="499458D1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Um documento de identificação e um dos seguintes documentos comprovativos:</w:t>
            </w:r>
            <w:r>
              <w:rPr>
                <w:rFonts w:ascii="Times New Roman" w:hAnsi="Times New Roman"/>
                <w:sz w:val="24"/>
              </w:rPr>
              <w:br/>
              <w:t>E-mail ou carta enviada pela URSSAF [Organizações para a Recolha Contribuições para a Segurança Social e para Prestações Familiares] (para trabalhadores assalariados de empregadores privados e cuidadores familiares);</w:t>
            </w:r>
            <w:r>
              <w:rPr>
                <w:rFonts w:ascii="Times New Roman" w:hAnsi="Times New Roman"/>
                <w:sz w:val="24"/>
              </w:rPr>
              <w:br/>
              <w:t>-</w:t>
            </w:r>
            <w:r w:rsidR="003C718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Um recibo de ordenado (para trabalhadores assalariados do serviço doméstico), um recibo de ordenado relativo a cheques de emprego para serviços universais (CESU) (para trabalhadores de empregadores privados) ou uma cópia da declaração mensal de compensação </w:t>
            </w:r>
            <w:r>
              <w:rPr>
                <w:rFonts w:ascii="Times New Roman" w:hAnsi="Times New Roman"/>
                <w:sz w:val="24"/>
              </w:rPr>
              <w:lastRenderedPageBreak/>
              <w:t>financeira (para cuidadores familiares) referente a menos de 3 meses.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77321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1,00 EUR, excluindo o imposto sobre a dispensa de 10 autotestes ao segurado, durante um mês.</w:t>
            </w:r>
            <w:r>
              <w:rPr>
                <w:rFonts w:ascii="Times New Roman" w:hAnsi="Times New Roman"/>
                <w:sz w:val="24"/>
              </w:rPr>
              <w:br/>
              <w:t>Sobretaxa acrescida, se for caso disso, de um coeficiente para os departamentos e regiões enumerados no quadro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883C5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De 12 de abril de 2021 a 15 de maio de 2021</w:t>
            </w:r>
            <w:r>
              <w:rPr>
                <w:rFonts w:ascii="Times New Roman" w:hAnsi="Times New Roman"/>
                <w:sz w:val="24"/>
              </w:rPr>
              <w:br/>
              <w:t>5,20 EUR por autoteste</w:t>
            </w:r>
            <w:r>
              <w:rPr>
                <w:rFonts w:ascii="Times New Roman" w:hAnsi="Times New Roman"/>
                <w:sz w:val="24"/>
              </w:rPr>
              <w:br/>
              <w:t>A partir de 16 de maio de 2021</w:t>
            </w:r>
            <w:r>
              <w:rPr>
                <w:rFonts w:ascii="Times New Roman" w:hAnsi="Times New Roman"/>
                <w:sz w:val="24"/>
              </w:rPr>
              <w:br/>
              <w:t>4,20 EUR por autoteste</w:t>
            </w:r>
            <w:r>
              <w:rPr>
                <w:rFonts w:ascii="Times New Roman" w:hAnsi="Times New Roman"/>
                <w:sz w:val="24"/>
              </w:rPr>
              <w:br/>
              <w:t>taxa acrescida de um coeficiente para os departamentos e regiões enumerados no quadro 2</w:t>
            </w:r>
          </w:p>
        </w:tc>
      </w:tr>
    </w:tbl>
    <w:p w14:paraId="7FB9354D" w14:textId="5B2022DD" w:rsidR="005D5497" w:rsidRPr="005D5497" w:rsidRDefault="005D5497" w:rsidP="005D5497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Quadro 2</w:t>
      </w:r>
      <w:r w:rsidR="003C7183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- Sobretaxa aplicável ao subsídio de dispensa de autoteste e à taxa unitária do autoteste cobrado ao seguro de saúde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1451"/>
        <w:gridCol w:w="1117"/>
        <w:gridCol w:w="1302"/>
        <w:gridCol w:w="944"/>
        <w:gridCol w:w="825"/>
      </w:tblGrid>
      <w:tr w:rsidR="005D5497" w:rsidRPr="005D5497" w14:paraId="50F848B1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EC0FB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E60AF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Guadalupe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br/>
              <w:t>São Bartolomeu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br/>
              <w:t>São Martinho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FEB05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Martinica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809AB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Guiana Francesa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7997E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Reunião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875B3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Maiote</w:t>
            </w:r>
          </w:p>
        </w:tc>
      </w:tr>
      <w:tr w:rsidR="005D5497" w:rsidRPr="005D5497" w14:paraId="095F4517" w14:textId="77777777" w:rsidTr="005D549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98105" w14:textId="77777777" w:rsidR="005D5497" w:rsidRPr="005D5497" w:rsidRDefault="005D5497" w:rsidP="005D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Coeficiente de sobretaxa aplicável ao subsídio de dispensa e à taxa de autoteste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78B09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DB987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3410A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30408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E9A39" w14:textId="77777777" w:rsidR="005D5497" w:rsidRPr="005D5497" w:rsidRDefault="005D5497" w:rsidP="005D5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1,36</w:t>
            </w:r>
          </w:p>
        </w:tc>
      </w:tr>
    </w:tbl>
    <w:p w14:paraId="26EA48AA" w14:textId="77777777" w:rsidR="005D5497" w:rsidRPr="005D5497" w:rsidRDefault="005D5497" w:rsidP="005D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Datado de 10 de abril de 2021.</w:t>
      </w:r>
    </w:p>
    <w:p w14:paraId="04F27C46" w14:textId="77777777" w:rsidR="005D5497" w:rsidRPr="005D5497" w:rsidRDefault="005D5497" w:rsidP="005D5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Olivier Véran</w:t>
      </w:r>
    </w:p>
    <w:p w14:paraId="65964D17" w14:textId="77777777" w:rsidR="00B17EF3" w:rsidRDefault="00B17EF3"/>
    <w:sectPr w:rsidR="00B17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97"/>
    <w:rsid w:val="003C7183"/>
    <w:rsid w:val="005D5497"/>
    <w:rsid w:val="00B1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57EF"/>
  <w15:chartTrackingRefBased/>
  <w15:docId w15:val="{012D7192-7908-4084-9470-9F289175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2234</Words>
  <Characters>11753</Characters>
  <Application>Microsoft Office Word</Application>
  <DocSecurity>0</DocSecurity>
  <Lines>367</Lines>
  <Paragraphs>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Ines Varvodic</cp:lastModifiedBy>
  <cp:revision>2</cp:revision>
  <dcterms:created xsi:type="dcterms:W3CDTF">2021-12-14T08:13:00Z</dcterms:created>
  <dcterms:modified xsi:type="dcterms:W3CDTF">2021-12-14T08:13:00Z</dcterms:modified>
</cp:coreProperties>
</file>