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F67888">
      <w:pPr>
        <w:pStyle w:val="12PromKlEinlSatz"/>
        <w:keepNext w:val="0"/>
        <w:spacing w:before="0" w:after="120" w:line="240" w:lineRule="auto"/>
        <w:ind w:firstLine="0"/>
        <w:jc w:val="center"/>
        <w:rPr>
          <w:snapToGrid/>
          <w:rFonts w:ascii="Courier New" w:hAnsi="Courier New"/>
        </w:rPr>
      </w:pPr>
      <w:r>
        <w:rPr>
          <w:snapToGrid/>
          <w:rFonts w:ascii="Courier New" w:hAnsi="Courier New"/>
        </w:rPr>
        <w:t xml:space="preserve">1.</w:t>
      </w:r>
      <w:r>
        <w:rPr>
          <w:snapToGrid/>
          <w:rFonts w:ascii="Courier New" w:hAnsi="Courier New"/>
        </w:rPr>
        <w:t xml:space="preserve"> </w:t>
      </w:r>
      <w:r>
        <w:rPr>
          <w:snapToGrid/>
          <w:rFonts w:ascii="Courier New" w:hAnsi="Courier New"/>
        </w:rPr>
        <w:t xml:space="preserve">------IND- 2019 0198 F-- FI-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 xml:space="preserve">RANSKAN TASAVALTA</w:t>
            </w:r>
          </w:p>
        </w:tc>
      </w:tr>
      <w:tr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 xml:space="preserve">Sisäministeriö</w:t>
            </w: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lang w:eastAsia="fr-FR"/>
        </w:rPr>
      </w:pPr>
    </w:p>
    <w:p w:rsidR="002E1BE9" w:rsidRPr="00D80E56" w:rsidRDefault="00C3678D" w:rsidP="00D80E56">
      <w:pPr>
        <w:suppressAutoHyphens w:val="0"/>
        <w:jc w:val="center"/>
        <w:rPr>
          <w:b/>
          <w:bCs/>
        </w:rPr>
      </w:pPr>
      <w:r>
        <w:rPr>
          <w:b/>
          <w:bCs/>
        </w:rPr>
        <w:t xml:space="preserve">Asetus nro°</w:t>
        <w:tab/>
        <w:t xml:space="preserve">, annettu [päivämäärä],</w:t>
      </w:r>
      <w:r>
        <w:rPr>
          <w:b/>
          <w:bCs/>
        </w:rPr>
        <w:br/>
      </w:r>
    </w:p>
    <w:p w:rsidR="002E1BE9" w:rsidRPr="00D80E56" w:rsidRDefault="00C3678D" w:rsidP="00D80E56">
      <w:pPr>
        <w:suppressAutoHyphens w:val="0"/>
        <w:jc w:val="center"/>
        <w:rPr>
          <w:b/>
          <w:bCs/>
        </w:rPr>
      </w:pPr>
      <w:r>
        <w:rPr>
          <w:b/>
          <w:bCs/>
        </w:rPr>
        <w:t xml:space="preserve">henkilökohtaisten liikkumisvälineiden sääntelystä</w:t>
      </w:r>
    </w:p>
    <w:p w:rsidR="00D80E56" w:rsidRPr="00D80E56" w:rsidRDefault="00D80E56" w:rsidP="00D80E56">
      <w:pPr>
        <w:suppressAutoHyphens w:val="0"/>
        <w:jc w:val="center"/>
        <w:rPr>
          <w:b/>
          <w:bCs/>
          <w:lang w:eastAsia="fr-FR"/>
        </w:rPr>
      </w:pPr>
    </w:p>
    <w:p w:rsidR="002E1BE9" w:rsidRPr="006124E3" w:rsidRDefault="00C3678D" w:rsidP="00D80E56">
      <w:pPr>
        <w:suppressAutoHyphens w:val="0"/>
        <w:jc w:val="center"/>
        <w:rPr>
          <w:rStyle w:val="Policepardfaut"/>
        </w:rPr>
      </w:pPr>
      <w:r>
        <w:rPr>
          <w:rStyle w:val="Policepardfaut"/>
        </w:rPr>
        <w:t xml:space="preserve">NOR:</w:t>
      </w:r>
      <w:r>
        <w:rPr>
          <w:rStyle w:val="Policepardfaut"/>
        </w:rPr>
        <w:t xml:space="preserve"> </w:t>
      </w:r>
      <w:r>
        <w:rPr>
          <w:rStyle w:val="Policepardfaut"/>
        </w:rPr>
        <w:t xml:space="preserve">INT</w:t>
      </w:r>
    </w:p>
    <w:p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rPr>
      </w:pPr>
      <w:r>
        <w:rPr>
          <w:rStyle w:val="Policepardfaut"/>
          <w:i/>
          <w:iCs/>
          <w:b/>
          <w:bCs/>
        </w:rPr>
        <w:t xml:space="preserve">Asianosaiset</w:t>
      </w:r>
      <w:r>
        <w:rPr>
          <w:rStyle w:val="Policepardfaut"/>
          <w:i/>
          <w:iCs/>
        </w:rPr>
        <w:t xml:space="preserve">: tienkäyttäjät, paikallisyhteisöt, lainvalvontaviranomaiset.</w:t>
      </w:r>
    </w:p>
    <w:p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rPr>
      </w:pPr>
      <w:r>
        <w:rPr>
          <w:rStyle w:val="Policepardfaut"/>
          <w:i/>
          <w:iCs/>
          <w:b/>
          <w:bCs/>
        </w:rPr>
        <w:t xml:space="preserve">Aihe:</w:t>
      </w:r>
      <w:r>
        <w:rPr>
          <w:rStyle w:val="Policepardfaut"/>
          <w:i/>
          <w:iCs/>
        </w:rPr>
        <w:t xml:space="preserve"> henkilökohtaisten liikkumisvälineiden teknisten ominaisuuksien ja ajoedellytysten määrittely.</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i/>
          <w:iCs/>
          <w:b/>
          <w:bCs/>
        </w:rPr>
        <w:t xml:space="preserve">Voimaantulo</w:t>
      </w:r>
      <w:r>
        <w:rPr>
          <w:rStyle w:val="Policepardfaut"/>
          <w:i/>
          <w:iCs/>
        </w:rPr>
        <w:t xml:space="preserve">: säädös tulee voimaan sen julkaisua seuraavana päivänä, lukuun ottamatta asetusluonnoksen 4, 5, 7, 8 ja 11 §:ää, jotka tulevat voimaan 1 päivänä heinäkuuta 2020.</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i/>
          <w:iCs/>
          <w:b/>
          <w:bCs/>
        </w:rPr>
        <w:t xml:space="preserve">Huomautus:</w:t>
      </w:r>
      <w:r>
        <w:rPr>
          <w:rStyle w:val="Policepardfaut"/>
          <w:i/>
          <w:iCs/>
        </w:rPr>
        <w:t xml:space="preserve"> Luonnoksen tarkoituksena on määritellä henkilökohtaiset liikkumisvälineet uusiksi ajoneuvoluokiksi tieliikennelaissa, määritellä niiden tekniset ominaisuudet ja määritellä niiden käyttö yleisillä teillä.</w:t>
      </w:r>
      <w:r>
        <w:rPr>
          <w:rStyle w:val="Policepardfaut"/>
          <w:i/>
          <w:iCs/>
        </w:rPr>
        <w:t xml:space="preserve"> </w:t>
      </w:r>
      <w:r>
        <w:rPr>
          <w:rStyle w:val="Policepardfaut"/>
          <w:i/>
          <w:iCs/>
        </w:rPr>
        <w:t xml:space="preserve">Siinä säädetään erityisesti varusteista, joita kyseisten ajoneuvojen kuljettajien on käytettävä, sekä liikennealueista, joissa kyseisten kuljettajien on ajettava ja joissa he voivat ajaa taajamassa ja taajaman ulkopuolella.</w:t>
      </w:r>
      <w:r>
        <w:rPr>
          <w:rStyle w:val="Policepardfaut"/>
          <w:i/>
          <w:iCs/>
        </w:rPr>
        <w:t xml:space="preserve"> </w:t>
      </w:r>
      <w:r>
        <w:rPr>
          <w:rStyle w:val="Policepardfaut"/>
          <w:i/>
          <w:iCs/>
        </w:rPr>
        <w:t xml:space="preserve">Luonnoksessa säädetään kunnanjohtajalle tarjotuista mahdollisuuksista poiketa näistä yleisistä puitteista; kunnanjohtaja voi erityisesti sallia jalkakäytävällä ajamisen.</w:t>
      </w:r>
      <w:r>
        <w:rPr>
          <w:rStyle w:val="Policepardfaut"/>
          <w:i/>
          <w:iCs/>
        </w:rPr>
        <w:t xml:space="preserve"> </w:t>
      </w:r>
      <w:r>
        <w:rPr>
          <w:rStyle w:val="Policepardfaut"/>
          <w:i/>
          <w:iCs/>
        </w:rPr>
        <w:t xml:space="preserve">Siinä säädetään myös seuraamuksista, joita sovelletaan, mikäli henkilökohtaisten liikkumisvälineiden kuljettajiin sovellettavia säännöksiä ei noudateta.</w:t>
      </w:r>
    </w:p>
    <w:p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rPr>
      </w:pPr>
      <w:r>
        <w:rPr>
          <w:rStyle w:val="Policepardfaut"/>
          <w:i/>
          <w:iCs/>
          <w:b/>
          <w:bCs/>
        </w:rPr>
        <w:t xml:space="preserve">Viitteet</w:t>
      </w:r>
      <w:r>
        <w:rPr>
          <w:rStyle w:val="Policepardfaut"/>
          <w:i/>
          <w:iCs/>
        </w:rPr>
        <w:t xml:space="preserve">: tällä asetuksella muutetaan tieliikennelain säädösosaa, ja tieliikennelakiin voi tutustua tähän muutokseen perustuvana toisintona Légifrance-verkkosivustolla (</w:t>
      </w:r>
      <w:hyperlink r:id="rId7" w:history="1">
        <w:r>
          <w:rPr>
            <w:rStyle w:val="Hyperlink"/>
            <w:i/>
            <w:iCs/>
          </w:rPr>
          <w:t xml:space="preserve">http://www.legifrance.gouv.fr</w:t>
        </w:r>
      </w:hyperlink>
      <w:r>
        <w:rPr>
          <w:rStyle w:val="Policepardfaut"/>
          <w:i/>
          <w:iCs/>
        </w:rPr>
        <w:t xml:space="preserve">).</w:t>
      </w:r>
    </w:p>
    <w:p w:rsidR="00D80E56" w:rsidRPr="00D80E56" w:rsidRDefault="00D80E56" w:rsidP="00D80E56">
      <w:pPr>
        <w:suppressAutoHyphens w:val="0"/>
        <w:jc w:val="both"/>
      </w:pPr>
    </w:p>
    <w:p w:rsidR="002E1BE9" w:rsidRPr="00D80E56" w:rsidRDefault="00C3678D" w:rsidP="00D80E56">
      <w:pPr>
        <w:suppressAutoHyphens w:val="0"/>
        <w:jc w:val="both"/>
        <w:rPr>
          <w:b/>
          <w:bCs/>
        </w:rPr>
      </w:pPr>
      <w:r>
        <w:rPr>
          <w:b/>
          <w:bCs/>
        </w:rPr>
        <w:t xml:space="preserve">Pääministeri, joka</w:t>
      </w:r>
    </w:p>
    <w:p w:rsidR="00D80E56" w:rsidRPr="00D80E56" w:rsidRDefault="00D80E56" w:rsidP="00D80E56">
      <w:pPr>
        <w:suppressAutoHyphens w:val="0"/>
        <w:jc w:val="both"/>
        <w:rPr>
          <w:b/>
          <w:bCs/>
          <w:lang w:eastAsia="fr-FR"/>
        </w:rPr>
      </w:pPr>
    </w:p>
    <w:p w:rsidR="002E1BE9" w:rsidRPr="00D80E56" w:rsidRDefault="00C3678D" w:rsidP="00D80E56">
      <w:pPr>
        <w:suppressAutoHyphens w:val="0"/>
        <w:jc w:val="both"/>
        <w:rPr>
          <w:rStyle w:val="Policepardfaut"/>
        </w:rPr>
      </w:pPr>
      <w:r>
        <w:rPr>
          <w:rStyle w:val="Policepardfaut"/>
        </w:rPr>
        <w:t xml:space="preserve">sisäministerin selonteon perusteella</w:t>
      </w:r>
    </w:p>
    <w:p w:rsidR="00D80E56" w:rsidRPr="00D80E56" w:rsidRDefault="00D80E56" w:rsidP="00D80E56">
      <w:pPr>
        <w:suppressAutoHyphens w:val="0"/>
        <w:jc w:val="both"/>
      </w:pPr>
    </w:p>
    <w:p w:rsidR="002E1BE9" w:rsidRPr="00D80E56" w:rsidRDefault="00C3678D" w:rsidP="00D80E56">
      <w:pPr>
        <w:suppressAutoHyphens w:val="0"/>
        <w:jc w:val="both"/>
      </w:pPr>
      <w:r>
        <w:t xml:space="preserve">ottaa huomioon kaksi- ja kolmipyöräisten ajoneuvojen ja nelipyörien hyväksynnästä ja markkinavalvonnasta 15 päivänä tammikuuta 2013 annetun Euroopan parlamentin ja neuvoston asetuksen (EU) N:o 168/2013 ja erityisesti sen 2 artiklan;</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ottaa huomioon rikoslain ja erityisesti sen R. 610-1 §:n;</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ottaa huomioon rikosprosessilain ja erityisesti sen R. 49-2 §:n;</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ottaa huomioon tieliikennelain;</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ottaa huomioon liikenneturvallisuutta käsittelevän pysyvän ministeriöiden välisen työryhmän [päivämäärä] antaman lausunnon;</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ottaa huomioon standardien arvioinnista vastaavan kansallisen neuvoston [päivämäärä] antaman lausunnon;</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ottaa huomioon Euroopan komissiolle [päivämäärä] 2019 toimitetun ilmoituksen ja</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kuultuaan Ranskan korkeinta hallinto-oikeutta (Conseil d’État) (julkisten töiden osastoa)</w:t>
      </w:r>
    </w:p>
    <w:p w:rsidR="00D80E56" w:rsidRPr="00D80E56" w:rsidRDefault="00D80E56" w:rsidP="00D80E56">
      <w:pPr>
        <w:suppressAutoHyphens w:val="0"/>
        <w:jc w:val="both"/>
        <w:rPr>
          <w:lang w:eastAsia="fr-FR"/>
        </w:rPr>
      </w:pPr>
    </w:p>
    <w:p w:rsidR="002E1BE9" w:rsidRPr="00D80E56" w:rsidRDefault="00C3678D" w:rsidP="00D80E56">
      <w:pPr>
        <w:keepNext/>
        <w:suppressAutoHyphens w:val="0"/>
        <w:jc w:val="center"/>
        <w:rPr>
          <w:b/>
          <w:bCs/>
        </w:rPr>
      </w:pPr>
      <w:r>
        <w:rPr>
          <w:b/>
          <w:bCs/>
        </w:rPr>
        <w:t xml:space="preserve">säätää seuraavaa:</w:t>
      </w:r>
    </w:p>
    <w:p w:rsidR="002E1BE9" w:rsidRPr="00D80E56" w:rsidRDefault="002E1BE9" w:rsidP="00D80E56">
      <w:pPr>
        <w:keepNext/>
        <w:suppressAutoHyphens w:val="0"/>
        <w:jc w:val="center"/>
        <w:rPr>
          <w:b/>
          <w:bCs/>
          <w:lang w:eastAsia="fr-FR"/>
        </w:rPr>
      </w:pPr>
    </w:p>
    <w:p w:rsidR="002E1BE9" w:rsidRPr="00D80E56" w:rsidRDefault="00C3678D" w:rsidP="00C84D10">
      <w:pPr>
        <w:keepNext/>
        <w:suppressAutoHyphens w:val="0"/>
        <w:jc w:val="center"/>
      </w:pPr>
      <w:r>
        <w:rPr>
          <w:rStyle w:val="Policepardfaut"/>
          <w:b/>
          <w:bCs/>
        </w:rPr>
        <w:t xml:space="preserve">1 §</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Muutetaan tieliikennelaki 2–29 §:n mukaisesti.</w:t>
      </w:r>
    </w:p>
    <w:p w:rsidR="00D80E56" w:rsidRPr="00D80E56" w:rsidRDefault="00D80E56" w:rsidP="00D80E56">
      <w:pPr>
        <w:suppressAutoHyphens w:val="0"/>
        <w:ind w:left="17"/>
        <w:jc w:val="both"/>
        <w:rPr>
          <w:lang w:eastAsia="fr-FR"/>
        </w:rPr>
      </w:pPr>
    </w:p>
    <w:p w:rsidR="002E1BE9" w:rsidRPr="00D80E56" w:rsidRDefault="00C3678D" w:rsidP="00C84D10">
      <w:pPr>
        <w:keepNext/>
        <w:suppressAutoHyphens w:val="0"/>
        <w:jc w:val="center"/>
        <w:rPr>
          <w:b/>
          <w:bCs/>
        </w:rPr>
      </w:pPr>
      <w:r>
        <w:rPr>
          <w:b/>
          <w:bCs/>
        </w:rPr>
        <w:t xml:space="preserve">2 §</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Muutetaan R. 110-2 § seuraavasti: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1° Korvataan kolmannessa alamomentissa ilmaisu ”R. 431-9 §:n [säännöksistä muuta johdu],” ilmaisulla ”R. 412-43-1 ja R. 431-9 §:n [säännöksistä muuta johdu],”;</w:t>
      </w:r>
    </w:p>
    <w:p w:rsidR="002E1BE9" w:rsidRPr="00D80E56" w:rsidRDefault="002E1BE9" w:rsidP="00D80E56">
      <w:pPr>
        <w:suppressAutoHyphens w:val="0"/>
        <w:ind w:left="17"/>
        <w:jc w:val="both"/>
        <w:rPr>
          <w:lang w:eastAsia="fr-FR"/>
        </w:rPr>
      </w:pPr>
    </w:p>
    <w:p w:rsidR="002E1BE9" w:rsidRPr="006124E3" w:rsidRDefault="00C3678D" w:rsidP="00D80E56">
      <w:pPr>
        <w:suppressAutoHyphens w:val="0"/>
        <w:ind w:left="17"/>
        <w:jc w:val="both"/>
        <w:rPr>
          <w:rStyle w:val="Policepardfaut"/>
        </w:rPr>
      </w:pPr>
      <w:r>
        <w:rPr>
          <w:rStyle w:val="Policepardfaut"/>
        </w:rPr>
        <w:t xml:space="preserve">2° Lisätään viidennessä ja yhdennessätoista alamomentissa ilmaisun ”kaksi- tai kolmipyöräisille polkupyörille” jälkeen ilmaisu ”ja moottorikäyttöisille henkilökohtaisille liikkumisvälineille”;</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 xml:space="preserve">3° Lisätään neljännessätoista alamomentissa ilmaisun ”muiden kuin moottorikäyttöisten ajoneuvojen” jälkeen ilmaisu ”, lukuun ottamatta moottorikäyttöisiä henkilökohtaisia liikkumisvälineitä”;</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 xml:space="preserve">4° Lisätään viidennessätoista ja kuudennessatoista alamomentissa ilmaisun ”kaksisuuntaisia pyöräilijöille” jälkeen ilmaisu ”ja moottorikäyttöisten henkilökohtaisten liikkumisvälineiden kuljettajille,”.</w:t>
      </w:r>
    </w:p>
    <w:p w:rsidR="002E1BE9" w:rsidRPr="00D80E56" w:rsidRDefault="002E1BE9" w:rsidP="00D80E56">
      <w:pPr>
        <w:suppressAutoHyphens w:val="0"/>
        <w:ind w:left="17"/>
        <w:jc w:val="both"/>
      </w:pPr>
    </w:p>
    <w:p w:rsidR="002E1BE9" w:rsidRPr="00D80E56" w:rsidRDefault="00C3678D" w:rsidP="00C84D10">
      <w:pPr>
        <w:keepNext/>
        <w:suppressAutoHyphens w:val="0"/>
        <w:jc w:val="center"/>
        <w:rPr>
          <w:b/>
          <w:bCs/>
        </w:rPr>
      </w:pPr>
      <w:r>
        <w:rPr>
          <w:b/>
          <w:bCs/>
        </w:rPr>
        <w:t xml:space="preserve">3 §</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 xml:space="preserve">Lisätään R. 311-1 §:n 6.13 alamomentin jälkeen uudet alamomentit seuraavasti:</w:t>
      </w:r>
    </w:p>
    <w:p w:rsidR="002E1BE9" w:rsidRPr="00D80E56" w:rsidRDefault="002E1BE9" w:rsidP="00D80E56">
      <w:pPr>
        <w:keepNext/>
        <w:suppressAutoHyphens w:val="0"/>
        <w:ind w:left="17"/>
        <w:jc w:val="both"/>
      </w:pPr>
    </w:p>
    <w:p w:rsidR="002E1BE9" w:rsidRPr="00D80E56" w:rsidRDefault="00C3678D" w:rsidP="00D80E56">
      <w:pPr>
        <w:pStyle w:val="BodyText"/>
        <w:suppressAutoHyphens w:val="0"/>
        <w:spacing w:after="0"/>
        <w:ind w:left="17"/>
        <w:jc w:val="both"/>
      </w:pPr>
      <w:r>
        <w:t xml:space="preserve">”6.14.</w:t>
      </w:r>
      <w:r>
        <w:t xml:space="preserve"> </w:t>
      </w:r>
      <w:r>
        <w:t xml:space="preserve">Henkilökohtainen liikkumisväline: moottorikäyttöinen tai muu kuin moottorikäyttöinen henkilökohtainen liikkumisväline.</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pacing w:after="0"/>
        <w:jc w:val="both"/>
      </w:pPr>
      <w:r>
        <w:rPr>
          <w:rStyle w:val="Policepardfaut"/>
        </w:rPr>
        <w:t xml:space="preserve">6.15.</w:t>
      </w:r>
      <w:r>
        <w:rPr>
          <w:rStyle w:val="Policepardfaut"/>
        </w:rPr>
        <w:t xml:space="preserve"> </w:t>
      </w:r>
      <w:r>
        <w:rPr>
          <w:rStyle w:val="Policepardfaut"/>
        </w:rPr>
        <w:t xml:space="preserve">Moottorikäyttöinen henkilökohtainen liikkumisväline: istumapaikaton ajoneuvo, joka on suunniteltu yhden henkilön liikkumista varten, jossa ei ole mitään tavaran kuljetuksen mahdollistavia erityisvarusteita, joka on varustettu muulla kuin polttoainekäyttöisellä moottorilla tai muulla kuin polttoainekäyttöisellä apumoottorilla ja jonka suurin rakenteellinen nopeus on ehdottomasti yli 6 kilometriä tunnissa ja korkeintaan 25 kilometriä tunnissa.</w:t>
      </w:r>
      <w:r>
        <w:rPr>
          <w:rStyle w:val="Policepardfaut"/>
        </w:rPr>
        <w:t xml:space="preserve"> </w:t>
      </w:r>
      <w:r>
        <w:rPr>
          <w:rStyle w:val="Policepardfaut"/>
        </w:rPr>
        <w:t xml:space="preserve">Siinä voi kuitenkin olla satula, jos se on varustettu gyroskooppisella vakautusjärjestelmällä.</w:t>
      </w:r>
      <w:r>
        <w:rPr>
          <w:rStyle w:val="Policepardfaut"/>
        </w:rPr>
        <w:t xml:space="preserve"> </w:t>
      </w:r>
      <w:r>
        <w:rPr>
          <w:rStyle w:val="Policepardfaut"/>
        </w:rPr>
        <w:t xml:space="preserve">Ainoastaan liikuntarajoitteisille henkilöille tarkoitetut välineet eivät kuulu tähän luokkaan.</w:t>
      </w:r>
    </w:p>
    <w:p w:rsidR="002E1BE9" w:rsidRPr="00D80E56" w:rsidRDefault="002E1BE9" w:rsidP="00D80E56">
      <w:pPr>
        <w:pStyle w:val="BodyText"/>
        <w:spacing w:after="0"/>
        <w:jc w:val="both"/>
        <w:rPr>
          <w:lang w:eastAsia="fr-FR"/>
        </w:rPr>
      </w:pPr>
    </w:p>
    <w:p w:rsidR="002E1BE9" w:rsidRPr="00D80E56" w:rsidRDefault="00C3678D" w:rsidP="00D80E56">
      <w:pPr>
        <w:pStyle w:val="BodyText"/>
        <w:spacing w:after="0"/>
        <w:jc w:val="both"/>
      </w:pPr>
      <w:r>
        <w:t xml:space="preserve">6.16.</w:t>
      </w:r>
      <w:r>
        <w:t xml:space="preserve"> </w:t>
      </w:r>
      <w:r>
        <w:t xml:space="preserve">Muu kuin moottorikäyttöinen henkilökohtainen liikkumisväline: pienikokoinen ajoneuvo, jossa ei ole moottoria.”</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4 §</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 xml:space="preserve">Lisätään R. 312-10 §:n I momentin 6 alamomentin jälkeen 7 alamomentti seuraavasti: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”7° 0,90 metriä moottorikäyttöisten henkilökohtaisten liikkumisvälineiden osalta.”</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5 §</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 xml:space="preserve">Lisätään R. 312-11 §:n I momentin 11 alamomentin jälkeen 12 alamomentti seuraavasti: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 xml:space="preserve">”12° Moottorikäyttöiset henkilökohtaiset liikkumisvälineet:</w:t>
      </w:r>
      <w:r>
        <w:rPr>
          <w:rStyle w:val="Policepardfaut"/>
        </w:rPr>
        <w:t xml:space="preserve"> </w:t>
      </w:r>
      <w:r>
        <w:rPr>
          <w:rStyle w:val="Policepardfaut"/>
        </w:rPr>
        <w:t xml:space="preserve">1,30 metriä.”</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6 §</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Muutetaan R. 313-1 § seuraavasti: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1° Lisätään toisessa momentissa ilmaisun ”polkupyörän kuljettajille” jälkeen ilmaisu ”tai moottorikäyttöisen henkilökohtaisen liikkumisvälineen [kuljettajille]”;</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t xml:space="preserve">2° Lisätään viimeinen momentti seuraavasti:</w:t>
      </w:r>
      <w:r>
        <w:t xml:space="preserve"> </w:t>
      </w:r>
      <w:r>
        <w:t xml:space="preserve">”Lain R. 313-2, R. 313-3, R. 313-3-1 – R. 313-3-4, R. 313-4-1, R. 313-6 – R. 313-17 ja R. 313-17-1 §:n säännöksiä ei sovelleta moottorikäyttöisiin henkilökohtaisiin liikkumisvälineisiin.”</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7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Lisätään R. 313-4 §:n X momentissa, R. 313-5 §:n V momentissa, R. 313-18 §:n V momentissa, R. 313-19 §:n III momentissa, R. 313-20 §:n IV momentissa ja R. 313-33 §:n kolmannessa momentissa ilmaisun ”polkupyörät” jälkeen ilmaisu ”tai moottorikäyttöiset henkilökohtaiset liikkumisvälineet”.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 xml:space="preserve">8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Lisätään R. 313-4 §:n XIII momentissa, R. 313-5 ja R. 313-18 §:n XI momentissa, R. 313-19 §:n V momentissa, R. 313-20 §:n VIII momentissa ja R. 313-33 §:n viimeisessä momentissa ilmaisun ”polkupyörien kuljettajille” jälkeen ilmaisu ”tai moottorikäyttöisten henkilökohtaisten liikkumisvälineiden [kuljettajille]”.</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9 §</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4"/>
        <w:jc w:val="both"/>
      </w:pPr>
      <w:r>
        <w:rPr>
          <w:rStyle w:val="Policepardfaut"/>
        </w:rPr>
        <w:t xml:space="preserve">Muutetaan R. 314-1 § seuraavasti:</w:t>
      </w:r>
    </w:p>
    <w:p w:rsidR="002E1BE9" w:rsidRPr="00D80E56" w:rsidRDefault="002E1BE9" w:rsidP="00D80E56">
      <w:pPr>
        <w:keepNext/>
        <w:suppressAutoHyphens w:val="0"/>
        <w:ind w:left="14"/>
        <w:jc w:val="both"/>
        <w:rPr>
          <w:lang w:eastAsia="fr-FR"/>
        </w:rPr>
      </w:pPr>
    </w:p>
    <w:p w:rsidR="002E1BE9" w:rsidRPr="00D80E56" w:rsidRDefault="00C3678D" w:rsidP="00D80E56">
      <w:pPr>
        <w:suppressAutoHyphens w:val="0"/>
        <w:ind w:left="17"/>
        <w:jc w:val="both"/>
      </w:pPr>
      <w:r>
        <w:rPr>
          <w:rStyle w:val="Policepardfaut"/>
        </w:rPr>
        <w:t xml:space="preserve">1° Lisätään ensimmäisessä momentissa ilmaisun ”maatalouskoneita” jälkeen ilmaisu ”ja moottorikäyttöisiä henkilökohtaisia liikkumisvälineitä”;</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rPr>
          <w:rStyle w:val="Policepardfaut"/>
        </w:rPr>
        <w:t xml:space="preserve">2° Lisätään viidennessä momentissa ilmaisun ”maatalouskoneet” jälkeen ilmaisu ”ja moottorikäyttöiset henkilökohtaiset liikkumisvälineet”.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10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Lisätään R. 315-1 §:n I momentissa ilmaisun ”yleisissä töissä [käytettäviä ajoneuvoja ja välineitä]” jälkeen ”moottorikäyttöisiä henkilökohtaisia liikkumisvälineitä”.</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11 §</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Lisätään R. 315-6 §:n jälkeen R. 315-7 § seuraavasti:</w:t>
      </w:r>
    </w:p>
    <w:p w:rsidR="002E1BE9" w:rsidRPr="00D80E56" w:rsidRDefault="002E1BE9" w:rsidP="00D80E56">
      <w:pPr>
        <w:keepNext/>
        <w:suppressAutoHyphens w:val="0"/>
        <w:ind w:left="14"/>
        <w:jc w:val="both"/>
        <w:rPr>
          <w:lang w:eastAsia="fr-FR"/>
        </w:rPr>
      </w:pPr>
    </w:p>
    <w:p w:rsidR="002E1BE9" w:rsidRPr="00D80E56" w:rsidRDefault="00C3678D" w:rsidP="00D80E56">
      <w:pPr>
        <w:pStyle w:val="BodyText"/>
        <w:suppressAutoHyphens w:val="0"/>
        <w:spacing w:after="0"/>
        <w:ind w:left="17"/>
        <w:jc w:val="both"/>
      </w:pPr>
      <w:r>
        <w:rPr>
          <w:rStyle w:val="Policepardfaut"/>
        </w:rPr>
        <w:t xml:space="preserve">”</w:t>
      </w:r>
      <w:r>
        <w:rPr>
          <w:rStyle w:val="Policepardfaut"/>
          <w:i/>
          <w:iCs/>
        </w:rPr>
        <w:t xml:space="preserve">R. 315-7 §.- </w:t>
      </w:r>
      <w:r>
        <w:rPr>
          <w:rStyle w:val="Policepardfaut"/>
        </w:rPr>
        <w:t xml:space="preserve">I - Kaikki moottorikäyttöiset henkilökohtaiset liikkumisvälineet on varustettava tehokkaalla jarrulaitteella.</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t xml:space="preserve">II – Tämän pykälän säännösten rikkomisesta määrätään ensimmäisen luokan rikkomuksista annettava sakko.”</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keepNext/>
        <w:suppressAutoHyphens w:val="0"/>
        <w:ind w:left="17"/>
        <w:jc w:val="center"/>
        <w:rPr>
          <w:b/>
          <w:bCs/>
        </w:rPr>
      </w:pPr>
      <w:r>
        <w:rPr>
          <w:b/>
          <w:bCs/>
        </w:rPr>
        <w:t xml:space="preserve">12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Lisätään R. 316-4 §:n ensimmäisessä momentissa ilmaisun ”kevyitä moottorilla varustettuja nelipyöriä” jälkeen, R. 316-5 §:ssä ilmaisun ”kaksi- tai kolmipyöräisiä ajoneuvoja” jälkeen, R. 316-6 §:n ensimmäisessä momentissa ilmaisun ”maatalouskoneita” jälkeen ja R. 317-1 ja R. 317-5 §:n I momentissa ilmaisun ”nelipyöriä” jälkeen ilmaisu ”ja moottorikäyttöisiä henkilökohtaisia liikkumisvälineitä”.</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13 §</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 xml:space="preserve">Lisätään R. 317-14 §:n jälkeen R. 317-14-1 § seuraavasti:</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i/>
          <w:iCs/>
        </w:rPr>
        <w:t xml:space="preserve">”R. 317-14-1 §.</w:t>
      </w:r>
      <w:r>
        <w:rPr>
          <w:rStyle w:val="Policepardfaut"/>
          <w:i/>
          <w:iCs/>
        </w:rPr>
        <w:t xml:space="preserve"> </w:t>
      </w:r>
      <w:r>
        <w:rPr>
          <w:rStyle w:val="Policepardfaut"/>
        </w:rPr>
        <w:t xml:space="preserve">Lain R. 317-8 ja R. 317-9 §:n säännöksiä ei sovelleta moottorikäyttöisiin henkilökohtaisiin liikkumisvälineisiin.”</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14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Lisätään R. 317-16 §:ssä ilmaisun ”[T]ämän jakson [säännöksiä]” jälkeen ilmaisu ”ei sovelleta moottorikäyttöisiin henkilökohtaisiin liikkumisvälineisiin”.</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15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Lisätään R. 317-23-1 §:n ensimmäisessä momentissa ilmaisun ”mopon” jälkeen ilmaisu ”tai moottorikäyttöisen henkilökohtaisen liikkumisvälineen”.</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16 §</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 xml:space="preserve">Lisätään R. 321-4-1 §:n jälkeen R. 321-4-2 § seuraavasti:</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i/>
          <w:iCs/>
        </w:rPr>
        <w:t xml:space="preserve">”R. 321-4-2 §.</w:t>
      </w:r>
      <w:r>
        <w:rPr>
          <w:rStyle w:val="Policepardfaut"/>
          <w:i/>
          <w:iCs/>
        </w:rPr>
        <w:t xml:space="preserve"> </w:t>
      </w:r>
      <w:r>
        <w:rPr>
          <w:rStyle w:val="Policepardfaut"/>
        </w:rPr>
        <w:t xml:space="preserve">Moottorikäyttöisellä henkilökohtaisella liikkumisvälineellä, jonka suurin rakenteellinen nopeus on ehdottomasti yli 25 kilometriä tunnissa, ajamisesta yleisillä teillä määrätään viidennen luokan sakkorangaistus.</w:t>
      </w:r>
    </w:p>
    <w:p w:rsidR="002E1BE9" w:rsidRPr="00D80E56" w:rsidRDefault="002E1BE9" w:rsidP="00D80E56">
      <w:pPr>
        <w:pStyle w:val="BodyText"/>
        <w:spacing w:after="0"/>
        <w:jc w:val="both"/>
        <w:rPr>
          <w:lang w:eastAsia="fr-FR"/>
        </w:rPr>
      </w:pPr>
    </w:p>
    <w:p w:rsidR="002E1BE9" w:rsidRPr="00D80E56" w:rsidRDefault="00C3678D" w:rsidP="00D80E56">
      <w:pPr>
        <w:pStyle w:val="BodyText"/>
        <w:spacing w:after="0"/>
        <w:jc w:val="both"/>
      </w:pPr>
      <w:r>
        <w:t xml:space="preserve"> </w:t>
      </w:r>
      <w:r>
        <w:t xml:space="preserve">Menetetyksi tuomitsemisesta, liikkumisen estämisestä tai takavarikoinnista voidaan määrätä L. 325-1 – L.325-9 §:ssä säädettyjen ehtojen mukaisesti.”</w:t>
      </w:r>
    </w:p>
    <w:p w:rsidR="002E1BE9" w:rsidRPr="00D80E56" w:rsidRDefault="002E1BE9" w:rsidP="00D80E56">
      <w:pPr>
        <w:pStyle w:val="BodyText"/>
        <w:spacing w:after="0"/>
        <w:jc w:val="both"/>
        <w:rPr>
          <w:lang w:eastAsia="fr-FR"/>
        </w:rPr>
      </w:pPr>
    </w:p>
    <w:p w:rsidR="002E1BE9" w:rsidRPr="00D80E56" w:rsidRDefault="00C3678D" w:rsidP="00D80E56">
      <w:pPr>
        <w:keepNext/>
        <w:suppressAutoHyphens w:val="0"/>
        <w:ind w:left="17"/>
        <w:jc w:val="center"/>
        <w:rPr>
          <w:b/>
          <w:bCs/>
        </w:rPr>
      </w:pPr>
      <w:r>
        <w:rPr>
          <w:b/>
          <w:bCs/>
        </w:rPr>
        <w:t xml:space="preserve">17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Lisätään R. 321-15 §:n viimeisessä momentissa ilmaisun ”vanhoihin ajoneuvoihin,” jälkeen ilmaisu ”moottorikäyttöisiin henkilökohtaisiin liikkumisvälineisiin”.</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18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 xml:space="preserve">Lisätään R. 322-1 §:n V momentissa ilmaisun ”ei sovelleta” jälkeen ilmaisu ”moottorikäyttöisiin henkilökohtaisiin liikkumisvälineisiin eikä”.</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 xml:space="preserve">19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 xml:space="preserve">Lisätään R. 412-9 §:n neljännessä ja viidennessä momentissa ilmaisun ”polkupyörän kuljettaja” jälkeen ilmaisu ”tai moottorikäyttöisen henkilökohtaisen liikkumisvälineen [kuljettaja]”.</w:t>
      </w:r>
    </w:p>
    <w:p w:rsidR="002E1BE9" w:rsidRPr="00D80E56" w:rsidRDefault="002E1BE9" w:rsidP="00D80E56">
      <w:pPr>
        <w:suppressAutoHyphens w:val="0"/>
        <w:ind w:left="17"/>
        <w:jc w:val="center"/>
        <w:rPr>
          <w:lang w:eastAsia="fr-FR"/>
        </w:rPr>
      </w:pPr>
    </w:p>
    <w:p w:rsidR="002E1BE9" w:rsidRPr="00D80E56" w:rsidRDefault="00C3678D" w:rsidP="00D80E56">
      <w:pPr>
        <w:keepNext/>
        <w:suppressAutoHyphens w:val="0"/>
        <w:ind w:left="17"/>
        <w:jc w:val="center"/>
        <w:rPr>
          <w:b/>
          <w:bCs/>
        </w:rPr>
      </w:pPr>
      <w:r>
        <w:rPr>
          <w:b/>
          <w:bCs/>
        </w:rPr>
        <w:t xml:space="preserve">20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jc w:val="both"/>
      </w:pPr>
      <w:r>
        <w:t xml:space="preserve">Lisätään R. 412-19 §:n toisessa momentissa ilmaisun ”polkupyörän ohitus[ta varten]” jälkeen ilmaisu ”tai moottorikäyttöisen henkilökohtaisen liikkumisvälineen [ohitusta varten]”.</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21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Lisätään R. 412-28-1 §:ssä ilmaisun ”polkupyöräilijöille” jälkeen ilmaisu ”ja moottorikäyttöisten henkilökohtaisten liikkumisvälineiden kuljettajille”.</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22 §</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 xml:space="preserve">Lisätään R. 412-34 §:n II momentin 2 alamomentissa ilmaisun ”taluttavat polkupyörää,” jälkeen ilmaisu ”moottorikäyttöistä henkilökohtaista liikkumisvälinettä”.</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7"/>
        <w:jc w:val="center"/>
        <w:rPr>
          <w:b/>
          <w:bCs/>
        </w:rPr>
      </w:pPr>
      <w:r>
        <w:rPr>
          <w:b/>
          <w:bCs/>
        </w:rPr>
        <w:t xml:space="preserve">23 §</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Lisätään IV kirjan I osaston II luvun 6 jakson jälkeen 6 bis jakso seuraavasti:</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 xml:space="preserve">”6 bis jakso:</w:t>
      </w:r>
      <w:r>
        <w:rPr>
          <w:rStyle w:val="Policepardfaut"/>
        </w:rPr>
        <w:t xml:space="preserve"> </w:t>
      </w:r>
      <w:r>
        <w:rPr>
          <w:rStyle w:val="Policepardfaut"/>
        </w:rPr>
        <w:t xml:space="preserve">Henkilökohtaisten liikkumisvälineiden kuljettajien ajaminen</w:t>
      </w:r>
    </w:p>
    <w:p w:rsidR="002E1BE9" w:rsidRPr="00D80E56" w:rsidRDefault="002E1BE9" w:rsidP="00D80E56">
      <w:pPr>
        <w:suppressAutoHyphens w:val="0"/>
        <w:ind w:left="17"/>
        <w:jc w:val="both"/>
        <w:rPr>
          <w:lang w:eastAsia="fr-FR"/>
        </w:rPr>
      </w:pPr>
    </w:p>
    <w:p w:rsidR="002E1BE9" w:rsidRPr="00D80E56" w:rsidRDefault="00C3678D" w:rsidP="00D80E56">
      <w:pPr>
        <w:pStyle w:val="BodyText"/>
        <w:suppressAutoHyphens w:val="0"/>
        <w:spacing w:after="0"/>
        <w:ind w:left="17"/>
        <w:jc w:val="both"/>
      </w:pPr>
      <w:r>
        <w:rPr>
          <w:rStyle w:val="Policepardfaut"/>
          <w:i/>
          <w:iCs/>
        </w:rPr>
        <w:t xml:space="preserve">R. 412-43-1 §.- </w:t>
      </w:r>
      <w:r>
        <w:rPr>
          <w:rStyle w:val="Policepardfaut"/>
        </w:rPr>
        <w:t xml:space="preserve">I.-Moottorikäyttöisten henkilökohtaisten liikkumisvälineiden kuljettajien on taajamassa ajettava pyöräkaistoilla tai -teillä.</w:t>
      </w:r>
      <w:r>
        <w:rPr>
          <w:rStyle w:val="Policepardfaut"/>
        </w:rPr>
        <w:t xml:space="preserve"> </w:t>
      </w:r>
      <w:r>
        <w:rPr>
          <w:rStyle w:val="Policepardfaut"/>
        </w:rPr>
        <w:t xml:space="preserve">Jos pyörätie reunustaa ajorataa molemmin puolin, kuljettajien on käytettävä pyörätietä, joka on ajotien oikealla puolella ajosuunnassa.</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t xml:space="preserve">Mikäli kyseisiä alueita ei ole, he voivat ajaa myös</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 xml:space="preserve">1° ajoteillä, joilla suurin sallittu nopeus enintään 50 kilometriä tunnissa.</w:t>
      </w:r>
      <w:r>
        <w:t xml:space="preserve"> </w:t>
      </w:r>
      <w:r>
        <w:t xml:space="preserve">Moottorikäyttöisten henkilökohtaisen liikkumisvälineiden kuljettajat eivät saa koskaan ajaa vierekkäin ajoradalla;</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 xml:space="preserve">2° kävelykaduilla R. 431-9 §:n neljännessä momentissa määritettyjen ehtojen mukaisesti;</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 xml:space="preserve">3° päällystetyillä pientareilla.</w:t>
      </w:r>
    </w:p>
    <w:p w:rsidR="002E1BE9" w:rsidRPr="00D80E56" w:rsidRDefault="002E1BE9" w:rsidP="00D80E56">
      <w:pPr>
        <w:pStyle w:val="Standard"/>
        <w:widowControl w:val="0"/>
        <w:jc w:val="both"/>
        <w:rPr>
          <w:sz w:val="22"/>
          <w:szCs w:val="22"/>
        </w:rPr>
      </w:pPr>
    </w:p>
    <w:p w:rsidR="002E1BE9" w:rsidRPr="00D80E56" w:rsidRDefault="00C3678D" w:rsidP="00D80E56">
      <w:pPr>
        <w:pStyle w:val="Standard"/>
        <w:widowControl w:val="0"/>
        <w:jc w:val="both"/>
      </w:pPr>
      <w:r>
        <w:t xml:space="preserve">II.-Moottorikäyttöisillä henkilökohtaisilla liikkumisvälineillä ei saa ajaa taajaman ulkopuolella, lukuun ottamatta viherväyliä ja pyöräteitä.</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t xml:space="preserve">III.-Tämän pykälän säännöksistä poiketen poliisin toimivaltaa käyttävä viranomainen voi</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 xml:space="preserve">1° kieltää I ja II momentissa mainituilla alueilla ajamisen;</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 xml:space="preserve">2° sallia jalkakäytävällä ajamisen sillä edellytyksellä, että ajaminen tapahtuu kävelyvauhdilla ja jalankulkijoille ei aiheudu häiriötä.</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suppressAutoHyphens w:val="0"/>
        <w:ind w:left="17"/>
        <w:jc w:val="both"/>
      </w:pPr>
      <w:r>
        <w:t xml:space="preserve">IV - Kuljettajille, jotka rikkovat I ja II momentin säännöksiä tai III momentin 1 alamomentin nojalla annettuja ajorajoituksia, määrätään toisen luokan rikkomuksista annettava sakko.</w:t>
      </w:r>
      <w:r>
        <w:t xml:space="preserve"> </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Standard"/>
        <w:widowControl w:val="0"/>
        <w:suppressAutoHyphens w:val="0"/>
        <w:ind w:left="17"/>
        <w:jc w:val="both"/>
      </w:pPr>
      <w:r>
        <w:t xml:space="preserve">Moottorikäyttöisten henkilökohtaisten liikkumisvälineiden kuljettajille, jotka hyödyntäessään III momentin 2 alamomentissa tarkoitettua lupaa ajavat jalkakäytävällä kävelyvauhtia kovempaa nopeutta tai aiheuttavat häiriötä jalankulkijoille, määrätään toisen luokan rikkomuksista annettava sakko.</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BodyText"/>
        <w:widowControl w:val="0"/>
        <w:suppressAutoHyphens w:val="0"/>
        <w:spacing w:after="0"/>
        <w:ind w:left="17"/>
        <w:jc w:val="both"/>
      </w:pPr>
      <w:r>
        <w:rPr>
          <w:rStyle w:val="Policepardfaut"/>
          <w:i/>
          <w:iCs/>
        </w:rPr>
        <w:t xml:space="preserve">R. 412-43-2 §.</w:t>
      </w:r>
      <w:r>
        <w:rPr>
          <w:rStyle w:val="Policepardfaut"/>
        </w:rPr>
        <w:t xml:space="preserve">- Moottorikäyttöisten henkilökohtaisten liikkumisvälineiden kuljettajat eivät saa työntää tai vetää lastia tai ajoneuvoa.</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napToGrid w:val="0"/>
        <w:jc w:val="both"/>
        <w:rPr>
          <w:color w:val="auto"/>
        </w:rPr>
      </w:pPr>
      <w:r>
        <w:rPr>
          <w:color w:val="auto"/>
        </w:rPr>
        <w:t xml:space="preserve">Henkilökohtaisten liikkumisvälineiden kuljettajia ei saa hinata ajoneuvolla.</w:t>
      </w:r>
      <w:r>
        <w:rPr>
          <w:color w:val="auto"/>
        </w:rPr>
        <w:t xml:space="preserve"> </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uppressAutoHyphens w:val="0"/>
        <w:snapToGrid w:val="0"/>
        <w:ind w:left="17"/>
        <w:jc w:val="both"/>
        <w:rPr>
          <w:color w:val="auto"/>
        </w:rPr>
      </w:pPr>
      <w:r>
        <w:rPr>
          <w:color w:val="auto"/>
        </w:rPr>
        <w:t xml:space="preserve">Tämän pykälän säännösten rikkomisesta määrätään toisen luokan rikkomuksista annettava sakko.</w:t>
      </w:r>
    </w:p>
    <w:p w:rsidR="002E1BE9" w:rsidRPr="00D80E56" w:rsidRDefault="002E1BE9" w:rsidP="00D80E56">
      <w:pPr>
        <w:pStyle w:val="BodyText"/>
        <w:widowControl w:val="0"/>
        <w:suppressAutoHyphens w:val="0"/>
        <w:spacing w:after="0"/>
        <w:ind w:left="17"/>
        <w:jc w:val="both"/>
        <w:rPr>
          <w:i/>
          <w:iCs/>
          <w:lang w:eastAsia="fr-FR"/>
        </w:rPr>
      </w:pPr>
    </w:p>
    <w:p w:rsidR="002E1BE9" w:rsidRPr="00D80E56" w:rsidRDefault="00C3678D" w:rsidP="00D80E56">
      <w:pPr>
        <w:pStyle w:val="BodyText"/>
        <w:widowControl w:val="0"/>
        <w:suppressAutoHyphens w:val="0"/>
        <w:spacing w:after="0"/>
        <w:ind w:left="17"/>
        <w:jc w:val="both"/>
      </w:pPr>
      <w:r>
        <w:rPr>
          <w:rStyle w:val="Policepardfaut"/>
          <w:i/>
          <w:iCs/>
        </w:rPr>
        <w:t xml:space="preserve">R. 412-43-3 §.- </w:t>
      </w:r>
      <w:r>
        <w:rPr>
          <w:rStyle w:val="Policepardfaut"/>
        </w:rPr>
        <w:t xml:space="preserve">I.- Moottorikäyttöisten henkilökohtaisten liikkumisvälineiden kuljettajien on oltava vähintään kahdeksanvuotiaita.</w:t>
      </w:r>
    </w:p>
    <w:p w:rsidR="002E1BE9" w:rsidRPr="00D80E56" w:rsidRDefault="002E1BE9" w:rsidP="00D80E56">
      <w:pPr>
        <w:pStyle w:val="Textbody"/>
        <w:widowControl w:val="0"/>
        <w:rPr>
          <w:color w:val="auto"/>
          <w:u w:val="single"/>
          <w:lang w:eastAsia="fr-FR"/>
        </w:rPr>
      </w:pPr>
    </w:p>
    <w:p w:rsidR="002E1BE9" w:rsidRPr="00D80E56" w:rsidRDefault="00C3678D" w:rsidP="00D80E56">
      <w:pPr>
        <w:pStyle w:val="Textbody"/>
        <w:widowControl w:val="0"/>
        <w:jc w:val="both"/>
        <w:rPr>
          <w:color w:val="auto"/>
        </w:rPr>
      </w:pPr>
      <w:r>
        <w:rPr>
          <w:color w:val="auto"/>
        </w:rPr>
        <w:t xml:space="preserve">II.- Moottorikäyttöisten henkilökohtaisten liikkumisvälineiden kuljettajien on yöllä tai päivällä, jos näkyvyys on riittämätön, ajaessaan käytettävä lainsäädännön mukaista huomioliiviä tai heijastavia varusteita, joiden ominaisuudet vahvistetaan liikenneturvallisuudesta vastaavan ministerin määräyksessä.</w:t>
      </w:r>
      <w:r>
        <w:rPr>
          <w:color w:val="auto"/>
        </w:rPr>
        <w:t xml:space="preserve"> </w:t>
      </w:r>
      <w:r>
        <w:rPr>
          <w:color w:val="auto"/>
        </w:rPr>
        <w:t xml:space="preserve">Kuljettaja voi käyttää lisävalaisinta, joka ei häikäise eikä vilku.</w:t>
      </w:r>
    </w:p>
    <w:p w:rsidR="00D80E56" w:rsidRPr="00D80E56" w:rsidRDefault="00D80E56" w:rsidP="00D80E56">
      <w:pPr>
        <w:pStyle w:val="Textbody"/>
        <w:widowControl w:val="0"/>
        <w:jc w:val="both"/>
        <w:rPr>
          <w:color w:val="auto"/>
          <w:lang w:eastAsia="fr-FR"/>
        </w:rPr>
      </w:pPr>
    </w:p>
    <w:p w:rsidR="002E1BE9" w:rsidRPr="00D80E56" w:rsidRDefault="00C3678D" w:rsidP="00D80E56">
      <w:pPr>
        <w:pStyle w:val="Textbody"/>
        <w:jc w:val="both"/>
        <w:rPr>
          <w:color w:val="auto"/>
        </w:rPr>
      </w:pPr>
      <w:r>
        <w:rPr>
          <w:color w:val="auto"/>
        </w:rPr>
        <w:t xml:space="preserve">III.- Alle 12-vuotiaiden moottorikäyttöisten henkilökohtaisten liikkumisvälineiden kuljettajien on liikenteessä käytettävä kypärää, joka on henkilösuojaimia koskevan lainsäädännön mukainen.</w:t>
      </w:r>
      <w:r>
        <w:rPr>
          <w:color w:val="auto"/>
        </w:rPr>
        <w:t xml:space="preserve"> </w:t>
      </w:r>
      <w:r>
        <w:rPr>
          <w:color w:val="auto"/>
        </w:rPr>
        <w:t xml:space="preserve">Kypärän on oltava kiinnitetty.</w:t>
      </w:r>
    </w:p>
    <w:p w:rsidR="002E1BE9" w:rsidRPr="00D80E56" w:rsidRDefault="002E1BE9" w:rsidP="00D80E56">
      <w:pPr>
        <w:pStyle w:val="Textbody"/>
        <w:jc w:val="both"/>
        <w:rPr>
          <w:strike/>
          <w:color w:val="auto"/>
          <w:lang w:eastAsia="fr-FR"/>
        </w:rPr>
      </w:pPr>
    </w:p>
    <w:p w:rsidR="002E1BE9" w:rsidRPr="00D80E56" w:rsidRDefault="00C3678D" w:rsidP="00D80E56">
      <w:pPr>
        <w:pStyle w:val="Textbody"/>
        <w:jc w:val="both"/>
        <w:rPr>
          <w:color w:val="auto"/>
        </w:rPr>
      </w:pPr>
      <w:r>
        <w:rPr>
          <w:color w:val="auto"/>
        </w:rPr>
        <w:t xml:space="preserve">IV.- Kun vähintään 18-vuotias henkilö, joka saattaa vähintään yhtä alle 12-vuotiasta moottorikäyttöisen henkilökohtaisen liikkumisvälineen kuljettajaa, käyttää oikeudellista tai tosiasiallista määräysvaltaa suhteessa kyseiseen kuljettajaan tai kyseisiin kuljettajiin, hänen on varmistettava, että jokainen käyttää kypärää edellisessä momentissa säädettyjen ehtojen mukaisesti.</w:t>
      </w:r>
    </w:p>
    <w:p w:rsidR="002E1BE9" w:rsidRPr="00D80E56" w:rsidRDefault="002E1BE9" w:rsidP="00D80E56">
      <w:pPr>
        <w:pStyle w:val="Textbody"/>
        <w:jc w:val="both"/>
        <w:rPr>
          <w:color w:val="auto"/>
          <w:lang w:eastAsia="fr-FR"/>
        </w:rPr>
      </w:pPr>
    </w:p>
    <w:p w:rsidR="002E1BE9" w:rsidRPr="00D80E56" w:rsidRDefault="00C3678D" w:rsidP="00D80E56">
      <w:pPr>
        <w:pStyle w:val="Textbody"/>
        <w:jc w:val="both"/>
        <w:rPr>
          <w:rStyle w:val="Policepardfaut"/>
          <w:color w:val="auto"/>
        </w:rPr>
      </w:pPr>
      <w:r>
        <w:rPr>
          <w:rStyle w:val="Policepardfaut"/>
          <w:color w:val="auto"/>
        </w:rPr>
        <w:t xml:space="preserve">V.- Moottorikäyttöisillä henkilökohtaisilla liikkumisvälineillä ei saa kuljettaa matkustajia.</w:t>
      </w:r>
    </w:p>
    <w:p w:rsidR="00D80E56" w:rsidRPr="00D80E56" w:rsidRDefault="00D80E56" w:rsidP="00D80E56">
      <w:pPr>
        <w:pStyle w:val="Textbody"/>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 xml:space="preserve">VI.- Tämän pykälän II ja V momentin säännösten rikkomisesta määrätään toisen luokan rikkomuksista annettava sakko.</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pStyle w:val="Textbody"/>
        <w:widowControl w:val="0"/>
        <w:suppressAutoHyphens w:val="0"/>
        <w:ind w:left="17"/>
        <w:jc w:val="both"/>
        <w:rPr>
          <w:color w:val="auto"/>
        </w:rPr>
      </w:pPr>
      <w:r>
        <w:rPr>
          <w:color w:val="auto"/>
        </w:rPr>
        <w:t xml:space="preserve">Alle kahdeksanvuotiaan moottorikäyttöisen henkilökohtaisen liikkumisvälineen kuljettajaa saattaville täysi-ikäisille henkilöille, jotka eivät noudata IV momentin säännöksiä, määrätään neljännen luokan rikkomuksista annettava sakko.”</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keepNext/>
        <w:suppressAutoHyphens w:val="0"/>
        <w:ind w:left="14"/>
        <w:jc w:val="center"/>
        <w:rPr>
          <w:b/>
          <w:bCs/>
        </w:rPr>
      </w:pPr>
      <w:r>
        <w:rPr>
          <w:b/>
          <w:bCs/>
        </w:rPr>
        <w:t xml:space="preserve">24 §</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 xml:space="preserve">Lisätään R. 415-2 §:n toisessa ja viidennessä momentissa ilmaisun ”muun [ajoneuvon] kuin polkupyörän” jälkeen ilmaisu ”tai moottorikäyttöisen henkilökohtaisen liikkumisvälineen”.</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25 §</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 xml:space="preserve">Lisätään R. 415-3 §:n III momentissa ilmaisun ”tietä polkupyörille,” jälkeen ilmaisu ”moottorikäyttöisille henkilökohtaisille liikkumisvälineille”.</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26 §</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 xml:space="preserve">Muutetaan R. 415-4 § seuraavasti:</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 xml:space="preserve">1° Lisätään III momentissa ilmaisun ”polkupyörille” jälkeen ilmaisu ”moottorikäyttöisille henkilökohtaisille liikkumisvälineille”;</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 xml:space="preserve">2° Lisätään IV momentissa ilmaisun ”polkupyörän kuljettajat” jälkeen ilmaisu ”tai moottorikäyttöisen henkilökohtaisen liikkumisvälineen [kuljettajat],”.</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27 §</w:t>
      </w:r>
    </w:p>
    <w:p w:rsidR="002E1BE9" w:rsidRPr="00D80E56" w:rsidRDefault="002E1BE9" w:rsidP="00D80E56">
      <w:pPr>
        <w:keepNext/>
        <w:suppressAutoHyphens w:val="0"/>
        <w:ind w:left="14"/>
        <w:jc w:val="center"/>
        <w:rPr>
          <w:b/>
          <w:bCs/>
          <w:lang w:eastAsia="fr-FR"/>
        </w:rPr>
      </w:pPr>
    </w:p>
    <w:p w:rsidR="002E1BE9" w:rsidRPr="00D80E56" w:rsidRDefault="00C3678D" w:rsidP="00D80E56">
      <w:pPr>
        <w:suppressAutoHyphens w:val="0"/>
        <w:jc w:val="both"/>
      </w:pPr>
      <w:r>
        <w:t xml:space="preserve">Lisätään R. 415-15 §:n 2 alamomentissa ilmaisun ”yksi polkupyörille” ja ilmaisun ”pysäytysviiva polkupyörille” jälkeen ilmaisu ”ja moottorikäyttöisille henkilökohtaisille liikkumisvälineille”.</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4"/>
        <w:jc w:val="center"/>
        <w:rPr>
          <w:b/>
          <w:bCs/>
        </w:rPr>
      </w:pPr>
      <w:r>
        <w:rPr>
          <w:b/>
          <w:bCs/>
        </w:rPr>
        <w:t xml:space="preserve">28 §</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 xml:space="preserve">Muutetaan R. 417-10 §:n III momentti seuraavasti:</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 xml:space="preserve">1° Lisätään 2 alamomentissa ilmaisun ”kaksipyöräisiä polkupyöriä,” jälkeen ilmaisu ”henkilökohtaisia liikkumisvälineitä,”;</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 xml:space="preserve">2° Lisätään 6 alamomentissa ilmaisun ”lukuun ottamatta polkupyöriä” jälkeen ilmaisu ”ja henkilökohtaisia liikkumisvälineitä”.</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29 §</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t xml:space="preserve">Lisätään R. 417-11 §:n I momentin 8 alamomentissa ilmaisun ”apumoottorilla varustettuja polkupyöriä” jälkeen ilmaisu ”ja moottorikäyttöisiä henkilökohtaisia liikkumisvälineitä”.</w:t>
      </w:r>
    </w:p>
    <w:p w:rsidR="00D80E56" w:rsidRPr="00D80E56" w:rsidRDefault="00D80E56"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30 §</w:t>
      </w:r>
    </w:p>
    <w:p w:rsidR="002E1BE9" w:rsidRPr="00D80E56" w:rsidRDefault="002E1BE9" w:rsidP="00D80E56">
      <w:pPr>
        <w:keepNext/>
        <w:widowControl w:val="0"/>
        <w:suppressAutoHyphens w:val="0"/>
        <w:ind w:left="14"/>
        <w:jc w:val="both"/>
        <w:rPr>
          <w:lang w:eastAsia="fr-FR"/>
        </w:rPr>
      </w:pPr>
    </w:p>
    <w:p w:rsidR="002E1BE9" w:rsidRPr="00D80E56" w:rsidRDefault="00C3678D" w:rsidP="00D80E56">
      <w:pPr>
        <w:widowControl w:val="0"/>
        <w:suppressAutoHyphens w:val="0"/>
        <w:ind w:left="17"/>
        <w:jc w:val="both"/>
        <w:rPr>
          <w:rStyle w:val="Policepardfaut"/>
        </w:rPr>
      </w:pPr>
      <w:r>
        <w:rPr>
          <w:rStyle w:val="Policepardfaut"/>
        </w:rPr>
        <w:t xml:space="preserve">Tämän asetuksen 4, 5, 7, 8 ja 11 §:n säännökset tulevat voimaan 1 päivänä heinäkuuta 2020.</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bCs/>
        </w:rPr>
        <w:t xml:space="preserve">31 §</w:t>
      </w:r>
    </w:p>
    <w:p w:rsidR="00D80E56" w:rsidRPr="00D80E56" w:rsidRDefault="00D80E56" w:rsidP="00D80E56">
      <w:pPr>
        <w:keepNext/>
        <w:suppressAutoHyphens w:val="0"/>
        <w:ind w:left="14"/>
        <w:jc w:val="center"/>
        <w:rPr>
          <w:b/>
          <w:bCs/>
          <w:lang w:eastAsia="fr-FR"/>
        </w:rPr>
      </w:pPr>
    </w:p>
    <w:p w:rsidR="002E1BE9" w:rsidRPr="00D80E56" w:rsidRDefault="00C3678D" w:rsidP="00D80E56">
      <w:pPr>
        <w:suppressAutoHyphens w:val="0"/>
        <w:ind w:left="17"/>
        <w:jc w:val="both"/>
        <w:rPr>
          <w:rStyle w:val="Policepardfaut"/>
        </w:rPr>
      </w:pPr>
      <w:r>
        <w:rPr>
          <w:rStyle w:val="Policepardfaut"/>
        </w:rPr>
        <w:t xml:space="preserve">Valtioministeri, ekologisesta ja solidaarisesta siirtymästä vastaava ministeri, sinetinhaltija, oikeusministeri, valtioministeriä ja ekologisen ja solidaarisen siirtymän ministeriä avustava ministeri, joka vastaa liikenteestä, ja sisäministeri ovat kukin omalta osaltaan vastuussa tämän Ranskan tasavallan </w:t>
      </w:r>
      <w:r>
        <w:rPr>
          <w:rStyle w:val="Policepardfaut"/>
          <w:i/>
          <w:iCs/>
        </w:rPr>
        <w:t xml:space="preserve">virallisessa lehdessä</w:t>
      </w:r>
      <w:r>
        <w:rPr>
          <w:rStyle w:val="Policepardfaut"/>
        </w:rPr>
        <w:t xml:space="preserve"> julkaistavan asetuksen täytäntöönpanosta.</w:t>
      </w:r>
    </w:p>
    <w:p w:rsidR="00D80E56" w:rsidRPr="00D80E56" w:rsidRDefault="00D80E56" w:rsidP="00D80E56">
      <w:pPr>
        <w:suppressAutoHyphens w:val="0"/>
        <w:ind w:left="17"/>
        <w:jc w:val="both"/>
      </w:pPr>
    </w:p>
    <w:p w:rsidR="002E1BE9" w:rsidRPr="00D80E56" w:rsidRDefault="00C3678D" w:rsidP="00D80E56">
      <w:pPr>
        <w:suppressAutoHyphens w:val="0"/>
      </w:pPr>
      <w:r>
        <w:t xml:space="preserve">Annettu [päivämäärä]</w:t>
      </w:r>
    </w:p>
    <w:p w:rsidR="002E1BE9" w:rsidRPr="00D80E56" w:rsidRDefault="002E1BE9"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2E1BE9" w:rsidRPr="00D80E56" w:rsidRDefault="00C3678D" w:rsidP="00D80E56">
      <w:pPr>
        <w:pStyle w:val="SNContreseing"/>
        <w:spacing w:before="0"/>
        <w:ind w:firstLine="0"/>
      </w:pPr>
      <w:r>
        <w:t xml:space="preserve">Pääministeri:</w:t>
      </w:r>
    </w:p>
    <w:p w:rsidR="00D80E56" w:rsidRPr="00D80E56" w:rsidRDefault="00D80E56" w:rsidP="00D80E56">
      <w:pPr>
        <w:pStyle w:val="BodyText"/>
        <w:spacing w:after="0"/>
        <w:rPr>
          <w:rStyle w:val="Policepardfaut"/>
        </w:rPr>
      </w:pPr>
    </w:p>
    <w:p w:rsidR="002E1BE9" w:rsidRPr="00D80E56" w:rsidRDefault="00C3678D" w:rsidP="00D80E56">
      <w:pPr>
        <w:pStyle w:val="BodyText"/>
        <w:spacing w:after="0"/>
      </w:pPr>
      <w:r>
        <w:rPr>
          <w:rStyle w:val="Policepardfaut"/>
        </w:rPr>
        <w:t xml:space="preserve">Va</w:t>
      </w:r>
      <w:r>
        <w:t xml:space="preserve">ltioministeri, ekologisesta ja solidaarisesta siirtymästä vastaava ministeri,</w:t>
      </w:r>
    </w:p>
    <w:p w:rsidR="002E1BE9" w:rsidRPr="00D80E56" w:rsidRDefault="002E1BE9" w:rsidP="00D80E56">
      <w:pPr>
        <w:pStyle w:val="BodyText"/>
        <w:spacing w:after="0"/>
      </w:pPr>
    </w:p>
    <w:p w:rsidR="002E1BE9" w:rsidRPr="00D80E56" w:rsidRDefault="002E1BE9" w:rsidP="00D80E56">
      <w:pPr>
        <w:pStyle w:val="SNSignatureprnomnomDroite"/>
        <w:spacing w:after="0"/>
        <w:ind w:left="0"/>
        <w:rPr>
          <w:color w:val="auto"/>
        </w:rPr>
      </w:pPr>
    </w:p>
    <w:p w:rsidR="00D80E56" w:rsidRPr="00D80E56" w:rsidRDefault="00D80E56" w:rsidP="00D80E56">
      <w:pPr>
        <w:pStyle w:val="SNSignatureGauche"/>
      </w:pPr>
    </w:p>
    <w:p w:rsidR="002E1BE9" w:rsidRPr="00D80E56" w:rsidRDefault="002E1BE9" w:rsidP="00D80E56">
      <w:pPr>
        <w:pStyle w:val="SNSignatureGauche"/>
        <w:spacing w:before="0" w:after="0"/>
        <w:ind w:left="0" w:right="0"/>
      </w:pPr>
    </w:p>
    <w:p w:rsidR="002E1BE9" w:rsidRPr="00D80E56" w:rsidRDefault="00C3678D" w:rsidP="00D80E56">
      <w:pPr>
        <w:pStyle w:val="BodyText"/>
        <w:spacing w:after="0"/>
        <w:jc w:val="both"/>
      </w:pPr>
      <w:r>
        <w:t xml:space="preserve">François de RUGY</w:t>
      </w:r>
    </w:p>
    <w:p w:rsidR="002E1BE9" w:rsidRPr="00D80E56" w:rsidRDefault="002E1BE9" w:rsidP="00D80E56">
      <w:pPr>
        <w:pStyle w:val="BodyText"/>
        <w:spacing w:after="0"/>
        <w:jc w:val="both"/>
      </w:pPr>
    </w:p>
    <w:p w:rsidR="002E1BE9" w:rsidRPr="00D80E56" w:rsidRDefault="00C3678D" w:rsidP="00D80E56">
      <w:pPr>
        <w:pStyle w:val="SNSignatureDroite"/>
        <w:spacing w:before="0" w:after="0"/>
        <w:rPr>
          <w:color w:val="auto"/>
        </w:rPr>
      </w:pPr>
      <w:r>
        <w:rPr>
          <w:color w:val="auto"/>
        </w:rPr>
        <w:t xml:space="preserve">Sinetinhaltija, oikeusministeri,</w:t>
      </w: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 xml:space="preserve">Nicole BELLOUBET</w:t>
      </w:r>
    </w:p>
    <w:p w:rsidR="002E1BE9" w:rsidRPr="00D80E56" w:rsidRDefault="002E1BE9" w:rsidP="00D80E56">
      <w:pPr>
        <w:pStyle w:val="BodyText"/>
        <w:spacing w:after="0"/>
        <w:jc w:val="both"/>
      </w:pPr>
    </w:p>
    <w:p w:rsidR="00D80E56" w:rsidRPr="00D80E56" w:rsidRDefault="00D80E56" w:rsidP="00D80E56">
      <w:pPr>
        <w:pStyle w:val="BodyText"/>
        <w:spacing w:after="0"/>
        <w:jc w:val="both"/>
      </w:pPr>
    </w:p>
    <w:p w:rsidR="00D80E56" w:rsidRPr="00D80E56" w:rsidRDefault="00D80E56" w:rsidP="00D80E56">
      <w:pPr>
        <w:pStyle w:val="BodyText"/>
        <w:spacing w:after="0"/>
        <w:jc w:val="both"/>
      </w:pPr>
    </w:p>
    <w:p w:rsidR="002E1BE9" w:rsidRPr="00D80E56" w:rsidRDefault="00C3678D" w:rsidP="00D80E56">
      <w:pPr>
        <w:pStyle w:val="SNSignatureGauche"/>
        <w:spacing w:before="0" w:after="0"/>
      </w:pPr>
      <w:r>
        <w:t xml:space="preserve">Sisäministeri,</w:t>
      </w:r>
    </w:p>
    <w:p w:rsidR="00D80E56" w:rsidRPr="00D80E56" w:rsidRDefault="00D80E56" w:rsidP="00D80E56">
      <w:pPr>
        <w:pStyle w:val="SNSignatureprnomnomGauche"/>
      </w:pPr>
    </w:p>
    <w:p w:rsidR="00D80E56" w:rsidRPr="00D80E56" w:rsidRDefault="00D80E56" w:rsidP="00D80E56">
      <w:pPr>
        <w:pStyle w:val="SNSignatureGauche"/>
        <w:spacing w:before="0" w:after="0"/>
      </w:pPr>
    </w:p>
    <w:p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t xml:space="preserve">Christophe CASTANER</w:t>
      </w:r>
    </w:p>
    <w:p w:rsidR="002E1BE9" w:rsidRPr="00D80E56" w:rsidRDefault="002E1BE9" w:rsidP="00D80E56">
      <w:pPr>
        <w:pStyle w:val="BodyText"/>
        <w:spacing w:after="0"/>
        <w:jc w:val="both"/>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 xml:space="preserve">Valtioministeriä ja ekologisen ja solidaarisen siirtymän ministeriä avustava ministeri, joka vastaa liikenteestä,</w:t>
      </w:r>
    </w:p>
    <w:p w:rsidR="00D80E56" w:rsidRPr="00D80E56" w:rsidRDefault="00D80E56" w:rsidP="00D80E56">
      <w:pPr>
        <w:pStyle w:val="SNSignatureprnomnomDroite"/>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 xml:space="preserve">Élisabeth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6E" w:rsidRDefault="0064056E" w:rsidP="00C3678D">
      <w:r>
        <w:separator/>
      </w:r>
    </w:p>
  </w:endnote>
  <w:endnote w:type="continuationSeparator" w:id="0">
    <w:p w:rsidR="0064056E" w:rsidRDefault="0064056E"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variable"/>
  </w:font>
  <w:font w:name="Liberation Sans">
    <w:altName w:val="Arial"/>
    <w:charset w:val="00"/>
    <w:family w:val="swiss"/>
    <w:pitch w:val="variable"/>
  </w:font>
  <w:font w:name="Microsoft YaHei">
    <w:altName w:val="微软雅黑"/>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6E" w:rsidRDefault="0064056E" w:rsidP="00C3678D">
      <w:r>
        <w:separator/>
      </w:r>
    </w:p>
  </w:footnote>
  <w:footnote w:type="continuationSeparator" w:id="0">
    <w:p w:rsidR="0064056E" w:rsidRDefault="0064056E"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2E1BE9"/>
    <w:rsid w:val="00337727"/>
    <w:rsid w:val="00391197"/>
    <w:rsid w:val="005A71AF"/>
    <w:rsid w:val="006124E3"/>
    <w:rsid w:val="0064056E"/>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kern w:val="2"/>
        <w:sz w:val="24"/>
        <w:szCs w:val="24"/>
        <w:lang w:val="fi-FI"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lang w:bidi="ar-SA"/>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fi-FI"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Microsoft YaHei" w:hAnsi="Liberation Sans" w:cs="Mangal"/>
      <w:sz w:val="28"/>
      <w:szCs w:val="28"/>
    </w:rPr>
  </w:style>
  <w:style w:type="paragraph" w:customStyle="1" w:styleId="Titre3">
    <w:name w:val="Titre3"/>
    <w:basedOn w:val="Normal"/>
    <w:next w:val="BodyText"/>
    <w:qFormat/>
    <w:pPr>
      <w:keepNext/>
      <w:spacing w:before="240" w:after="120"/>
    </w:pPr>
    <w:rPr>
      <w:rFonts w:ascii="Liberation Sans" w:eastAsia="Microsoft YaHei" w:hAnsi="Liberation Sans" w:cs="Mangal"/>
      <w:sz w:val="28"/>
      <w:szCs w:val="28"/>
    </w:rPr>
  </w:style>
  <w:style w:type="paragraph" w:customStyle="1" w:styleId="Titre2">
    <w:name w:val="Titre2"/>
    <w:basedOn w:val="Normal"/>
    <w:next w:val="BodyText"/>
    <w:qFormat/>
    <w:pPr>
      <w:keepNext/>
      <w:spacing w:before="240" w:after="120"/>
    </w:pPr>
    <w:rPr>
      <w:rFonts w:ascii="Liberation Sans" w:eastAsia="Microsoft YaHei" w:hAnsi="Liberation Sans" w:cs="Mangal"/>
      <w:sz w:val="28"/>
      <w:szCs w:val="28"/>
    </w:rPr>
  </w:style>
  <w:style w:type="paragraph" w:customStyle="1" w:styleId="Titre1">
    <w:name w:val="Titre1"/>
    <w:basedOn w:val="Normal"/>
    <w:next w:val="BodyText"/>
    <w:qFormat/>
    <w:pPr>
      <w:keepNext/>
      <w:spacing w:before="240" w:after="120"/>
    </w:pPr>
    <w:rPr>
      <w:rFonts w:ascii="Liberation Sans" w:eastAsia="Microsoft YaHei"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ar-SA"/>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ar-SA"/>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val="fi-FI"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2574</Words>
  <Characters>12278</Characters>
  <Application>Microsoft Office Word</Application>
  <DocSecurity>0</DocSecurity>
  <Lines>409</Lines>
  <Paragraphs>168</Paragraphs>
  <ScaleCrop>false</ScaleCrop>
  <Company>Microsoft</Company>
  <LinksUpToDate>false</LinksUpToDate>
  <CharactersWithSpaces>14684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Tordai, Vera</cp:lastModifiedBy>
  <cp:revision>8</cp:revision>
  <dcterms:created xsi:type="dcterms:W3CDTF">2019-04-12T14:32:00Z</dcterms:created>
  <dcterms:modified xsi:type="dcterms:W3CDTF">2019-05-08T07:17:00Z</dcterms:modified>
  <dc:language>fr-FR</dc:language>
</cp:coreProperties>
</file>