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------IND- 2019 0198 F-- DE-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rFonts w:ascii="Arial" w:hAnsi="Arial"/>
        </w:rPr>
        <w:t xml:space="preserve">25.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Amtsblatt der Französischen Republik Nr. 0249 vom 25.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Text Nr.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sz w:val="24"/>
          <w:rFonts w:ascii="Arial" w:hAnsi="Arial"/>
        </w:rPr>
        <w:t xml:space="preserve">Dekret Nr. 2019-1082 vom 23. Oktober 2019 über Regelungen für Fahrzeuge zur individuellen Fortbewegung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NOR-Nr.:</w:t>
      </w:r>
      <w:r>
        <w:rPr>
          <w:sz w:val="24"/>
          <w:rFonts w:ascii="Arial" w:hAnsi="Arial"/>
        </w:rPr>
        <w:t xml:space="preserve"> </w:t>
      </w:r>
      <w:r>
        <w:rPr>
          <w:sz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rFonts w:ascii="Arial" w:hAnsi="Arial"/>
        </w:rPr>
        <w:t xml:space="preserve">ELI:https://www.legifrance.gouv.fr/eli/decret/2019/10/23/INTS1913464D/jo/texte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rFonts w:ascii="Arial" w:hAnsi="Arial"/>
        </w:rPr>
        <w:t xml:space="preserve">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Betroffene Zielgruppen: Verkehrsteilnehmer, Gebietskörperschaften, Polizei- und Ordnungskräfte.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Gegenstand: Festlegung der technischen Merkmale und der Nutzungsbedingungen von Fahrzeugen zur individuellen Fortbewegung.</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Inkrafttreten: Der Text tritt am Tag nach seiner Veröffentlichung in Kraft, mit Ausnahme der Artikel 4, 5, 7, 8 und 11, die am 1. Juli 2020 in Kraft treten.</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Hinweis: Durch den Text werden Fahrzeuge zur individuellen Fortbewegung in der Straßenverkehrsordnung als neue Fahrzeugkategorien definiert.</w:t>
      </w:r>
      <w:r>
        <w:rPr>
          <w:sz w:val="24"/>
          <w:rFonts w:ascii="Arial" w:hAnsi="Arial"/>
        </w:rPr>
        <w:t xml:space="preserve"> </w:t>
      </w:r>
      <w:r>
        <w:rPr>
          <w:sz w:val="24"/>
          <w:rFonts w:ascii="Arial" w:hAnsi="Arial"/>
        </w:rPr>
        <w:t xml:space="preserve">Ferner werden ihre technischen Merkmale und ihre Nutzung im öffentlichen Straßenverkehr festgelegt.</w:t>
      </w:r>
      <w:r>
        <w:rPr>
          <w:sz w:val="24"/>
          <w:rFonts w:ascii="Arial" w:hAnsi="Arial"/>
        </w:rPr>
        <w:t xml:space="preserve"> </w:t>
      </w:r>
      <w:r>
        <w:rPr>
          <w:sz w:val="24"/>
          <w:rFonts w:ascii="Arial" w:hAnsi="Arial"/>
        </w:rPr>
        <w:t xml:space="preserve">Insbesondere werden die Ausrüstungen, die von den Fahrern dieser Fahrzeuge zu tragen sind, und die Verkehrsflächen, auf denen diese Fahrer inner- und außerorts fahren müssen und dürfen, festgelegt.</w:t>
      </w:r>
      <w:r>
        <w:rPr>
          <w:sz w:val="24"/>
          <w:rFonts w:ascii="Arial" w:hAnsi="Arial"/>
        </w:rPr>
        <w:t xml:space="preserve"> </w:t>
      </w:r>
      <w:r>
        <w:rPr>
          <w:sz w:val="24"/>
          <w:rFonts w:ascii="Arial" w:hAnsi="Arial"/>
        </w:rPr>
        <w:t xml:space="preserve">In dem Text werden die Möglichkeiten benannt, über welche die mit den Befugnissen der Straßenverkehrspolizei ausgestattete Behörde verfügt, um von diesem allgemeinen Rahmen abzuweichen, wobei diese Behörde insbesondere das Fahren auf dem Bürgersteig oder, unter bestimmten Bedingungen, auf Straßen, auf denen eine Höchstgeschwindigkeit von maximal 80 km/h zulässig ist, erlauben kann.</w:t>
      </w:r>
      <w:r>
        <w:rPr>
          <w:sz w:val="24"/>
          <w:rFonts w:ascii="Arial" w:hAnsi="Arial"/>
        </w:rPr>
        <w:t xml:space="preserve"> </w:t>
      </w:r>
      <w:r>
        <w:rPr>
          <w:sz w:val="24"/>
          <w:rFonts w:ascii="Arial" w:hAnsi="Arial"/>
        </w:rPr>
        <w:t xml:space="preserve">Des Weiteren werden die Sanktionen festgelegt, die bei Missachtung der Vorschriften gegen die Fahrer von Fahrzeugen zur individuellen Fortbewegung verhängt werden.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Verweise: Durch das Dekret wird der Vorschriftenteil der Straßenverkehrsordnung geändert, die in ihrer durch diese Änderung entstandenen Fassung auf der Website Légifrance (https://www.legifrance.gouv.fr) abgerufen werden kann</w:t>
      </w:r>
      <w:r>
        <w:rPr>
          <w:sz w:val="24"/>
          <w:i/>
          <w:iCs/>
          <w:rFonts w:ascii="Arial" w:hAnsi="Arial"/>
        </w:rPr>
        <w:t xml:space="preserv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Der Premierminister,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den Bericht des Ministers des Innern;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die Verordnung (EU) Nr. 168/2013 des Europäischen Parlaments und des Rates vom 15. Januar 2013 über die Genehmigung und Marktüberwachung von zwei- oder dreirädrigen und vierrädrigen Fahrzeugen, insbesondere Artikel 2 und Artikel 3 Absatz 71;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die Richtlinie (EU) 2015/1535 des Europäischen Parlaments und des Rates vom 9. September 2015 über ein Informationsverfahren auf dem Gebiet der technischen Vorschriften und der Vorschriften für die Dienste der Informationsgesellschaft, in Verbindung mit der an die Europäische Kommission übermittelten Notifizierung Nr. 2019/198/F vom 6. Mai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das Strafgesetzbuch, insbesondere Artikel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die Straßenverkehrsordnung;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die Stellungnahmen der ständigen interministeriellen Gruppe für Straßenverkehrssicherheit vom 6. Mai und 25. September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gestützt auf die Stellungnahmen des Nationalen Rates für die Bewertung von Normen vom 9. Mai und 3. Oktober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nach Anhörung des Staatsrates (Abteilung für öffentliche Arbeiten),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erlässt folgendes Dekret:</w:t>
      </w:r>
      <w:r>
        <w:rPr>
          <w:sz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Die Straßenverkehrsordnung wird gemäß den Bestimmungen der Artikel 2 bis 29 des vorliegenden Dekrets geändert.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110-2 wird wie folgt geändert: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In Absatz 3 werden die Worte „des Artikels R. 431-9“ durch die Worte „der Artikel R. 412-43-1 und R. 431-9“ ersetzt;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in Absatz 5 und Absatz 11 werden nach den Worten „Zwei- oder Dreiräder“ die Worte „und motorisierte Fahrzeuge zur individuellen Fortbewegung“ eingefügt;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3. in Absatz 14 werden nach den Worten „nicht motorisierten Fahrzeugen“ die Worte „mit Ausnahme von motorisierten Fahrzeugen zur individuellen Fortbewegung“ eingefügt;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4. in Absatz 15 und Absatz 16 werden nach den Worten „in beiden Richtungen befahrbar für Radfahrer“ die Worte „und Fahrer von motorisierten Fahrzeugen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311-1 werden nach der Ziffer 6.13 drei Absätze mit folgendem Wortlaut eingefügt: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„6.14.</w:t>
      </w:r>
      <w:r>
        <w:rPr>
          <w:sz w:val="24"/>
          <w:rFonts w:ascii="Arial" w:hAnsi="Arial"/>
        </w:rPr>
        <w:t xml:space="preserve"> </w:t>
      </w:r>
      <w:r>
        <w:rPr>
          <w:sz w:val="24"/>
          <w:rFonts w:ascii="Arial" w:hAnsi="Arial"/>
        </w:rPr>
        <w:t xml:space="preserve">Fahrzeug zur individuellen Fortbewegung: motorisiertes oder nicht motorisiertes Fahrzeug zur individuellen Fortbewegung;</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6.15.</w:t>
      </w:r>
      <w:r>
        <w:rPr>
          <w:sz w:val="24"/>
          <w:rFonts w:ascii="Arial" w:hAnsi="Arial"/>
        </w:rPr>
        <w:t xml:space="preserve"> </w:t>
      </w:r>
      <w:r>
        <w:rPr>
          <w:sz w:val="24"/>
          <w:rFonts w:ascii="Arial" w:hAnsi="Arial"/>
        </w:rPr>
        <w:t xml:space="preserve">motorisiertes Fahrzeug zur individuellen Fortbewegung: Fahrzeug ohne Sitzplatz, das für die Fortbewegung einer einzelnen Person konzipiert und gebaut ist und über keinerlei Ausstattung zum Transport von Gütern verfügt, mit einem Motor oder einer Motorunterstützung ausgestattet ist, bei dem bzw. der es sich nicht um Verbrennungsmotoren handelt, und dessen bauartbedingte Höchstgeschwindigkeit über 6 km/h liegt, jedoch 25 km/h nicht überschreitet.</w:t>
      </w:r>
      <w:r>
        <w:rPr>
          <w:sz w:val="24"/>
          <w:rFonts w:ascii="Arial" w:hAnsi="Arial"/>
        </w:rPr>
        <w:t xml:space="preserve"> </w:t>
      </w:r>
      <w:r>
        <w:rPr>
          <w:sz w:val="24"/>
          <w:rFonts w:ascii="Arial" w:hAnsi="Arial"/>
        </w:rPr>
        <w:t xml:space="preserve">Es kann mit Zubehör wie einem Korb oder einer kleinen Gepäckträgertasche ausgestattet sein.</w:t>
      </w:r>
      <w:r>
        <w:rPr>
          <w:sz w:val="24"/>
          <w:rFonts w:ascii="Arial" w:hAnsi="Arial"/>
        </w:rPr>
        <w:t xml:space="preserve"> </w:t>
      </w:r>
      <w:r>
        <w:rPr>
          <w:sz w:val="24"/>
          <w:rFonts w:ascii="Arial" w:hAnsi="Arial"/>
        </w:rPr>
        <w:t xml:space="preserve">Ein selbstbalancierendes Fahrzeug gemäß Artikel 3 Absatz 71 der Verordnung (EU) Nr. 168/2013 des Europäischen Parlaments und des Rates vom 15. Januar 2013 über die Genehmigung und Marktüberwachung von zwei- oder dreirädrigen und vierrädrigen Fahrzeugen kann mit einem Sattel ausgerüstet sein.</w:t>
      </w:r>
      <w:r>
        <w:rPr>
          <w:sz w:val="24"/>
          <w:rFonts w:ascii="Arial" w:hAnsi="Arial"/>
        </w:rPr>
        <w:t xml:space="preserve"> </w:t>
      </w:r>
      <w:r>
        <w:rPr>
          <w:sz w:val="24"/>
          <w:rFonts w:ascii="Arial" w:hAnsi="Arial"/>
        </w:rPr>
        <w:t xml:space="preserve">Fahrzeuge, die ausschließlich für Personen mit eingeschränkter Mobilität vorgesehen sind, fallen nicht unter diese Kategorie;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6.16.</w:t>
      </w:r>
      <w:r>
        <w:rPr>
          <w:sz w:val="24"/>
          <w:rFonts w:ascii="Arial" w:hAnsi="Arial"/>
        </w:rPr>
        <w:t xml:space="preserve"> </w:t>
      </w:r>
      <w:r>
        <w:rPr>
          <w:sz w:val="24"/>
          <w:rFonts w:ascii="Arial" w:hAnsi="Arial"/>
        </w:rPr>
        <w:t xml:space="preserve">nicht motorisiertes Fahrzeug zur individuellen Fortbewegung: kleines Fahrzeug ohne Motor.“</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312-10 Nummer I wird nach der Ziffer 6 eine Ziffer 7 mit folgendem Wortlaut eingefügt: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„7. 0,90 Meter bei motorisierten Fahrzeugen zur individuellen Fortbewegung.“</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312-11 Nummer I wird nach der Ziffer 11 eine Ziffer 12 mit folgendem Wortlaut eingefügt: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„12. motorisierte Fahrzeuge zur individuellen Fortbewegung:</w:t>
      </w:r>
      <w:r>
        <w:rPr>
          <w:sz w:val="24"/>
          <w:rFonts w:ascii="Arial" w:hAnsi="Arial"/>
        </w:rPr>
        <w:t xml:space="preserve"> </w:t>
      </w:r>
      <w:r>
        <w:rPr>
          <w:sz w:val="24"/>
          <w:rFonts w:ascii="Arial" w:hAnsi="Arial"/>
        </w:rPr>
        <w:t xml:space="preserve">1,35 Meter.“</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313-1 wird wie folgt geändert: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In Absatz 4 werden nach den Worten „alle Fahrer eines“ die Worte „motorisierten Fahrzeugs zur individuellen Fortbewegung oder eines“ eingefügt;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der Artikel wird durch einen Absatz mit folgendem Wortlaut ergänzt: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„Die Bestimmungen der Artikel R. 313- 2, R. 313- 3, R. 313- 3- 1 bis R. 313- 3- 4, R. 313- 4- 1, R. 313- 6 bis R. 313- 17 und R. 313- 17- 1 gelten nicht für motorisierte Fahrzeuge zur individuellen Fortbewegung.“</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313-4 Nummer X, Artikel R. 313-5 Nummer V und Artikel R. 313-18 Nummer V, Artikel R. 313-19 Nummer III, Artikel R. 313-20 Nummer IV und Artikel R. 313-33 Absatz 3 werden nach dem Wort „alle“ jeweils die Worte „motorisierten Fahrzeuge zur individuellen Fortbewegung oder“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313-4 Nummer XIII, Artikel R. 313-5 Nummer XI und Artikel R. 313-18 Nummer XI, Artikel R. 313-19 Nummer V, Artikel R. 313-20 Nummer VIII sowie im letzten Absatz von Artikel R. 313-33 werden nach den Worten „Fahrer eines“ jeweils die Worte „motorisierten Fahrzeugs zur individuellen Fortbewegung oder eines“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314-1 wird wie folgt geändert: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In Absatz 1 werden nach den Worten „landwirtschaftliche Geräte“ die Worte „und motorisierte Fahrzeuge zur individuellen Fortbewegung“ eingefügt;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in Absatz 5 werden nach den Worten „landwirtschaftliche Geräte“ die Worte „und motorisierte Fahrzeuge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315-1 Nummer I werden nach dem Wort „Baumaschinen“ die Worte „und motorisierte Fahrzeuge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Nach dem Artikel R. 315-6 wird ein Artikel R. 315-7 mit folgendem Wortlaut eingefügt:</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315-7.– I. – Alle motorisierten Fahrzeuge zur individuellen Fortbewegung müssen mit einer wirksamen Bremsvorrichtung ausgestattet sein, deren Merkmale durch einen Erlass des für die Straßenverkehrssicherheit zuständigen Ministers und des für Verkehr zuständigen Ministers festgelegt werden.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w:t>
      </w:r>
      <w:r>
        <w:rPr>
          <w:sz w:val="24"/>
          <w:rFonts w:ascii="Arial" w:hAnsi="Arial"/>
        </w:rPr>
        <w:t xml:space="preserve"> </w:t>
      </w:r>
      <w:r>
        <w:rPr>
          <w:sz w:val="24"/>
          <w:rFonts w:ascii="Arial" w:hAnsi="Arial"/>
        </w:rPr>
        <w:t xml:space="preserve">– Ein Verstoß gegen die Bestimmungen dieses Artikels oder gegen die zu dessen Anwendung erlassenen Bestimmungen wird mit dem für Verstöße der Klasse 1 vorgesehenen Bußgeld bestraft.“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316-4 Absatz 1 nach den Worten „vierrädrige Leichtkraftfahrzeuge“, in Artikel R. 316-5 nach den Worten „zwei- oder dreirädrige Fahrzeuge“, in Artikel R. 316-6 Absatz 1 nach den Worten „landwirtschaftliche Geräte“ sowie in Artikel R. 317-1 Nummer I und Artikel R. 317-5 Nummer I nach den Worten „vierrädrige Fahrzeuge“ werden jeweils die Worte „und motorisierte Fahrzeuge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Nach dem Artikel R. 317-14 wird ein Artikel R. 317-14-1 mit folgendem Wortlaut eingefügt:</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317-14-1.</w:t>
      </w:r>
      <w:r>
        <w:rPr>
          <w:sz w:val="24"/>
          <w:rFonts w:ascii="Arial" w:hAnsi="Arial"/>
        </w:rPr>
        <w:t xml:space="preserve"> </w:t>
      </w:r>
      <w:r>
        <w:rPr>
          <w:sz w:val="24"/>
          <w:rFonts w:ascii="Arial" w:hAnsi="Arial"/>
        </w:rPr>
        <w:t xml:space="preserve">– Die Bestimmungen der Artikel R. 317- 8 und R. 317- 9 gelten nicht für motorisierte Fahrzeuge zur individuellen Fortbewegung.“</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317-16 wird durch einen Absatz mit folgendem Wortlaut ergänzt:</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„Sie gelten nicht für motorisierte Fahrzeuge zur individuellen Fortbewegung.“</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317-23-1 Absatz 1 werden nach den Worten „eines Kleinkraftrads“ die Worte „oder eines motorisierten Fahrzeugs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Nach dem Artikel R. 321-4-1 wird ein Artikel R. 321-4-2 mit folgendem Wortlaut eingefügt:</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321-4-2.</w:t>
      </w:r>
      <w:r>
        <w:rPr>
          <w:sz w:val="24"/>
          <w:rFonts w:ascii="Arial" w:hAnsi="Arial"/>
        </w:rPr>
        <w:t xml:space="preserve"> </w:t>
      </w:r>
      <w:r>
        <w:rPr>
          <w:sz w:val="24"/>
          <w:rFonts w:ascii="Arial" w:hAnsi="Arial"/>
        </w:rPr>
        <w:t xml:space="preserve">– Das Befahren von öffentlichen Straßen mit motorisierten Fahrzeugen zur individuellen Fortbewegung, deren bauartbedingte Höchstgeschwindigkeit über der in Artikel R. 311-1 Ziffer 6.15 festgelegten Geschwindigkeit liegt, wird mit dem für Verstöße der Klasse 5 vorgesehenen Bußgeld bestraft.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Unter den in den Artikeln L. 325-1 bis L. 325-9 vorgesehenen Bedingungen kann die Beschlagnahmung, Stilllegung oder Sicherstellung angeordnet werden.“</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Im letzten Absatz von Artikel R. 321-15 werden nach dem Wort „Sammlerfahrzeuge,“ die Worte „motorisierte Fahrzeuge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322-1 Nummer V werden nach den Worten „gelten nicht“ die Worte „für motorisierte Fahrzeuge zur individuellen Fortbewegung und“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412-9 Absatz 4 und 5 werden nach dem Wort „Fahrer“ jeweils die Worte „eines motorisierten Fahrzeugs zur individuellen Fortbewegung oder“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412-19 Absatz 2 werden nach den Worten „Überholen eines“ die Worte „motorisierten Fahrzeugs zur individuellen Fortbewegung oder eines“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412-28-1 werden nach den Worten „in beiden Richtungen befahrbar für“ die Worte „Fahrer von motorisierten Fahrzeugen zur individuellen Fortbewegung und“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412-34 Nummer II Ziffer 2 werden nach den Worten „beim Schieben eines“ die Worte „motorisierten Fahrzeugs zur individuellen Fortbewegung, eines“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Nach Buch IV Titel I Kapitel II Abschnitt 6 wird ein Abschnitt 6a mit folgendem Wortlaut eingefügt:</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„Abschnitt 6a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Verkehrsteilnahme motorisierter Fahrzeuge zur individuellen Fortbewegung</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412-43-1.– I. – Innerorts müssen die Fahrer von motorisierten Fahrzeugen zur individuellen Fortbewegung auf den Radstreifen oder Radwegen fahren.</w:t>
      </w:r>
      <w:r>
        <w:rPr>
          <w:sz w:val="24"/>
          <w:rFonts w:ascii="Arial" w:hAnsi="Arial"/>
        </w:rPr>
        <w:t xml:space="preserve"> </w:t>
      </w:r>
      <w:r>
        <w:rPr>
          <w:sz w:val="24"/>
          <w:rFonts w:ascii="Arial" w:hAnsi="Arial"/>
        </w:rPr>
        <w:t xml:space="preserve">Wenn beidseitig neben der Straße ein Radweg verläuft, müssen sie denjenigen rechts neben der Straße in Verkehrsrichtung benutzen.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Fehlen diese Radstreifen oder Radwege, dürfen sie außerdem auf folgenden Flächen fahren: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auf Straßen, auf denen eine Höchstgeschwindigkeit von maximal 50 km/h zulässig ist.</w:t>
      </w:r>
      <w:r>
        <w:rPr>
          <w:sz w:val="24"/>
          <w:rFonts w:ascii="Arial" w:hAnsi="Arial"/>
        </w:rPr>
        <w:t xml:space="preserve"> </w:t>
      </w:r>
      <w:r>
        <w:rPr>
          <w:sz w:val="24"/>
          <w:rFonts w:ascii="Arial" w:hAnsi="Arial"/>
        </w:rPr>
        <w:t xml:space="preserve">Fahrer von motorisierten Fahrzeugen zur individuellen Fortbewegung dürfen auf der Straße niemals nebeneinander fahren;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in Fußgängerbereichen, unter den in Artikel R. 431-9 Absatz 4 festgelegten Bedingungen;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3. auf Randstreifen mit Straßenbelag.</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 – Außerorts ist das Fahren von motorisierten Fahrzeugen zur individuellen Fortbewegung verboten, ausgenommen auf Grünen Routen und Radwegen.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III. – In Abweichung von den Bestimmungen der Nummern I und II kann die mit den Befugnissen der Straßenverkehrspolizei ausgestattete Behörde mit begründeter Entscheidung:</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das Fahren der Fahrzeuge auf bestimmten Abschnitten der unter Nummer I und Nummer II genannten Wegen und Straßen unter Berücksichtigung der Erfordernisse der Verkehrssicherheit und des Straßenverkehrs, des Verkehrsflusses und der Fahrtannehmlichkeit verbieten;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das Fahren der Fahrzeuge auf dem Bürgersteig unter der Auflage, dass Schrittgeschwindigkeit eingehalten wird und keine Fußgänger behindert werden, erlauben;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3. das Fahren auf Straßen, auf denen eine Höchstgeschwindigkeit von maximal 80 km/h zulässig ist, erlauben, sofern der Zustand und das Profil der Straße sowie die Verkehrsbedingungen dies zulassen.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IV. – Sofern die Bestimmungen von Nummer III Ziffer 3 Anwendung finden gilt Folgendes:</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1. Fahrer von motorisierten Fahrzeugen zur individuellen Fortbewegung müssen: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 einen Helm tragen, der den Vorschriften über persönliche Schutzausrüstungen entspricht und festgeschnallt ist;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b) eine den Rechtsvorschriften entsprechende Warnweste oder eine retroreflektierende Ausrüstung tragen, deren Merkmale durch einen Erlass des für die Straßenverkehrssicherheit zuständigen Ministers festgelegt werden;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 eine zusätzliche Beleuchtungsvorrichtung, die weder blendet noch blinkt, tragen, deren Merkmale durch einen Erlass des für die Straßenverkehrssicherheit zuständigen Ministers festgelegt werden;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 sowohl tagsüber als auch nachts mit eingeschaltetem Fahrzeuglicht fahren;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eine mindestens achtzehn Jahre alte Person, die einen Fahrer unter achtzehn Jahren beim Fahren eines motorisierten Fahrzeugs zur individuellen Fortbewegung begleitet, muss – wenn sie von Rechts wegen oder de facto gegenüber dem Fahrer oder den Fahrern weisungsbefugt ist – sicherstellen, dass jeder Fahrer einen Helm gemäß den Bedingungen der vorstehenden Ziffer 1 Buchstabe a trägt.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 – Bei einem Verstoß gegen die unter Nummer I und Nummer II vorgesehenen Bestimmungen oder gegen die gemäß Nummer III Ziffer 1 auferlegten Fahrverbote werden die Fahrer mit dem für Verstöße der Klasse 2 vorgesehenen Bußgeld bestraft.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Finden die Bestimmungen gemäß Nummer III Ziffer 2 Anwendung, werden Fahrer von motorisierten Fahrzeugen zur individuellen Fortbewegung, wenn sie auf dem Bürgersteig fahren, ohne die Schrittgeschwindigkeit einzuhalten, oder wenn sie dabei Fußgänger behindern, mit dem für Verstöße der Klasse 2 vorgesehenen Bußgeld bestraft.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Finden die Bestimmungen gemäß Nummer III Ziffer 3 Anwendung, werden Fahrer von motorisierten Fahrzeugen zur individuellen Fortbewegung im Falle der Missachtung der Bestimmungen von Nummer IV Ziffer 1 Buchstaben b, c und d mit dem für Verstöße der Klasse 2 vorgesehenen Bußgeld bestraft.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Finden die Bestimmungen gemäß Nummer III Ziffer 3 Anwendung, werden Fahrer von motorisierten Fahrzeugen zur individuellen Fortbewegung im Falle der Missachtung der unter Nummer IV Ziffer 1 Buchstabe a und Ziffer 2 festgelegten Vorschriften über Helme mit dem für Verstöße der Klasse 4 vorgesehenen Bußgeld bestraft.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412-43-2. – Fahrer von motorisierten Fahrzeugen zur individuellen Fortbewegung dürfen keine Lasten oder Fahrzeuge schieben oder ziehen.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Fahrer von Fahrzeugen zur individuellen Fortbewegung dürfen sich nicht von einem Fahrzeug ziehen lassen.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Ein Verstoß gegen die Bestimmungen dieses Artikels wird mit dem für Verstöße der Klasse 2 vorgesehenen Bußgeld bestraft.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412-43-3. – I. – Fahrer von motorisierten Fahrzeugen zur individuellen Fortbewegung müssen mindestens zwölf Jahre alt sein.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 – Unbeschadet dessen, dass ggf. die Bestimmungen von Artikel R. 412-43-1 Nummer IV Anwendung finden, müssen Fahrer von motorisierten Fahrzeugen zur individuellen Fortbewegung bei Nachtfahrten oder Fahrten bei schlechten Sichtverhältnissen entweder eine den Rechtsvorschriften entsprechende Warnweste oder eine retroreflektierende Ausrüstung tragen, deren Merkmale durch einen Erlass des für die Straßenverkehrssicherheit zuständigen Ministers festgelegt werden.</w:t>
      </w:r>
      <w:r>
        <w:rPr>
          <w:sz w:val="24"/>
          <w:rFonts w:ascii="Arial" w:hAnsi="Arial"/>
        </w:rPr>
        <w:t xml:space="preserve"> </w:t>
      </w:r>
      <w:r>
        <w:rPr>
          <w:sz w:val="24"/>
          <w:rFonts w:ascii="Arial" w:hAnsi="Arial"/>
        </w:rPr>
        <w:t xml:space="preserve">Die Fahrer können eine zusätzliche Beleuchtungsvorrichtung, die weder blendet noch blinkt, tragen.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III.</w:t>
      </w:r>
      <w:r>
        <w:rPr>
          <w:sz w:val="24"/>
          <w:rFonts w:ascii="Arial" w:hAnsi="Arial"/>
        </w:rPr>
        <w:t xml:space="preserve"> </w:t>
      </w:r>
      <w:r>
        <w:rPr>
          <w:sz w:val="24"/>
          <w:rFonts w:ascii="Arial" w:hAnsi="Arial"/>
        </w:rPr>
        <w:t xml:space="preserve">– Mit motorisierten Fahrzeugen zur individuellen Fortbewegung kann nur ein Fahrer befördert werden.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IV. – Ein Verstoß gegen die unter Nummer II vorgesehenen Bestimmungen wird mit dem für Verstöße der Klasse 2 vorgesehenen Bußgeld bestraft.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Das Fahren von motorisierten Fahrzeugen zur individuellen Fortbewegung unter Missachtung der Bestimmungen unter Nummer III wird mit dem für Verstöße der Klasse 2 vorgesehenen Bußgeld bestraft.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Eine mindestens achtzehn Jahre alte Person, die einen Fahrer unter zwölf Jahren beim Fahren eines motorisierten Fahrzeugs zur individuellen Fortbewegung begleitet, wird – wenn sie von Rechts wegen oder de facto gegenüber diesem Fahrer weisungsbefugt ist – mit dem für Verstöße der Klasse 4 vorgesehenen Bußgeld bestraft.“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415-2 Absatz 2 und 5 werden nach den Worten „mit Ausnahme von“ die Worte „motorisierten Fahrzeugen zur individuellen Fortbewegung oder“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415-3 Nummer III werden nach den Worten „Vorfahrt gegenüber“ die Worte „motorisierten Fahrzeugen zur individuellen Fortbewegung,“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415-4 wird wie folgt geändert:</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Unter Nummer III werden nach den Worten „die er verlassen möchte, sowie gegenüber“ die Worte „motorisierten Fahrzeugen zur individuellen Fortbewegung,“ eingefügt;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unter Nummer IV werden nach dem Wort „Fahrer“ die Worte „von motorisierten Fahrzeugen zur individuellen Fortbewegung oder“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415-15 Ziffer 2 werden nach den Worten „davon eine für“ und nach den Worten „Haltelinie für“ jeweils die Worte „motorisierte Fahrzeuge zur individuellen Fortbewegung und“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Artikel R. 417-10 Nummer III wird wie folgt geändert:</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Unter Ziffer 2 werden nach den Worten „außer bei“ die Worte „Fahrzeugen zur individuellen Fortbewegung,“ eingefügt;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unter Ziffer 6 werden nach den Worten „mit Ausnahme von“ die Worte „Fahrzeugen zur individuellen Fortbewegung und“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Artikel R. 417-11 Nummer I Ziffer 8 werden nach den Worten „mit Ausnahme von“ die Worte „motorisierten Fahrzeugen zur individuellen Fortbewegung und“ eingefügt.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Die Bestimmungen der Artikel 4, 5, 7, 8 und 11 treten am 1. Juli 2020 in Kraft.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Artikel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Die Siegelbewahrerin, Ministerin der Justiz, die Ministerin für den ökologischen und solidarischen Wandel, der Minister des Innern und der für Verkehr zuständige Staatssekretär bei der Ministerin für den ökologischen und solidarischen Wandel werden jeweils in ihrem Zuständigkeitsbereich mit der Durchführung des vorliegenden Dekrets beauftragt, das im Amtsblatt der Französischen Republik veröffentlicht wird.</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Geschehen am 23. Oktober 2019.</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Edouard Philippe</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Im Namen des Premierministers:</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Der Minister des Innern,</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Christophe Castaner</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Die Siegelbewahrerin, Ministerin der Justiz,</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Nicole Belloubet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Die Ministerin für den ökologischen und solidarischen Wandel,</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Elisabeth Borne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Der für Verkehr zuständige Staatssekretär bei der Ministerin für den ökologischen und solidarischen Wandel,</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Jean-Baptiste Djebbari</w:t>
      </w:r>
      <w:r>
        <w:rPr>
          <w:sz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