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15.01.2021 nr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Nikotiiniga ja nikotiinita e-sigarettide ja täitepakendite reklaami ning nähtava paigutuse ja väljapaneku jms keeldu käsitlev korraldus</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7C9973E3" w:rsidR="00F01996" w:rsidRDefault="00F01996" w:rsidP="00F01996">
      <w:pPr>
        <w:autoSpaceDE w:val="0"/>
        <w:autoSpaceDN w:val="0"/>
        <w:adjustRightInd w:val="0"/>
        <w:spacing w:after="0" w:line="240" w:lineRule="auto"/>
        <w:rPr>
          <w:rFonts w:ascii="Calibri" w:hAnsi="Calibri"/>
          <w:color w:val="000000"/>
          <w:sz w:val="24"/>
        </w:rPr>
      </w:pPr>
      <w:r>
        <w:rPr>
          <w:sz w:val="24"/>
        </w:rPr>
        <w:t>E-sigarettide jms keeldu käsitleva seaduse paragrahvi 18, paragrahvi 18a lõike 4 alusel, vrd e-sigarette jne käsitlev 18. mai 2016. aasta seadus nr</w:t>
      </w:r>
      <w:r>
        <w:rPr>
          <w:rFonts w:ascii="Calibri" w:hAnsi="Calibri"/>
          <w:color w:val="000000"/>
          <w:sz w:val="24"/>
        </w:rPr>
        <w:t> 426 (mida muudetakse 21. detsembri 2020. aasta seadusega nr 2071), sätestatakse allpool esitatu</w:t>
      </w:r>
      <w:r w:rsidR="000B54D4">
        <w:rPr>
          <w:rFonts w:ascii="Calibri" w:hAnsi="Calibri"/>
          <w:color w:val="000000"/>
          <w:sz w:val="24"/>
        </w:rPr>
        <w:t>:</w:t>
      </w:r>
    </w:p>
    <w:p w14:paraId="6AB9EE44" w14:textId="77777777" w:rsidR="00246FDB" w:rsidRDefault="00246FDB" w:rsidP="00F01996">
      <w:pPr>
        <w:autoSpaceDE w:val="0"/>
        <w:autoSpaceDN w:val="0"/>
        <w:adjustRightInd w:val="0"/>
        <w:spacing w:after="0" w:line="240" w:lineRule="auto"/>
        <w:rPr>
          <w:rFonts w:ascii="Calibri" w:hAnsi="Calibri" w:cs="Calibri"/>
          <w:color w:val="000000"/>
          <w:sz w:val="24"/>
          <w:szCs w:val="24"/>
        </w:rPr>
      </w:pPr>
    </w:p>
    <w:p w14:paraId="6488B9B7" w14:textId="6F3E8C97" w:rsidR="00F01996" w:rsidRPr="007E53B4" w:rsidRDefault="00F01996" w:rsidP="00F01996">
      <w:pPr>
        <w:autoSpaceDE w:val="0"/>
        <w:autoSpaceDN w:val="0"/>
        <w:adjustRightInd w:val="0"/>
        <w:spacing w:after="0" w:line="240" w:lineRule="auto"/>
        <w:jc w:val="center"/>
        <w:rPr>
          <w:sz w:val="24"/>
        </w:rPr>
      </w:pPr>
      <w:r>
        <w:rPr>
          <w:sz w:val="24"/>
        </w:rPr>
        <w:t>1</w:t>
      </w:r>
      <w:r w:rsidR="00BD595F">
        <w:rPr>
          <w:sz w:val="24"/>
        </w:rPr>
        <w:t>. peatükk</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Teema ja määratlused</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1. </w:t>
      </w:r>
      <w:r>
        <w:rPr>
          <w:sz w:val="24"/>
        </w:rPr>
        <w:t>Käesolevat määrust kohaldatakse:</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nikotiini sisaldavate e-sigarettide ja täitepakendite suhtes, millele ei ole antud müügiluba ravimiseaduse alusel või kooskõlas ELi eeskirjadega, milles sätestatakse ühenduse kord inimtervishoius kasutatavate ravimite lubade andmiseks, või mis viiakse turule CE-märgisega meditsiiniseadmetena vastavalt meditsiiniseadmete määrusele, ning</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e-sigarettide ja nikotiinita täitepakendite suhtes.</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Lõige 2.</w:t>
      </w:r>
      <w:r>
        <w:rPr>
          <w:sz w:val="24"/>
        </w:rPr>
        <w:t xml:space="preserve"> Käesolevas korralduses kasutatakse järgmisi mõisteid järgmises tähenduses.</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Elektrooniline sigaret (e-sigaret) – toode, mida kasutatakse nikotiini sisaldava auru tarbimiseks läbi sigaretipitsi, või selle toote osad, sh padrun, täitepaak ja ilma padruni või täidetava paagita seade. Elektroonilised sigaretid võivad olla ühekordsed või täidetavad täitepakendi või -mahuti abil või laetavad ühekordselt kasutatavate täitekapslitega.</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Täitepakend – nikotiinisisaldusega või nikotiinita vedelikuga mahuti, mida saab kasutada elektroonilise sigareti nikotiiniga või nikotiinita täitmiseks.</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06B9820C" w:rsidR="00F01996" w:rsidRPr="007E53B4" w:rsidRDefault="00F01996" w:rsidP="00F01996">
      <w:pPr>
        <w:autoSpaceDE w:val="0"/>
        <w:autoSpaceDN w:val="0"/>
        <w:adjustRightInd w:val="0"/>
        <w:spacing w:after="0" w:line="240" w:lineRule="auto"/>
        <w:jc w:val="center"/>
        <w:rPr>
          <w:sz w:val="24"/>
        </w:rPr>
      </w:pPr>
      <w:r>
        <w:rPr>
          <w:sz w:val="24"/>
        </w:rPr>
        <w:t>2</w:t>
      </w:r>
      <w:r w:rsidR="00BD595F">
        <w:rPr>
          <w:sz w:val="24"/>
        </w:rPr>
        <w:t>. peatükk</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Reklaam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 2. </w:t>
      </w:r>
      <w:r>
        <w:rPr>
          <w:sz w:val="24"/>
        </w:rPr>
        <w:t>E-sigarettide ja täitepakendite reklaami kõik vormid on keelatud, vrd e-sigarette jms käsitleva seaduse paragrahvi 16 lõige 1.</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Lõige 2. </w:t>
      </w:r>
      <w:r>
        <w:rPr>
          <w:sz w:val="24"/>
        </w:rPr>
        <w:t>Alapunktis 1 mainitud reklaami keeld sisaldab järgmist käsitlevat keeldu:</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peamiselt e-sigarettide ja täitepakendite tõttu tuttava nime, kaubamargi, sümboli või muu sümboli kasutamine muude toodete ja teenuste reklaamis;</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e-sigarettide ja täitepakendite turustamine nime, kaubamargi, sümboli või muu omaduse abil, mis on tuntud või kasutusel muude toodete ja teenuste puhul;</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rFonts w:ascii="Calibri" w:hAnsi="Calibri"/>
          <w:color w:val="000000"/>
          <w:sz w:val="24"/>
        </w:rPr>
        <w:t>e-sigarettide ja täitepakendite turustamine nimede, kaubamarkide, sümbolite, kujundite vms abil, mis on peamiselt suunatud lastele ja alla 18aastastele noortele;</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konkreetsete e-sigarettide ja täitepakenditega seonduva kujunduse, disaini või konkreetsete värvikombinatsioonide kasutamine;</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äratuntavate e-sigarettide ja täitepakendite kasutamine muude toodete ja teenuste reklaamis.</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795B0D2A" w:rsidR="00350BF0" w:rsidRDefault="00BD595F" w:rsidP="00F01996">
      <w:pPr>
        <w:autoSpaceDE w:val="0"/>
        <w:autoSpaceDN w:val="0"/>
        <w:adjustRightInd w:val="0"/>
        <w:spacing w:after="0" w:line="240" w:lineRule="auto"/>
        <w:rPr>
          <w:sz w:val="24"/>
        </w:rPr>
      </w:pPr>
      <w:r>
        <w:rPr>
          <w:i/>
          <w:sz w:val="24"/>
        </w:rPr>
        <w:t xml:space="preserve">Lõige </w:t>
      </w:r>
      <w:r w:rsidR="00F01996">
        <w:rPr>
          <w:i/>
          <w:sz w:val="24"/>
        </w:rPr>
        <w:t>3</w:t>
      </w:r>
      <w:r>
        <w:rPr>
          <w:i/>
          <w:sz w:val="24"/>
        </w:rPr>
        <w:t>.</w:t>
      </w:r>
      <w:r w:rsidR="00F01996">
        <w:rPr>
          <w:i/>
          <w:sz w:val="24"/>
        </w:rPr>
        <w:t xml:space="preserve"> </w:t>
      </w:r>
      <w:r w:rsidR="00F01996">
        <w:rPr>
          <w:sz w:val="24"/>
        </w:rPr>
        <w:t>Samas ei kohaldata lõikes 1 sätestatud keeldu järgmistel juhtudel:</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reklaam ajakirjanduses ja muudes trükiväljaannetes, mis on ette nähtud üksnes e-sigarettide või täitepakendite tööstuse spetsialistidele, ning kolmandates riikides trükitud ja avaldatud väljaannetes, tingimusel et need ei ole peamiselt ette nähtud liidu turule;</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sellise nime kasutamine, mida enne 7. juunit 2016 kasutati nii e-sigarettide ja täitepakendite kui ka muude kaupade või teenuste puhul nimetatud muude toodete reklaamiks senikaua, kui nime kujutatakse e-sigaretil </w:t>
      </w:r>
      <w:r>
        <w:rPr>
          <w:rFonts w:ascii="Calibri" w:hAnsi="Calibri"/>
          <w:color w:val="000000"/>
          <w:sz w:val="24"/>
        </w:rPr>
        <w:t>ja täitepakendil</w:t>
      </w:r>
      <w:r>
        <w:rPr>
          <w:sz w:val="24"/>
        </w:rPr>
        <w:t xml:space="preserve"> asuvast nime kujutisest selgelt eristuvas vormis;</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e-sigarettidest tuntud nime kasutamine muude kaupade ja teenuste reklaamiks, kui muud kaubad ja teenused viiakse turule vaid piiratud geograafilises piirkonnas.</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4BCC8992" w:rsidR="00F01996" w:rsidRPr="00202056" w:rsidRDefault="00F01996" w:rsidP="00F01996">
      <w:pPr>
        <w:autoSpaceDE w:val="0"/>
        <w:autoSpaceDN w:val="0"/>
        <w:adjustRightInd w:val="0"/>
        <w:spacing w:after="0" w:line="240" w:lineRule="auto"/>
        <w:jc w:val="center"/>
        <w:rPr>
          <w:sz w:val="24"/>
        </w:rPr>
      </w:pPr>
      <w:r>
        <w:rPr>
          <w:sz w:val="24"/>
        </w:rPr>
        <w:t>3. </w:t>
      </w:r>
      <w:r w:rsidR="00BD595F">
        <w:rPr>
          <w:sz w:val="24"/>
        </w:rPr>
        <w:t>peatükk</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Nähtava paigutuse ja väljapaneku keeld füüsilistes müügikohtades</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15C70E50" w:rsidR="00F01996" w:rsidRPr="005124ED" w:rsidRDefault="00BD595F"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 </w:t>
      </w:r>
      <w:r w:rsidR="00F01996">
        <w:rPr>
          <w:b/>
          <w:sz w:val="24"/>
        </w:rPr>
        <w:t xml:space="preserve">3. </w:t>
      </w:r>
      <w:r w:rsidR="00F01996">
        <w:rPr>
          <w:sz w:val="24"/>
        </w:rPr>
        <w:t>E-sigarettide ja täitepakendite nähtav paigutus ja väljapanek on müügikohtades keelatud</w:t>
      </w:r>
      <w:r w:rsidR="00F01996">
        <w:rPr>
          <w:rStyle w:val="tlid-translation"/>
          <w:color w:val="000000" w:themeColor="text1"/>
          <w:sz w:val="24"/>
        </w:rPr>
        <w:t>. Valiku võib siiski esitada ostja eelneval taotlusel.</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Lõige 2. </w:t>
      </w:r>
      <w:r>
        <w:rPr>
          <w:sz w:val="24"/>
        </w:rPr>
        <w:t xml:space="preserve">Lõikega 1 hõlmatud toodetega koos kasutamiseks ettenähtud tooted kuuluvad samuti lõike 1 kohase keelu alla. </w:t>
      </w:r>
    </w:p>
    <w:p w14:paraId="6488B9DD" w14:textId="7D58C4BE" w:rsidR="00F01996" w:rsidRDefault="00F01996" w:rsidP="00F01996">
      <w:pPr>
        <w:autoSpaceDE w:val="0"/>
        <w:autoSpaceDN w:val="0"/>
        <w:adjustRightInd w:val="0"/>
        <w:spacing w:after="0" w:line="240" w:lineRule="auto"/>
        <w:rPr>
          <w:sz w:val="24"/>
        </w:rPr>
      </w:pPr>
      <w:r>
        <w:rPr>
          <w:i/>
          <w:sz w:val="24"/>
        </w:rPr>
        <w:t>Lõige 3</w:t>
      </w:r>
      <w:r>
        <w:rPr>
          <w:sz w:val="24"/>
        </w:rPr>
        <w:t>. Lõike 2 kohane keeld hõlmab täitjaid, tühje täitepakendeid, pakendeid, akusid või maitse- ja lõhnaaineid (kuid ei ole nimetatuga piiratud). Lõike 2 kohane keeld ei hõlma tooteid, mille kavandatav kasutusotstarve on üldisemat laadi, kui need ei ole just konkreetselt ette nähtud või turustatud e-sigarettide ja täitepakenditega seonduvalt.</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Lõige 4. </w:t>
      </w:r>
      <w:r>
        <w:rPr>
          <w:sz w:val="24"/>
        </w:rPr>
        <w:t>Lõigete 1 ja 2 kohasele keelule vastavalt on keelatud järgmine:</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müügikohas</w:t>
      </w:r>
      <w:r>
        <w:rPr>
          <w:sz w:val="24"/>
        </w:rPr>
        <w:t xml:space="preserve"> müüdavate e-sigarettide ja täitepakendite </w:t>
      </w:r>
      <w:r>
        <w:rPr>
          <w:rStyle w:val="tlid-translation"/>
          <w:color w:val="000000" w:themeColor="text1"/>
          <w:sz w:val="24"/>
        </w:rPr>
        <w:t>otsene või kaudne reklaam või neist teavitamine;</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teksti, illustratsioonide, kujutiste, värvide, logode, sümbolite vm vahendite kasutamine, millega loodaks tarbijaile mulje, et viidatakse lõikega 1 või 2 hõlmatud toodetele või tootekategooriatele või et nimetatud tooted on tervisele kasulikud, vähem kahju põhjustavad kui muud tooted, </w:t>
      </w:r>
      <w:r>
        <w:rPr>
          <w:sz w:val="24"/>
        </w:rPr>
        <w:t>toimivad suitsetamise lõpetamise abina</w:t>
      </w:r>
      <w:r>
        <w:rPr>
          <w:rStyle w:val="tlid-translation"/>
          <w:color w:val="000000" w:themeColor="text1"/>
          <w:sz w:val="24"/>
        </w:rPr>
        <w:t xml:space="preserve"> või et neil on muid kasulikke mõjusid või eeliseid või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tõsta nimetatud tooteid esile värvi, erivalgustuse vms kaudu müügikoha muude elementidega võrreldes.  </w:t>
      </w: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5A6AF381" w:rsidR="00F01996" w:rsidRPr="00202056" w:rsidRDefault="00F01996" w:rsidP="00F01996">
      <w:pPr>
        <w:autoSpaceDE w:val="0"/>
        <w:autoSpaceDN w:val="0"/>
        <w:adjustRightInd w:val="0"/>
        <w:spacing w:after="0" w:line="240" w:lineRule="auto"/>
        <w:jc w:val="center"/>
        <w:rPr>
          <w:sz w:val="24"/>
        </w:rPr>
      </w:pPr>
      <w:r>
        <w:rPr>
          <w:sz w:val="24"/>
        </w:rPr>
        <w:t>4</w:t>
      </w:r>
      <w:r w:rsidR="00BD595F">
        <w:rPr>
          <w:sz w:val="24"/>
        </w:rPr>
        <w:t>. peatükk</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Tooteid ja hindu käsitlev neutraalne teave füüsilistes müügikohtades</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 4. </w:t>
      </w:r>
      <w:r>
        <w:rPr>
          <w:sz w:val="24"/>
        </w:rPr>
        <w:t>Füüsilised müügikohad võivad ostjale anda neutraalset teavet selle kohta, milliseid e-sigarette ja täitepakendeid müügikohas müüakse ja esitada nende hinnad.</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Lõige 2.</w:t>
      </w:r>
      <w:r>
        <w:rPr>
          <w:sz w:val="24"/>
        </w:rPr>
        <w:t xml:space="preserve"> Lõike 1 alusel lubatav teave sisaldab järgmist:</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lastRenderedPageBreak/>
        <w:t xml:space="preserve">tootemark ja -nimetus;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arv, kaal, suurus ja maht;</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hind.</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Lõige 3. </w:t>
      </w:r>
      <w:r>
        <w:rPr>
          <w:sz w:val="24"/>
        </w:rPr>
        <w:t>Lõikes 2 sisalduv teave tuleb esitada musta tekstina valgel A4 või väiksemal paberilehel, millel ei tohi esitada illustratsioone, pilte, värve, logosid, sümboleid ega muud teksti, v.a lõikes 4 esitatu. Loetelu teavet ei tohi esile tõsta ja teave tuleb:</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esitada tootemargi alusel tähestikulises järjekorras;</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esitada järgmises järjendis: tootemark, nimetus, arv, kaal, suurus, maht ning hind;</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esitada sama kirja ja kirjasuurusega. Kirjasuurus ei tohi ületada 14 punkti.</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Lõige 4. </w:t>
      </w:r>
      <w:r>
        <w:rPr>
          <w:sz w:val="24"/>
        </w:rPr>
        <w:t xml:space="preserve">Lõike 3 kohane loetelu peab sisaldama e-sigarettide ja täitepakendite müügi vanusepiirangu teavet, vrd e-sigarette jms käsitleva Taani tervishoiuameti koostatud seaduse paragrahvi 15 lõige 1.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Lõige 5. </w:t>
      </w:r>
      <w:r>
        <w:rPr>
          <w:sz w:val="24"/>
        </w:rPr>
        <w:t>Lõike 3 kohase loetelu igale tootele tuleb määrata number.</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Lõige 6.</w:t>
      </w:r>
      <w:r>
        <w:rPr>
          <w:sz w:val="24"/>
        </w:rPr>
        <w:t xml:space="preserve"> Lõike 3 kohase loetelu võib jaotada ühte või enamasse järgmisse kategooriasse: e-sigaret, e-vedelikuga täitepakendid, e-sigarettide seadmed ja muu. Loetelu kategooriad võib jagada nikotiiniga ja nikotiinita toodeteks. Kategooriatesse klassifitseerimine peab vastama e-sigarettide ja täitepakendite määratlustele, mis on sätestatud e-sigarettide seaduses jne.</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Lõige 7.</w:t>
      </w:r>
      <w:r>
        <w:rPr>
          <w:sz w:val="24"/>
        </w:rPr>
        <w:t xml:space="preserve"> Füüsilistes müügikohtades võib lõike 3 kohast loetelu näidata ostja nõudmisel või see võib olla üleval mehitatud kassas.</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5. peatükk</w:t>
      </w:r>
    </w:p>
    <w:p w14:paraId="6488B9FD" w14:textId="77777777" w:rsidR="00F01996" w:rsidRPr="00202056" w:rsidRDefault="00F01996" w:rsidP="00F01996">
      <w:pPr>
        <w:jc w:val="center"/>
        <w:rPr>
          <w:i/>
          <w:sz w:val="24"/>
        </w:rPr>
      </w:pPr>
      <w:r>
        <w:rPr>
          <w:i/>
          <w:sz w:val="24"/>
        </w:rPr>
        <w:t>Müük veebi ja digilahenduste kaudu</w:t>
      </w:r>
    </w:p>
    <w:p w14:paraId="6488B9FE" w14:textId="210CA8F3" w:rsidR="00F01996" w:rsidRPr="005124ED" w:rsidRDefault="00BD595F" w:rsidP="00F01996">
      <w:pPr>
        <w:autoSpaceDE w:val="0"/>
        <w:autoSpaceDN w:val="0"/>
        <w:adjustRightInd w:val="0"/>
        <w:spacing w:after="0" w:line="240" w:lineRule="auto"/>
        <w:rPr>
          <w:rFonts w:cstheme="minorHAnsi"/>
          <w:i/>
          <w:sz w:val="24"/>
          <w:szCs w:val="24"/>
        </w:rPr>
      </w:pPr>
      <w:r>
        <w:rPr>
          <w:b/>
          <w:sz w:val="24"/>
        </w:rPr>
        <w:t xml:space="preserve">§ </w:t>
      </w:r>
      <w:r w:rsidR="00F01996">
        <w:rPr>
          <w:b/>
          <w:sz w:val="24"/>
        </w:rPr>
        <w:t>5.</w:t>
      </w:r>
      <w:r w:rsidR="00F01996">
        <w:rPr>
          <w:sz w:val="24"/>
        </w:rPr>
        <w:t xml:space="preserve"> E-sigarettide ja täitepakendite nähtava paigutuse ja väljapaneku (paragrahvi 3 lõigete 1 kuni 3 kohane) keeld kehtib ka digilahenduste kaudu (nt jaemüüjate kodulehed, interneti-kauplused, ettevõtete kodulehed, ettevõtete sotsiaalmeedia lehed ja rakendused) müügi puhul.</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Lõige 2. </w:t>
      </w:r>
      <w:r>
        <w:rPr>
          <w:sz w:val="24"/>
        </w:rPr>
        <w:t xml:space="preserve">Lõikega 1 hõlmatud müügikohad võivad ostjale anda neutraalset teavet selle kohta, milliseid e-sigarette ja täitepakendeid müügikohas müüakse ja esitada nende hinnad. Lisaks võib toote pakendil esitada teavet ja tehnilist teavet, mis võimaldab kliendil hinnata, milliste muude toodetega toode sobib.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Lõige 3</w:t>
      </w:r>
      <w:r>
        <w:rPr>
          <w:sz w:val="24"/>
        </w:rPr>
        <w:t xml:space="preserve">. Lõikes 2 osutatud teave ei tohi jätta muljet, et e-sigaretid või täitepakendites olevad vedelikud on tervisele kasulikud, on vähem kahjulikud kui muud tooted või neil on muid kasulikke mõjusid või eeliseid.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Lõige 4.</w:t>
      </w:r>
      <w:r>
        <w:rPr>
          <w:sz w:val="24"/>
        </w:rPr>
        <w:t xml:space="preserve"> Lõikes 2 osutatud teavet ei tohi esitada müügikoha esiküljel, välja arvatud kategooriad „e-sigaret“, „täitepakendid“, „e-sigareti seadmed“ ja „muu“. Kategooriad võib jagada nikotiiniga ja nikotiinita toodeteks.</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Lõige 5. </w:t>
      </w:r>
      <w:r>
        <w:rPr>
          <w:sz w:val="24"/>
        </w:rPr>
        <w:t xml:space="preserve">Lõikes 2 sisalduvat teavet ei tohi esitada koos illustratsioonide, piltide, värvide, logode, </w:t>
      </w:r>
      <w:r>
        <w:rPr>
          <w:sz w:val="24"/>
        </w:rPr>
        <w:lastRenderedPageBreak/>
        <w:t>sümbolite ega muu tekstiga. Teave ei tohi olla esile tõstetud ega silmatorkav ning teave peab olema kuvatud sama värvi, sama kirja ja kirjasuurusega, nagu tavaliselt kasutatakse toodete esitlemisel veebisaidil.</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Lõige 6.</w:t>
      </w:r>
      <w:r>
        <w:rPr>
          <w:sz w:val="24"/>
        </w:rPr>
        <w:t xml:space="preserve"> Lõikes 5 nimetatud keeld ei hõlma sümbolit „koht korvis“ ega muid veebisaidi toimimise ja veebile juurdepääsetavuse tagamisega seotud küsimusi.</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Lõige 7.</w:t>
      </w:r>
      <w:r>
        <w:rPr>
          <w:sz w:val="24"/>
        </w:rPr>
        <w:t xml:space="preserve"> Lõikega 1 hõlmatud müügikohad ei tohi klientidele ega lehe külastajatele tagada lõikega 1 hõlmatud toodete arvustamise, hindamise vms võimalust, kui arvustus jms muutub arvustajale endale või tooteid müüvas müügikohas mittetöötavatele muudele isikutele mis tahes moel nähtavaks või kättesaadavaks.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79F6973E" w:rsidR="00F01996" w:rsidRDefault="00F01996" w:rsidP="00F01996">
      <w:pPr>
        <w:autoSpaceDE w:val="0"/>
        <w:autoSpaceDN w:val="0"/>
        <w:adjustRightInd w:val="0"/>
        <w:spacing w:after="0" w:line="240" w:lineRule="auto"/>
        <w:rPr>
          <w:sz w:val="24"/>
        </w:rPr>
      </w:pPr>
      <w:r>
        <w:rPr>
          <w:i/>
          <w:sz w:val="24"/>
        </w:rPr>
        <w:t xml:space="preserve">Lõige 8. </w:t>
      </w:r>
      <w:r>
        <w:rPr>
          <w:sz w:val="24"/>
        </w:rPr>
        <w:t xml:space="preserve">Lõikega 1 hõlmatud müügikohad peavad tagama, et enne toote valiku tegemist esitatakse kliendile Taani tervishoiu- ja ravimiameti koostatud graafiline kujutis, millel on näidatud e-sigarettide ja täitepakendite müügi vanusepiirang, vt e-sigarettide seaduse paragrahvi 15 lõige 1. </w:t>
      </w:r>
    </w:p>
    <w:p w14:paraId="04151EFC" w14:textId="77777777" w:rsidR="00246FDB" w:rsidRPr="005124ED" w:rsidRDefault="00246FDB" w:rsidP="00F01996">
      <w:pPr>
        <w:autoSpaceDE w:val="0"/>
        <w:autoSpaceDN w:val="0"/>
        <w:adjustRightInd w:val="0"/>
        <w:spacing w:after="0" w:line="240" w:lineRule="auto"/>
        <w:rPr>
          <w:rFonts w:cstheme="minorHAnsi"/>
          <w:sz w:val="24"/>
          <w:szCs w:val="24"/>
        </w:rPr>
      </w:pP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6. peatükk</w:t>
      </w:r>
    </w:p>
    <w:p w14:paraId="6488BA0E" w14:textId="77777777" w:rsidR="00F01996" w:rsidRPr="00202056" w:rsidRDefault="00F01996" w:rsidP="00F01996">
      <w:pPr>
        <w:spacing w:line="240" w:lineRule="auto"/>
        <w:jc w:val="center"/>
        <w:rPr>
          <w:i/>
          <w:sz w:val="24"/>
        </w:rPr>
      </w:pPr>
      <w:r>
        <w:rPr>
          <w:i/>
          <w:sz w:val="24"/>
        </w:rPr>
        <w:t xml:space="preserve">E-sigarettide ja täitepakendite müügile spetsialiseerunud füüsilised müügikohad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6. </w:t>
      </w:r>
      <w:r>
        <w:rPr>
          <w:sz w:val="24"/>
        </w:rPr>
        <w:t xml:space="preserve">Paragrahvi 3 lõigete 1 ja 2 kohane nähtava paigutuse ja väljapaneku keeld ei kehti e-sigarettide ja täitepakendite müügi puhul füüsilistes müügikohtades, mis on nimetatud toodete müügile spetsialiseerunud.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Lõige 2.</w:t>
      </w:r>
      <w:r>
        <w:rPr>
          <w:sz w:val="24"/>
        </w:rPr>
        <w:t xml:space="preserve"> Lõike 1 kohast müügikohta peetakse e-sigarettide </w:t>
      </w:r>
      <w:r>
        <w:rPr>
          <w:rFonts w:ascii="Calibri" w:hAnsi="Calibri"/>
          <w:color w:val="000000"/>
          <w:sz w:val="24"/>
        </w:rPr>
        <w:t>ja täitepakendite müügile spetsialiseerunuks, kui müügikoht müüb vaid või peamiselt nikotiiniga ja nikotiinita e-sigarette ja täitepakendeid.</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Lõige 3.</w:t>
      </w:r>
      <w:r>
        <w:rPr>
          <w:sz w:val="24"/>
        </w:rPr>
        <w:t xml:space="preserve"> Lõike 1 kohane nähtava paigutuse ja väljapaneku keelu erand kehtib vaid e-sigarettide ja täitepakendite puhul. Kui müügikoht müüb ka muid tooteid või tubakatooteid, tubaka asendusaineid või taimseid suitsetatavaid tooteid, hõlmatakse need tubakatoodete, tubaka asendusainete ja taimsete suitsetatavate toodete reklaami ning nähtava paigutuse ja väljapaneku jms keeldu käsitleva korralduse paragrahvi 3 lõigete 1 ja 2 kohase keeluga ning neutraalset teavet toodete ja hindade kohta käsitlevate eeskirjadega vastavalt käesoleva korralduse</w:t>
      </w:r>
      <w:r>
        <w:rPr>
          <w:i/>
          <w:sz w:val="24"/>
        </w:rPr>
        <w:t xml:space="preserve"> </w:t>
      </w:r>
      <w:r>
        <w:rPr>
          <w:sz w:val="24"/>
        </w:rPr>
        <w:t>paragrahvile 4 või paragrahvi 2 lõigete 1 või 2 kohase keeluga.</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Lõige 4. </w:t>
      </w:r>
      <w:r>
        <w:rPr>
          <w:sz w:val="24"/>
        </w:rPr>
        <w:t xml:space="preserve">Kui lõike 1 kohane müügikoht müüb e-sigarette ja täitepakendeid digilahenduste (nt jaemüüjate kodulehed, interneti-kauplused, ettevõtete kodulehed, ettevõtete sotsiaalmeedia lehed ja rakendused) kaudu, on see hõlmatud paragrahviga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Lõige 5.</w:t>
      </w:r>
      <w:r>
        <w:rPr>
          <w:color w:val="000000" w:themeColor="text1"/>
          <w:sz w:val="24"/>
        </w:rPr>
        <w:t xml:space="preserve"> Lõike 1 kohasel füüsilisel müügikohal ei ole lubatud e-sigarette ja täitepakendeid müügikohas, kaupluse vaateaknal ega selle ees reklaamida (v.a lõikes 6 sätestatu). See hõlmab alljärgnevat.</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Olukord, kus ei pruugi olla elemente, sealhulgas toodete ümber, mis võiksid avaldada reklaamivat mõju, nagu erivalgustus, värvide kasutamine või mõju, mis muul viisil tõstab esile konkreetse toote, kaubanime, hinna või muu e-sigarettide ja täitepakendite puhul; või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lastRenderedPageBreak/>
        <w:t>esiletõstmine teksti, illustratsioonide, piltide, värvide, logode, sümbolite vm vahendite kaudu, jättes ostjale</w:t>
      </w:r>
      <w:r>
        <w:rPr>
          <w:rStyle w:val="tlid-translation"/>
          <w:color w:val="000000" w:themeColor="text1"/>
          <w:sz w:val="24"/>
        </w:rPr>
        <w:t xml:space="preserve"> mulje, et nimetatud toode/tooted on tervisele kasulikud, vähem kahju põhjustavad kui muud tooted, </w:t>
      </w:r>
      <w:r>
        <w:rPr>
          <w:sz w:val="24"/>
        </w:rPr>
        <w:t>toimivad suitsetamise lõpetamise abina</w:t>
      </w:r>
      <w:r>
        <w:rPr>
          <w:rStyle w:val="tlid-translation"/>
          <w:color w:val="000000" w:themeColor="text1"/>
          <w:sz w:val="24"/>
        </w:rPr>
        <w:t xml:space="preserve"> või et neil on muid kasulikke mõjusid või eeliseid. </w:t>
      </w:r>
    </w:p>
    <w:p w14:paraId="6488BA1C" w14:textId="77777777" w:rsidR="00F01996" w:rsidRPr="00B6712B" w:rsidRDefault="00F01996" w:rsidP="00F01996">
      <w:pPr>
        <w:autoSpaceDE w:val="0"/>
        <w:autoSpaceDN w:val="0"/>
        <w:adjustRightInd w:val="0"/>
        <w:spacing w:after="0" w:line="240" w:lineRule="auto"/>
        <w:rPr>
          <w:sz w:val="24"/>
        </w:rPr>
      </w:pPr>
      <w:r>
        <w:rPr>
          <w:i/>
          <w:sz w:val="24"/>
        </w:rPr>
        <w:t>Lõige 6</w:t>
      </w:r>
      <w:r>
        <w:rPr>
          <w:sz w:val="24"/>
        </w:rPr>
        <w:t>. Lõike 1 kohase füüsilise müügikoha nimi tuleb füüsilises kaupluses ja kaupluse ees esitada neutraalse disaini abil. Nimetusel endal ei pruugi olla reklaamiefekti või silmatorkavat mõju, kuid see võib sisaldada sõnu „e-sigaretid“ või osutada e-sigarettidele neutraalsel viisil.</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Lõige 7.</w:t>
      </w:r>
      <w:r>
        <w:rPr>
          <w:sz w:val="24"/>
        </w:rPr>
        <w:t xml:space="preserve"> Lõike 1 kohase nähtava paigutuse ja väljapaneku jms keelu erand ei anna müügikohale võimalust e-sigarette ja täitepakendeid nähtavalt mujale (v.a müügikoht) paigutada ja välja panna ega reklaambuklette ja tasuta tooteid jms levitada.</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7. peatükk</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Iseteenindusmasinad</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 7</w:t>
      </w:r>
      <w:r>
        <w:rPr>
          <w:sz w:val="24"/>
        </w:rPr>
        <w:t>. Pärast mehitatud kassasid asetsevad e-sigarettide ja täitepakendite iseteenindusmasinad peavad olema neutraalse disainiga. Masinal tuleb tootemargi nimi, kaubanimi ja hinnad esitada mustas kirjas valgel taustal.</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Lõige 2.</w:t>
      </w:r>
      <w:r>
        <w:rPr>
          <w:sz w:val="24"/>
        </w:rPr>
        <w:t xml:space="preserve"> Lõike 1 kohane masin ei tohi</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nimetatud toodete puhul kanda ega kohaldada tootemargi ega ettevõtte märgiseid (sh toote pilti) ega muid omadusi;</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mingit teavet esile tõsta ega</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näidata või kohaldada teksti, illustratsioone, pilte, värve, logosid, sümboleid vm vahendeid, jättes ostjale mulje, et konkreetsest masinast müüdav toode on tervisele kasulik, vähem kahju põhjustav kui muud tooted, toimib suitsetamise lõpetamise abina või et sel on muid kasulikke mõjusid või eeliseid.</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8. peatükk</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Karistused</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 8. </w:t>
      </w:r>
      <w:r>
        <w:rPr>
          <w:sz w:val="24"/>
        </w:rPr>
        <w:t>Kui muu õigusaktiga ei ole kehtestatud rangemaid karistusi, määratakse karistused neile, kes ei järgi lõigetes 2 ja 3 sätestatud keeldu või rikuvad lõigetes 4–7 sätestatud eeskirju.</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7777777" w:rsidR="00F01996" w:rsidRPr="00B6712B" w:rsidRDefault="00F01996" w:rsidP="00F01996">
      <w:pPr>
        <w:autoSpaceDE w:val="0"/>
        <w:autoSpaceDN w:val="0"/>
        <w:adjustRightInd w:val="0"/>
        <w:spacing w:after="0" w:line="240" w:lineRule="auto"/>
        <w:rPr>
          <w:sz w:val="24"/>
        </w:rPr>
      </w:pPr>
      <w:r>
        <w:rPr>
          <w:i/>
          <w:sz w:val="24"/>
        </w:rPr>
        <w:t xml:space="preserve">Lõige 2. </w:t>
      </w:r>
      <w:r>
        <w:rPr>
          <w:sz w:val="24"/>
        </w:rPr>
        <w:t>(juriidilisi isikuid) võidakse võtta karistusseadustiku (Straffeloven) 5. peatüki sätete kohaselt kriminaalvastutusele.</w:t>
      </w:r>
    </w:p>
    <w:p w14:paraId="7FDAD152" w14:textId="77777777" w:rsidR="00BD595F" w:rsidRDefault="00BD595F" w:rsidP="00F01996">
      <w:pPr>
        <w:autoSpaceDE w:val="0"/>
        <w:autoSpaceDN w:val="0"/>
        <w:adjustRightInd w:val="0"/>
        <w:spacing w:after="0" w:line="240" w:lineRule="auto"/>
        <w:jc w:val="center"/>
        <w:rPr>
          <w:sz w:val="24"/>
        </w:rPr>
      </w:pPr>
    </w:p>
    <w:p w14:paraId="126D5EC9" w14:textId="77777777" w:rsidR="00BD595F" w:rsidRDefault="00BD595F" w:rsidP="00F01996">
      <w:pPr>
        <w:autoSpaceDE w:val="0"/>
        <w:autoSpaceDN w:val="0"/>
        <w:adjustRightInd w:val="0"/>
        <w:spacing w:after="0" w:line="240" w:lineRule="auto"/>
        <w:jc w:val="center"/>
        <w:rPr>
          <w:sz w:val="24"/>
        </w:rPr>
      </w:pPr>
    </w:p>
    <w:p w14:paraId="2D3E9063" w14:textId="77777777" w:rsidR="00BD595F" w:rsidRDefault="00BD595F" w:rsidP="00F01996">
      <w:pPr>
        <w:autoSpaceDE w:val="0"/>
        <w:autoSpaceDN w:val="0"/>
        <w:adjustRightInd w:val="0"/>
        <w:spacing w:after="0" w:line="240" w:lineRule="auto"/>
        <w:jc w:val="center"/>
        <w:rPr>
          <w:sz w:val="24"/>
        </w:rPr>
      </w:pPr>
    </w:p>
    <w:p w14:paraId="2A5123A0" w14:textId="77777777" w:rsidR="00246FDB" w:rsidRDefault="00246FDB" w:rsidP="00F01996">
      <w:pPr>
        <w:autoSpaceDE w:val="0"/>
        <w:autoSpaceDN w:val="0"/>
        <w:adjustRightInd w:val="0"/>
        <w:spacing w:after="0" w:line="240" w:lineRule="auto"/>
        <w:jc w:val="center"/>
        <w:rPr>
          <w:sz w:val="24"/>
        </w:rPr>
      </w:pPr>
    </w:p>
    <w:p w14:paraId="2AC68A8B" w14:textId="77777777" w:rsidR="00246FDB" w:rsidRDefault="00246FDB" w:rsidP="00F01996">
      <w:pPr>
        <w:autoSpaceDE w:val="0"/>
        <w:autoSpaceDN w:val="0"/>
        <w:adjustRightInd w:val="0"/>
        <w:spacing w:after="0" w:line="240" w:lineRule="auto"/>
        <w:jc w:val="center"/>
        <w:rPr>
          <w:sz w:val="24"/>
        </w:rPr>
      </w:pPr>
    </w:p>
    <w:p w14:paraId="15478C6B" w14:textId="77777777" w:rsidR="00246FDB" w:rsidRDefault="00246FDB" w:rsidP="00F01996">
      <w:pPr>
        <w:autoSpaceDE w:val="0"/>
        <w:autoSpaceDN w:val="0"/>
        <w:adjustRightInd w:val="0"/>
        <w:spacing w:after="0" w:line="240" w:lineRule="auto"/>
        <w:jc w:val="center"/>
        <w:rPr>
          <w:sz w:val="24"/>
        </w:rPr>
      </w:pPr>
    </w:p>
    <w:p w14:paraId="6488BA33" w14:textId="1DBDCBFE" w:rsidR="00F01996" w:rsidRPr="00B6712B" w:rsidRDefault="00F01996" w:rsidP="00F01996">
      <w:pPr>
        <w:autoSpaceDE w:val="0"/>
        <w:autoSpaceDN w:val="0"/>
        <w:adjustRightInd w:val="0"/>
        <w:spacing w:after="0" w:line="240" w:lineRule="auto"/>
        <w:jc w:val="center"/>
        <w:rPr>
          <w:sz w:val="24"/>
        </w:rPr>
      </w:pPr>
      <w:r>
        <w:rPr>
          <w:sz w:val="24"/>
        </w:rPr>
        <w:lastRenderedPageBreak/>
        <w:t>9. peatükk</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Jõustumine</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 9. </w:t>
      </w:r>
      <w:r>
        <w:rPr>
          <w:sz w:val="24"/>
        </w:rPr>
        <w:t xml:space="preserve">Korraldus jõustub 1. aprillil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Tervishoiuministeerium, 15. jaanuar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C213D9"/>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2F19" w14:textId="77777777" w:rsidR="00C213D9" w:rsidRDefault="00C213D9" w:rsidP="00350BF0">
      <w:pPr>
        <w:spacing w:after="0" w:line="240" w:lineRule="auto"/>
      </w:pPr>
      <w:r>
        <w:separator/>
      </w:r>
    </w:p>
  </w:endnote>
  <w:endnote w:type="continuationSeparator" w:id="0">
    <w:p w14:paraId="70B30F3C" w14:textId="77777777" w:rsidR="00C213D9" w:rsidRDefault="00C213D9"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FC14" w14:textId="77777777" w:rsidR="00C213D9" w:rsidRDefault="00C213D9" w:rsidP="00350BF0">
      <w:pPr>
        <w:spacing w:after="0" w:line="240" w:lineRule="auto"/>
      </w:pPr>
      <w:r>
        <w:separator/>
      </w:r>
    </w:p>
  </w:footnote>
  <w:footnote w:type="continuationSeparator" w:id="0">
    <w:p w14:paraId="2F240BD7" w14:textId="77777777" w:rsidR="00C213D9" w:rsidRDefault="00C213D9"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0B54D4"/>
    <w:rsid w:val="001F1C7F"/>
    <w:rsid w:val="00246FDB"/>
    <w:rsid w:val="002953D7"/>
    <w:rsid w:val="003345F5"/>
    <w:rsid w:val="00350BF0"/>
    <w:rsid w:val="0037143F"/>
    <w:rsid w:val="007F49CF"/>
    <w:rsid w:val="008B795A"/>
    <w:rsid w:val="00B21D4C"/>
    <w:rsid w:val="00BC77E7"/>
    <w:rsid w:val="00BD5461"/>
    <w:rsid w:val="00BD595F"/>
    <w:rsid w:val="00BE0E06"/>
    <w:rsid w:val="00C213D9"/>
    <w:rsid w:val="00E227AC"/>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1595</Words>
  <Characters>10561</Characters>
  <Application>Microsoft Office Word</Application>
  <DocSecurity>0</DocSecurity>
  <Lines>245</Lines>
  <Paragraphs>98</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4</cp:revision>
  <dcterms:created xsi:type="dcterms:W3CDTF">2021-12-13T09:11:00Z</dcterms:created>
  <dcterms:modified xsi:type="dcterms:W3CDTF">2021-12-13T09:44:00Z</dcterms:modified>
</cp:coreProperties>
</file>