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>
        <w:rPr>
          <w:rFonts w:ascii="Courier New" w:hAnsi="Courier New"/>
          <w:sz w:val="20"/>
          <w:szCs w:val="20"/>
        </w:rPr>
        <w:t>1. ------IND- 2020 0682 S-- ET-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EELNÕU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Määrus, millega muudetakse määrust (2014:425) pestitsiidide kohta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>Seoses pestitsiidide määrusega (2014:425) sätestab valitsus,</w:t>
      </w:r>
      <w:r w:rsidR="004F7236">
        <w:rPr>
          <w:rStyle w:val="FootnoteReference"/>
        </w:rPr>
        <w:footnoteReference w:id="2"/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>et</w:t>
      </w:r>
      <w:r>
        <w:t xml:space="preserve"> 2. peatüki paragrahvid 11, 20, 37–39 ja 40–43 sõnastatakse allpool esitatud viisil;</w:t>
      </w:r>
    </w:p>
    <w:p w14:paraId="32D3C6D4" w14:textId="54B9CC0D" w:rsidR="000561D2" w:rsidRDefault="00394D15" w:rsidP="006B5212">
      <w:pPr>
        <w:pStyle w:val="BodyTextIndent"/>
      </w:pPr>
      <w:r>
        <w:rPr>
          <w:i/>
          <w:iCs/>
        </w:rPr>
        <w:t>et</w:t>
      </w:r>
      <w:r>
        <w:t xml:space="preserve"> lisatakse viis uut </w:t>
      </w:r>
      <w:r w:rsidR="00C921CF">
        <w:t>paragrahvi</w:t>
      </w:r>
      <w:r>
        <w:t xml:space="preserve"> – 2. peatüki paragrahv 37</w:t>
      </w:r>
      <w:r w:rsidR="00C921CF">
        <w:t>a</w:t>
      </w:r>
      <w:r>
        <w:t>, paragrahv 38</w:t>
      </w:r>
      <w:r w:rsidR="00C921CF">
        <w:t>a</w:t>
      </w:r>
      <w:r>
        <w:t>, paragrahv 40</w:t>
      </w:r>
      <w:r w:rsidR="00C921CF">
        <w:t>a</w:t>
      </w:r>
      <w:r>
        <w:t>, paragrahv 41</w:t>
      </w:r>
      <w:r w:rsidR="00C921CF">
        <w:t>a</w:t>
      </w:r>
      <w:r>
        <w:t xml:space="preserve"> ja paragrahv 43</w:t>
      </w:r>
      <w:r w:rsidR="00C921CF">
        <w:t>a</w:t>
      </w:r>
      <w:r>
        <w:t xml:space="preserve"> – ning need sõnastatakse allpool esitatu kohaselt.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2. peatükk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>§ 11</w:t>
      </w:r>
      <w:r>
        <w:t>    Taimekaitsevahendite kasutajatele pakutakse koolitust, kus pakutakse piisavalt teadmisi Euroopa Parlamendi ja nõukogu 21. oktoobri 2009. aasta direktiivi 2009/128/EÜ (millega kehtestatakse ühenduse tegevusraamistik pestitsiidide säästva kasutamise saavutamiseks) I lisas loetletud teemavaldkondade kohta. Koolitust pakub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Rootsi põllumajandusamet seoses kasutusega</w:t>
      </w:r>
    </w:p>
    <w:p w14:paraId="5CC76910" w14:textId="106FFFFD" w:rsidR="00822E88" w:rsidRDefault="006B3972" w:rsidP="006B5212">
      <w:pPr>
        <w:pStyle w:val="BodyTextIndent"/>
      </w:pPr>
      <w:r>
        <w:t>a) põllumajanduses, metsanduses, parkide haldamises või aianduses;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elamute kruntidel;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kooli- ja lasteaiahoovides;</w:t>
      </w:r>
    </w:p>
    <w:p w14:paraId="70E30FC9" w14:textId="57DF4493" w:rsidR="00822E88" w:rsidRPr="005E4DF0" w:rsidRDefault="006B3972" w:rsidP="006B5212">
      <w:pPr>
        <w:pStyle w:val="BodyTextIndent"/>
      </w:pPr>
      <w:r>
        <w:t>d) mänguväljakutel, millele avalikkusel on juurdepääs;</w:t>
      </w:r>
    </w:p>
    <w:p w14:paraId="51E18C27" w14:textId="2EA52458" w:rsidR="00822E88" w:rsidRDefault="006B3972" w:rsidP="006B5212">
      <w:pPr>
        <w:pStyle w:val="BodyTextIndent"/>
      </w:pPr>
      <w:r>
        <w:t>e) spordi- ja vabaajarajatistes;</w:t>
      </w:r>
    </w:p>
    <w:p w14:paraId="54CA9101" w14:textId="77777777" w:rsidR="00822E88" w:rsidRDefault="006B3972" w:rsidP="006B5212">
      <w:pPr>
        <w:pStyle w:val="BodyTextIndent"/>
      </w:pPr>
      <w:r>
        <w:t>f) planeerimise ja ehitustööde ajal;</w:t>
      </w:r>
    </w:p>
    <w:p w14:paraId="7A29AF39" w14:textId="77777777" w:rsidR="00822E88" w:rsidRDefault="006B3972" w:rsidP="006B5212">
      <w:pPr>
        <w:pStyle w:val="BodyTextIndent"/>
      </w:pPr>
      <w:r>
        <w:t>g) teealadel ja nõlvadel;</w:t>
      </w:r>
    </w:p>
    <w:p w14:paraId="2C341212" w14:textId="77777777" w:rsidR="00822E88" w:rsidRDefault="006B3972" w:rsidP="006B5212">
      <w:pPr>
        <w:pStyle w:val="BodyTextIndent"/>
      </w:pPr>
      <w:r>
        <w:t>h) kruusaga pindadel või muudel hästi läbilaskvatel pindadel;</w:t>
      </w:r>
    </w:p>
    <w:p w14:paraId="64A619D3" w14:textId="77777777" w:rsidR="00822E88" w:rsidRDefault="006B3972" w:rsidP="006B5212">
      <w:pPr>
        <w:pStyle w:val="BodyTextIndent"/>
      </w:pPr>
      <w:r>
        <w:t>i) asfalt-, betoonpindadel või muudest kõvastunud materjalidest pindadel;</w:t>
      </w:r>
    </w:p>
    <w:p w14:paraId="533992F6" w14:textId="18ECAF48" w:rsidR="00822E88" w:rsidRDefault="006B3972" w:rsidP="006B5212">
      <w:pPr>
        <w:pStyle w:val="BodyTextIndent"/>
      </w:pPr>
      <w:r>
        <w:t>2. Rootsi rahvaterviseamet seoses kasutusega laohoonetes ja muudes ladustamisrajatistes või nende ümber, ning</w:t>
      </w:r>
    </w:p>
    <w:p w14:paraId="62C7C301" w14:textId="77777777" w:rsidR="006B3972" w:rsidRDefault="006B3972" w:rsidP="006B5212">
      <w:pPr>
        <w:pStyle w:val="BodyTextIndent"/>
      </w:pPr>
      <w:r>
        <w:t>3. Rootsi töökeskkonnaamet seoses muu kasutusega.</w:t>
      </w:r>
    </w:p>
    <w:p w14:paraId="7068F900" w14:textId="77777777" w:rsidR="00C32849" w:rsidRDefault="00C32849" w:rsidP="006B5212">
      <w:pPr>
        <w:pStyle w:val="BodyTextIndent"/>
      </w:pPr>
    </w:p>
    <w:p w14:paraId="64744DDC" w14:textId="56927669" w:rsidR="00822E88" w:rsidRDefault="00822E88" w:rsidP="006B5212">
      <w:pPr>
        <w:pStyle w:val="BodyText"/>
        <w:keepNext/>
        <w:keepLines/>
      </w:pPr>
      <w:r>
        <w:rPr>
          <w:b/>
        </w:rPr>
        <w:t>§ 20</w:t>
      </w:r>
      <w:r>
        <w:t>    Paragrahvi 18 või 19 kohase kasutusloaga seotud küsimusi uurib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Rootsi põllumajandusamet seoses kasutusega</w:t>
      </w:r>
    </w:p>
    <w:p w14:paraId="6EA86D89" w14:textId="3315F699" w:rsidR="005E2C2A" w:rsidRDefault="00822E88" w:rsidP="006B5212">
      <w:pPr>
        <w:pStyle w:val="BodyTextIndent"/>
      </w:pPr>
      <w:r>
        <w:t>a) põllumajanduses, metsanduses, parkide haldamises või aianduses;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elamute kruntidel;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kooli- ja lasteaiahoovides;</w:t>
      </w:r>
    </w:p>
    <w:p w14:paraId="094DF240" w14:textId="5488311A" w:rsidR="00330D88" w:rsidRDefault="00822E88" w:rsidP="006B5212">
      <w:pPr>
        <w:pStyle w:val="BodyTextIndent"/>
      </w:pPr>
      <w:r>
        <w:t>d) mänguväljakutel, millele avalikkusel on juurdepääs;</w:t>
      </w:r>
    </w:p>
    <w:p w14:paraId="545F5DAF" w14:textId="1D8B753A" w:rsidR="00822E88" w:rsidRDefault="00822E88" w:rsidP="006B5212">
      <w:pPr>
        <w:pStyle w:val="BodyTextIndent"/>
      </w:pPr>
      <w:r>
        <w:t>e) spordi- ja vabaajarajatistes;</w:t>
      </w:r>
    </w:p>
    <w:p w14:paraId="6999EF5E" w14:textId="77777777" w:rsidR="00822E88" w:rsidRDefault="00822E88" w:rsidP="006B5212">
      <w:pPr>
        <w:pStyle w:val="BodyTextIndent"/>
      </w:pPr>
      <w:r>
        <w:t>f) planeerimise ja ehitustööde ajal;</w:t>
      </w:r>
    </w:p>
    <w:p w14:paraId="5180DF76" w14:textId="77777777" w:rsidR="00822E88" w:rsidRDefault="00822E88" w:rsidP="006B5212">
      <w:pPr>
        <w:pStyle w:val="BodyTextIndent"/>
      </w:pPr>
      <w:r>
        <w:lastRenderedPageBreak/>
        <w:t>g) teealadel ja nõlvadel;</w:t>
      </w:r>
    </w:p>
    <w:p w14:paraId="58098470" w14:textId="77777777" w:rsidR="00822E88" w:rsidRDefault="00822E88" w:rsidP="006B5212">
      <w:pPr>
        <w:pStyle w:val="BodyTextIndent"/>
      </w:pPr>
      <w:r>
        <w:t>h) kruusaga pindadel või muudel hästi läbilaskvatel pindadel;</w:t>
      </w:r>
    </w:p>
    <w:p w14:paraId="002A9CF9" w14:textId="77777777" w:rsidR="00822E88" w:rsidRDefault="00822E88" w:rsidP="006B5212">
      <w:pPr>
        <w:pStyle w:val="BodyTextIndent"/>
      </w:pPr>
      <w:r>
        <w:t>i) asfalt-, betoonpindadel või muudest kõvastunud materjalidest pindadel;</w:t>
      </w:r>
    </w:p>
    <w:p w14:paraId="7DD4BF97" w14:textId="4B0D2F47" w:rsidR="00822E88" w:rsidRDefault="00822E88" w:rsidP="006B5212">
      <w:pPr>
        <w:pStyle w:val="BodyTextIndent"/>
      </w:pPr>
      <w:r>
        <w:t>2. Rootsi rahvaterviseamet seoses kasutusega laohoonetes ja muudes ladustamisrajatistes või nende ümber, ning</w:t>
      </w:r>
    </w:p>
    <w:p w14:paraId="65C6FA77" w14:textId="77777777" w:rsidR="00822E88" w:rsidRDefault="00822E88" w:rsidP="006B5212">
      <w:pPr>
        <w:pStyle w:val="BodyTextIndent"/>
      </w:pPr>
      <w:r>
        <w:t>3. Rootsi töökeskkonnaamet seoses muu kasutusega.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>§</w:t>
      </w:r>
      <w:r>
        <w:rPr>
          <w:b/>
        </w:rPr>
        <w:t> 37</w:t>
      </w:r>
      <w:r>
        <w:t>    Taimekaitsevahendeid ei tohi kasutada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>1. niitudel või karjamaadel, mis ei sobi kündmiseks, kuid mida saab kasutada niitmiseks või karjatamiseks;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 kooli- või lasteaiahoovides ning mänguväljakutel, millele on avalikkuse juurdepääs;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 parkides, aedades või muudel aladel, mis on mõeldud peamiselt puhkealadeks, millele on avalikkuse juurdepääs;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 professionaalselt mittekasutatavates eraldatud aiapiirkondades ja kasvuhoonetes;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 elamute kruntidel või potitaimedel koduaia keskkonnas;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>6. siseruumides asuvatel taimedel, välja arvatud need, mis asuvad tootmisruumides, ladudes jms.</w:t>
      </w:r>
    </w:p>
    <w:p w14:paraId="6BD7C352" w14:textId="77777777" w:rsidR="000561D2" w:rsidRDefault="000561D2" w:rsidP="006B5212">
      <w:pPr>
        <w:pStyle w:val="BodyText"/>
      </w:pPr>
    </w:p>
    <w:p w14:paraId="402B4AB9" w14:textId="29710BA8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§ </w:t>
      </w:r>
      <w:r>
        <w:rPr>
          <w:b/>
        </w:rPr>
        <w:t>37a</w:t>
      </w:r>
      <w:r>
        <w:t>    Rootsi kemikaaliamet võib välja anda eeskirju selliste taimekaitsevahendite, mida peetakse inimeste tervisele ja keskkonnale piiratud ohuks, toimeainete paragrahvi 37 lõigete 2–6 kohaste keeldude erandite kohta.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Enne eeskirjade välja andmist annab Rootsi kemikaaliamet muudele asjaomastele ametiasutustele võimaluse märkuste esitamiseks.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38</w:t>
      </w:r>
      <w:r>
        <w:t>    Rootsi põllumajandusamet võib välja anda eeskirju paragrahvi 37 kohaste keeldude erandite kohta: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1. vajaduse korral karantiini all olevate kahjurite sissetoomise, kohandumise ja leviku tõkestamiseks kooskõlas Euroopa Parlamendi ja nõukogu 26. oktoobri 2016. aasta määrusega (EL) 2016/2031, mis käsitleb taimekahjustajatevastaseid kaitsemeetmeid, millega muudetakse Euroopa Parlamendi ja nõukogu määruseid (EL) nr 228/2013, (EL) nr 652/2014 ja (EL) nr 1143/2014 ning millega tunnistatakse kehtetuks nõukogu direktiivid 69/464/EMÜ, 74/647/EMÜ, 93/85/EMÜ, 98/57/EÜ, 2000/29/EÜ, 2006/91/EÜ ja 2007/33/EMÜ, või kooskõlas seda määrust rakendavate sätetega;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 mis on vajalikud Rootsi riiklikus geenivaramus või Põhjamaade geneetilise ressursi keskuses säilitatud taimede kasvatamiseks.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Rootsi põllumajandusamet võib välja anda eeskirju paragrahvi 37 lõike 1 kohaste keeldude erandite kohta, et tõkestada invasiivsete võõrliikide sissetoomist, kohandumist ja levikut.</w:t>
      </w:r>
    </w:p>
    <w:p w14:paraId="78B53D2B" w14:textId="59ECEE4A" w:rsidR="00937E7E" w:rsidRDefault="00881D46" w:rsidP="006B5212">
      <w:pPr>
        <w:pStyle w:val="BodyTextIndent"/>
        <w:pBdr>
          <w:left w:val="single" w:sz="4" w:space="4" w:color="auto"/>
        </w:pBdr>
      </w:pPr>
      <w:r>
        <w:t xml:space="preserve">Enne eeskirjade </w:t>
      </w:r>
      <w:r w:rsidR="00C921CF">
        <w:t>kehtes</w:t>
      </w:r>
      <w:r>
        <w:t>tamist annab Rootsi põllumajandusamet muudele asjaomastele ametiasutustele võimaluse märkuste esitamiseks.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1C6DB3E5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§</w:t>
      </w:r>
      <w:r>
        <w:t> </w:t>
      </w:r>
      <w:r>
        <w:rPr>
          <w:b/>
        </w:rPr>
        <w:t>38a</w:t>
      </w:r>
      <w:r>
        <w:t>    Rootsi keskkonnakaitseamet võib välja anda eeskirju paragrahvi 37 lõigete 2–6 kohaste keeldude erandite kohta, et tõkestada invasiivsete võõrliikide sissetoomist, kohandumist ja levikut.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Enne eeskirjade välja andmist annab Rootsi keskkonnakaitseamet muudele asjaomastele ametiasutustele võimaluse märkuste esitamiseks.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1" w:name="_Hlk45635514"/>
      <w:r>
        <w:rPr>
          <w:b/>
        </w:rPr>
        <w:lastRenderedPageBreak/>
        <w:t>§ 39</w:t>
      </w:r>
      <w:r>
        <w:t>    Omavalitsuse nõukogu võib üksikjuhtudel teha paragrahvis 37 nimetatud keeldudest erandi, kui taimekaitsevahendi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>1. on heaks kiitnud Rootsi kemikaaliamet ja kasutus on kooskõlas heakskiitmise tingimustega ja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>2. seda on vaja Rootsi riiklikus geenivaramus või Põhjamaade geneetilise ressursi keskuses säilitatavate taimede kasvatamiseks või muul erilisel põhjusel.</w:t>
      </w:r>
    </w:p>
    <w:bookmarkEnd w:id="1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2" w:name="_Hlk45635066"/>
      <w:r>
        <w:rPr>
          <w:b/>
        </w:rPr>
        <w:t>§</w:t>
      </w:r>
      <w:r>
        <w:t> </w:t>
      </w:r>
      <w:r>
        <w:rPr>
          <w:b/>
        </w:rPr>
        <w:t>40</w:t>
      </w:r>
      <w:r>
        <w:t>    Taimekaitsevahendeid on keelatud kasutada professionaalselt ilma omavalitsuse nõukogu eriloata järgmistel juhtudel: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 spordi- ja vabaajarajatistes;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2. planeerimise ja ehitustööde ajal;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3. nii teealadel kui ka kruusakattel ja muudel hästi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>läbilaskvatel pindadel;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4. asfalt-, betoonpindadel või muudest kõvastunud materjalidest pindadel.</w:t>
      </w:r>
    </w:p>
    <w:p w14:paraId="3492C08E" w14:textId="6DF347ED" w:rsidR="00DB0828" w:rsidRDefault="00DB0828" w:rsidP="006B5212">
      <w:pPr>
        <w:pStyle w:val="BodyTextIndent"/>
      </w:pPr>
    </w:p>
    <w:p w14:paraId="4BAB64A5" w14:textId="0404E1AB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§</w:t>
      </w:r>
      <w:r>
        <w:t> </w:t>
      </w:r>
      <w:r>
        <w:rPr>
          <w:b/>
        </w:rPr>
        <w:t>40a</w:t>
      </w:r>
      <w:r>
        <w:t>    Paragrahvis 40 nimetatud loanõue ei kehti selliste taimekaitsevahendite puhul, mis on paragrahvis 37 esitatud kasutuskeelust vabastatud kooskõlas paragrahvi</w:t>
      </w:r>
      <w:r w:rsidR="00C921CF">
        <w:t>ga</w:t>
      </w:r>
      <w:r>
        <w:t> 37a välja antud eeskirjade kohaselt.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>Paragrahvi 40 lõigetes 3 ja 4 esitatud loanõue ei kehti taimekaitsevahendite kasutamisele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>1. teealadel, et tõkestada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>a. invasiivsete võõrliikide või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>b. karantiini all olevate kahjurite sissetoomist, kohandumist ja levikut Euroopa Parlamendi ja nõukogu määruse (EL) 2016/2031 või seda määrust rakendavate sätete kohaselt, või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 nõlvadel.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Cs/>
        </w:rPr>
        <w:t>§</w:t>
      </w:r>
      <w:r>
        <w:t> </w:t>
      </w:r>
      <w:r>
        <w:rPr>
          <w:b/>
        </w:rPr>
        <w:t>41</w:t>
      </w:r>
      <w:r>
        <w:t>    Taimekaitsevahendeid on keelatud kasutada professionaalselt ilma omavalitsuse nõukogu kirjalikult teavitamata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>1. teealadel, et tõkestada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>a. invasiivsete võõrliikide või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b. karantiini all olevate kahjurite sissetoomist, kohandumist ja levikut Euroopa Parlamendi ja nõukogu määruse (EL) 2016/2031 või seda määrust rakendavate sätete kohaselt,</w:t>
      </w:r>
    </w:p>
    <w:p w14:paraId="0E67826B" w14:textId="77777777" w:rsidR="00C92F1A" w:rsidRDefault="00C92F1A" w:rsidP="006B5212">
      <w:pPr>
        <w:pStyle w:val="BodyTextIndent"/>
      </w:pPr>
      <w:r>
        <w:t>2. nõlvadel, ning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>3. aladel, mille kohta ei kehti paragrahvi 37 kohane keeld või paragrahvi 40 kohane loanõue ja mille külgnev pindala ületab 1 000 ruutmeetrit ja kus üldsus võib vabalt liikuda.</w:t>
      </w:r>
    </w:p>
    <w:p w14:paraId="253DE428" w14:textId="3DC6F8DA" w:rsidR="00C92F1A" w:rsidRDefault="00C92F1A" w:rsidP="006B5212">
      <w:pPr>
        <w:pStyle w:val="BodyTextIndent"/>
      </w:pPr>
      <w:r>
        <w:t>Teatises nimetatud toiminguid võib alustada mitte varem kui neli nädalat pärast teatise esitamist, v.a juhul, kui nõukogu teisiti otsustab.</w:t>
      </w:r>
    </w:p>
    <w:p w14:paraId="49F9AEB1" w14:textId="273AE27B" w:rsidR="00C4347E" w:rsidRDefault="00C4347E" w:rsidP="006B5212">
      <w:pPr>
        <w:pStyle w:val="BodyTextIndent"/>
      </w:pPr>
    </w:p>
    <w:p w14:paraId="49840DA2" w14:textId="495C2EDE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§ </w:t>
      </w:r>
      <w:r>
        <w:rPr>
          <w:b/>
        </w:rPr>
        <w:t>41a</w:t>
      </w:r>
      <w:r>
        <w:t>    Paragrahvis 41 nimetatud teavitamise nõue ei kehti selliste taimekaitsevahendite puhul, mis on paragrahvis 37 esitatud kasutuskeelust vabastatud kooskõlas paragrahvi 37 lõikega a välja antud eeskirjade kohaselt.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>Paragrahvi 41 lõike 1 punktis 3 nimetatud teavitamise nõue ei kehti kasutamisele põllumaal.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>§ </w:t>
      </w:r>
      <w:r>
        <w:rPr>
          <w:b/>
        </w:rPr>
        <w:t>42</w:t>
      </w:r>
      <w:r>
        <w:t>    Paragrahvi 37 lõike 1 ja paragrahvide 40 ja 41 sätteid ei kohaldata kasutuse suhtes,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 millele on omane punkttöötlus ja</w:t>
      </w:r>
    </w:p>
    <w:p w14:paraId="5957CF83" w14:textId="2E07FC07" w:rsidR="00D81F2D" w:rsidRDefault="002438B7" w:rsidP="006B5212">
      <w:pPr>
        <w:pStyle w:val="BodyTextIndent"/>
      </w:pPr>
      <w:r>
        <w:lastRenderedPageBreak/>
        <w:t>2. millel on niivõrd piiratud ulatus, et see ei ohusta inimeste tervist ega keskkonda.</w:t>
      </w:r>
      <w:bookmarkEnd w:id="2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  <w:bCs/>
        </w:rPr>
        <w:t>§ </w:t>
      </w:r>
      <w:r>
        <w:rPr>
          <w:b/>
        </w:rPr>
        <w:t>43</w:t>
      </w:r>
      <w:r>
        <w:t>    Rootsi keskkonnakaitseamet võib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>1. välja anda üksikasjalikumad eeskirjad paragrahvi 39 lõike 2 kohase keelu kohta ja</w:t>
      </w:r>
    </w:p>
    <w:p w14:paraId="3715AAED" w14:textId="426B3E91" w:rsidR="000B1D37" w:rsidRPr="0028222F" w:rsidRDefault="003319B3" w:rsidP="006B5212">
      <w:pPr>
        <w:pStyle w:val="BodyTextIndent"/>
      </w:pPr>
      <w:r>
        <w:t>2. muuks kui metsamaal kasutamiseks mõeldud taimekaitsevahendite kasutamise puhul välja anda eeskirjad paragrahvide 40–42 jõustamiseks.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Enne eeskirjade välja andmist annab Rootsi keskkonnakaitseamet muudele asjaomastele ametiasutustele võimaluse märkuste esitamiseks.</w:t>
      </w:r>
    </w:p>
    <w:p w14:paraId="6967A017" w14:textId="477581A0" w:rsidR="002F6352" w:rsidRDefault="002F6352" w:rsidP="006B5212">
      <w:pPr>
        <w:pStyle w:val="BodyTextIndent"/>
      </w:pPr>
    </w:p>
    <w:p w14:paraId="3058FAD7" w14:textId="4ABF0732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</w:t>
      </w:r>
      <w:r>
        <w:t> </w:t>
      </w:r>
      <w:r>
        <w:rPr>
          <w:b/>
        </w:rPr>
        <w:t>43a</w:t>
      </w:r>
      <w:bookmarkStart w:id="3" w:name="_GoBack"/>
      <w:bookmarkEnd w:id="3"/>
      <w:r>
        <w:t xml:space="preserve">    Rootsi põllumajandusamet võib anda välja üksikasjalikumad eeskirjad keeldude kohta kooskõlas </w:t>
      </w:r>
      <w:r>
        <w:rPr>
          <w:b/>
        </w:rPr>
        <w:t>paragrahvi</w:t>
      </w:r>
      <w:r>
        <w:t> 39 lõikega 1.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>Enne eeskirjade välja andmist annab Rootsi põllumajandusamet muudele asjaomastele ametiasutustele võimaluse märkuste esitamiseks.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Määrus jõustub 1. veebruaril 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 2. peatüki </w:t>
      </w:r>
      <w:r>
        <w:rPr>
          <w:b/>
        </w:rPr>
        <w:t>paragrahvi</w:t>
      </w:r>
      <w:r>
        <w:t> 40 kohaseid lube taimekaitsevahendite professionaalseks kasutamiseks, mis on otsustatud vastavalt vanematele eeskirjadele, kohaldatakse jätkuvalt, aga mitte pärast 31. detsembrit 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2960C41E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Vt Euroopa Parlamendi ja nõukogu 21. oktoobri 2009. aasta direktiiv 2009/128/EÜ, millega kehtestatakse ühenduse tegevusraamistik pestitsiidide säästva kasutamise saavutamiseks, Euroopa Parlamendi ja nõukogu </w:t>
      </w:r>
      <w:r w:rsidR="00C921CF">
        <w:t>määruse</w:t>
      </w:r>
      <w:r>
        <w:t> (EL) 2019/1243 ko</w:t>
      </w:r>
      <w:r w:rsidR="00C921CF">
        <w:t>hase</w:t>
      </w:r>
      <w:r>
        <w:t>s sõnastuses. Vt ka Euroopa Parlamendi ja nõukogu 9. septembri 2015. aasta direktiiv (EL) 2015/1535, millega nähakse ette tehnilistest eeskirjadest ning infoühiskonna teenuste eeskirjadest teatamise kord.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C921CF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KATSEDOKUMENT, EI OLE KEHTIV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1CF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D2E692E3-AC19-46C3-A239-70F0BD2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 w:unhideWhenUsed="1"/>
    <w:lsdException w:name="heading 4" w:semiHidden="1" w:uiPriority="9" w:unhideWhenUsed="1"/>
    <w:lsdException w:name="heading 5" w:semiHidden="1" w:uiPriority="1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5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50BDEA-6BD5-4D01-B686-2AF69049C9BA}">
  <ds:schemaRefs>
    <ds:schemaRef ds:uri="d4acd662-17ce-4a3b-8e84-c7c9f280a23c"/>
    <ds:schemaRef ds:uri="http://purl.org/dc/elements/1.1/"/>
    <ds:schemaRef ds:uri="4e9c2f0c-7bf8-49af-8356-cbf363fc78a7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a372189-8514-43a9-a668-4622024340fc"/>
    <ds:schemaRef ds:uri="18f3d968-6251-40b0-9f11-012b293496c2"/>
    <ds:schemaRef ds:uri="http://schemas.microsoft.com/office/2006/documentManagement/types"/>
    <ds:schemaRef ds:uri="b54eb4c2-f9f0-49e8-9d8a-b742b9e0ad5a"/>
    <ds:schemaRef ds:uri="cc625d36-bb37-4650-91b9-0c96159295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080B687-0F5C-414A-8E84-B512C81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Förordning om ändring i förordningen (2014:425) om bekämpningsmedel</vt:lpstr>
      <vt:lpstr>Förordning om ändring i förordningen (2014:425) om bekämpningsmedel_x000d_</vt:lpstr>
    </vt:vector>
  </TitlesOfParts>
  <Company>Regeringskansliet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KUKK, Aimar</cp:lastModifiedBy>
  <cp:revision>4</cp:revision>
  <cp:lastPrinted>2016-10-14T09:17:00Z</cp:lastPrinted>
  <dcterms:created xsi:type="dcterms:W3CDTF">2020-11-02T09:57:00Z</dcterms:created>
  <dcterms:modified xsi:type="dcterms:W3CDTF">2020-11-10T15:03:00Z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