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Statut dotyczący wykonania przepisów § 84 ust. 8 umowy państwowej w sprawie mediów (Medienstaatsvertrag — MStV) w celu ułatwienia wyszukiwania prywatnych usług nadawczych</w:t>
      </w:r>
    </w:p>
    <w:p w14:paraId="562CFE12" w14:textId="77777777" w:rsidR="00FC378D" w:rsidRPr="00FC378D" w:rsidRDefault="00FC378D" w:rsidP="002A3743">
      <w:pPr>
        <w:spacing w:after="0" w:line="320" w:lineRule="atLeast"/>
        <w:jc w:val="center"/>
        <w:rPr>
          <w:b/>
          <w:sz w:val="28"/>
        </w:rPr>
      </w:pPr>
      <w:r>
        <w:rPr>
          <w:b/>
          <w:sz w:val="28"/>
        </w:rPr>
        <w:t>(Statut o znaczeniu publicznym)</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Preambuła</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Możliwość łatwego wyszukania informacji staje się coraz ważniejsza w kontekście dostarczania treści, zwłaszcza w internecie. Rosnąca ilość i różnorodność ofert nadawczych sprawia, że coraz trudniej jest na przykład zwrócić uwagę na refinansowanie kosztownych usług dziennikarskich.</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Zgodnie z umową państwową w sprawie mediów mechanizm ułatwiający wyszukiwanie w interfejsach użytkowników ofert, które są szczególnie istotne dla kształtowania opinii publicznej, ma dwa podstawowe cele regulacyjne. Oprócz bezpośrednich indywidualnych korzyści dla odbiorców ma to również wpływ na kształtowanie całokształtu opinii publicznej. Ułatwienie wyszukiwania ofert ma na celu zachęcenie do działania istniejących podmiotów, które oferują treści istotne dla kształtowania opinii publicznej, a także zaangażowania w te działania innych usługodawców.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Cel</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Państwowe organy ds. mediów określają dostawców usług nadawczych (zwanych dalej „ofertami”) według definicji zawartej w § 84 ust. 3 pkt 2 i 4 ustawy państwowej w sprawie mediów (MStV) (procedura klasyfikacji) i zgodnie z art. 84 ust. 5 ustawy państwowej w sprawie mediów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Prawo do składania wniosków</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Prawo do składania wniosków przysługuje w następujących przypadkach: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zgodnie z § 84 ust. 3 pkt 2 ustawy państwowej w sprawie mediów (MStV), oferty prywatnych dostawców, którzy w szczególny sposób przyczyniają się do wspierania różnorodności opinii i ofert w Niemczech</w:t>
      </w:r>
      <w:r>
        <w:rPr>
          <w:sz w:val="24"/>
        </w:rPr>
        <w:br/>
        <w:t>lub</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zgodnie z § 84 ust. 4 ustawy państwowej w sprawie mediów (MStV), oferty prywatnych dostawców telemediów równoważnych, usługi w rozumieniu § 2 ust. 2 pkt 14 lit. b) ustawy państwowej w sprawie mediów (MStV), które w szczególny sposób przyczyniają się </w:t>
      </w:r>
      <w:r>
        <w:rPr>
          <w:sz w:val="24"/>
        </w:rPr>
        <w:lastRenderedPageBreak/>
        <w:t>do wspierania różnorodności opinii i ofert w Niemczech, lub aplikacje oparte na oprogramowaniu, które są wykorzystywane do ich bezpośredniego kontrolowania.</w:t>
      </w:r>
    </w:p>
    <w:p w14:paraId="2BC8823D" w14:textId="77777777" w:rsidR="00924656" w:rsidRDefault="00924656" w:rsidP="00924656"/>
    <w:p w14:paraId="4CB87D96" w14:textId="3ADF839A" w:rsidR="00124452" w:rsidRPr="00924656" w:rsidRDefault="00124452" w:rsidP="00924656">
      <w:pPr>
        <w:ind w:left="3540" w:firstLine="708"/>
        <w:rPr>
          <w:rFonts w:eastAsia="Times New Roman" w:cstheme="minorHAnsi"/>
          <w:sz w:val="24"/>
          <w:szCs w:val="24"/>
        </w:rPr>
      </w:pPr>
      <w:r>
        <w:rPr>
          <w:b/>
          <w:sz w:val="28"/>
        </w:rPr>
        <w:t>§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Odpowiedzialność i zaproszenie do składania ofert</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Procedura postępowania jest prowadzona przez Komisję ds. Licencjonowania i Nadzoru (Kommission für Zulassung und Aufsicht — ZAK) (§ 105 ust. 1 pkt 9 ustawy państwowej w sprawie mediów). W odniesieniu do ofert audio i obrazu ruchomego (wideo) zostanie ona zainicjowana w drodze wspólnego zaproszenia do składania ofert wystosowanego przez każdy z państwowych organów ds. mediów i będzie uwzględniać opinię Konferencji Przewodniczących Komisji (Gremienvorsitzendenkonferenz — GVK). W przetargach określa się państwowy organ ds. mediów odpowiedzialny za tę procedurę.</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Dodatkowe regulacje dotyczące procedury oraz zasadnicze wymogi dotyczące składania wniosków określa w zaproszeniach.</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Zaproszenia do składania ofert są publikowane przez wszystkie organy ds. mediów zgodnie z odnośną procedurą oraz na stronie internetowej w sekcji pod wspólną nazwą „organy ds. mediów”.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Procedura przetargowa rozpocznie się we wrześniu 2021 r.</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Składanie wniosków</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 xml:space="preserve">(1) Wnioski muszą być składane na piśmie do odpowiedniego organu państwowego ds. mediów w terminie określonym w odnośnym zaproszeniu do składania ofert. Do wniosku należy dołączyć dokumenty umożliwiające zapoznanie się z wkładem we wspieranie różnorodności opinii i ofert danej oferty lub aplikacji opartej na oprogramowaniu oraz musi on zawierać co najmniej niżej wymienione informacje.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Fakty, z których wynika, że oferta jest prywatną ofertą nadawczą zgodnie z § 84 ust. 3 ustawy państwowej w sprawie mediów, ofertą prywatnych dostawców usług równoważnych na podstawie § 84 ust. 4 ustawy państwowej w sprawie mediów, ofertą na podstawie § 2 ust. 2 ust. 2 ust. 14 lit. b) lub aplikacją opartą na oprogramowaniu, która jest wykorzystywana do bezpośredniego jej kontrolowania.</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Opis treści oferty oraz wyjaśnienie, w jaki sposób wnosi ona szczególny wkład we wspieranie różnorodności ofert i opinii w Niemczech.</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lastRenderedPageBreak/>
        <w:t>Informacje na temat kryteriów, które należy uwględnić w trakcie procedury klasyfikacyjnej zgodnie z § 84 ust. 5 ustawy państwowej o mediach (MStV) i niniejszym § 7.</w:t>
      </w:r>
    </w:p>
    <w:p w14:paraId="36D2C8A5" w14:textId="77777777" w:rsidR="00655127" w:rsidRDefault="00655127" w:rsidP="00655127">
      <w:pPr>
        <w:ind w:left="3540" w:firstLine="708"/>
      </w:pPr>
      <w:r>
        <w:t xml:space="preserve"> </w:t>
      </w:r>
    </w:p>
    <w:p w14:paraId="7F87071E" w14:textId="40E89CC3" w:rsidR="004B4D8D" w:rsidRPr="00655127" w:rsidRDefault="004B4D8D" w:rsidP="00655127">
      <w:pPr>
        <w:ind w:left="3540" w:firstLine="708"/>
        <w:rPr>
          <w:rFonts w:eastAsia="Times New Roman" w:cstheme="minorHAnsi"/>
          <w:sz w:val="24"/>
          <w:szCs w:val="24"/>
        </w:rPr>
      </w:pPr>
      <w:r>
        <w:rPr>
          <w:b/>
          <w:sz w:val="28"/>
        </w:rPr>
        <w:t>§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Procedura</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Odpowiedni państwowy organ ds. mediów rozpatruje otrzymane wnioski. Sprawdza on, czy spełnione są warunki klasyfikacyjne odpowiedniej oferty lub odpowiedniej aplikacji opartej na oprogramowaniu zgodnie z §§ 2, 7 i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Komisja ds. Licencjonowania i Nadzoru (ZAK) określa w drodze uchwały, czy warunki są spełnione dla każdej oferty lub dla odpowiedniej aplikacji opartej na oprogramowaniu.</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Formalnej klasyfikacji dokonuje odpowiedni państwowy organ ds. mediów. Jest on związany odnośnymi decyzjami Komisji ds. Licencjonowania i Nadzoru (ZAK).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Zakończenie procedury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Decyzję w sprawie danego wniosku wydaje się wnioskodawcy w drodze aktu administracyjnego.</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Ustalenia dokonane w każdym przypadku pozostają w mocy przez okres trzech lat od daty ogłoszonej w akcie administracyjnym.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Wnioskodawca niezwłocznie powiadamia właściwy państwowy organ ds. mediów o wszelkich zmianach w ofercie, które mają miejsce przed podjęciem lub po wydaniu decyzji w sprawie wniosku i które są istotne dla rozstrzygnięcia postępowania zgodnie z §§ 7 i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Decyzja wydana na podstawie § 6 ust. 1 może zostać cofnięta przez właściwy państwowy organ ds. mediów, jeżeli w ofercie zostaną wprowadzone istotne zmiany, w efekcie których oferta przestanie spełniać wymagania §§ 7 i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Kryteria klasyfikacji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Przy klasyfikacji ofert zgodnie z § 84 ust. 3 pkt 2 i 4 ustawy państwowej o mediach należy uwzględnić jedynie kryteria, o których mowa w § 84 ust. 5 ustawy państwowej o mediach.</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lastRenderedPageBreak/>
        <w:t>O ile nie określono inaczej w ustawie państwowej o mediach,</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reportaż o wydarzeniach politycznych lub wydarzeniach bieżących jest ofertą treści dziennikarskich i redakcyjnych, które w oparciu o całą ofertę przedstawiają możliwie jak najpełniej przekrój podobszarów politycznych i aktualnych wydarzeń społecznych istotnych dla kształtowania opinii publicznej oraz skupiają się na relacjonowaniu faktycznych wydarzeń;</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informacje regionalne i lokalne określone w § 2 ust. 2 pkt 25 ustawy państwowej w sprawie mediów (MStV) to informacje, które mają wyraźny związek z obszarami związanymi kulturowo i ograniczonymi przestrzennie, które mogą być również ponadnarodowe;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własne oferty produkcyjne to oferty, których produkcja i przetwarzanie są realizowane i finansowane w całości lub głównie przez dostawcę odpowiedzialnego za treść przy użyciu jego własnych środków produkcji lub są produkowane z uwzględnieniem odpowiedniego wpływu dziennikarskiego i redakcyjnego. Produkcje, które są realizowane dla przedsiębiorstwa produkcyjnego po zleceniu przez to ostatnie, również uważa się za produkcje własne;</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oferty „bez barier” to oferty, które są dostępne dla i nadają się do użytku przez osoby niepełnosprawne w sposób powszechnie przyjęty, zgodnie z odpowiednim stanem techniki i przy użyciu niezbędnych środków pomocniczych, bez szczególnych trudności i zasadniczo bez pomocy z zewnątrz;</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przeszkoleni pracownicy to ci, którzy ukończyli szkolenie zawodowe lub odpowiednie studia mające znaczenie dla wykonywania ich dziennikarskich lub medialno-technicznych zadań przy produkcji programów lub którzy mogą przedstawić dowód co najmniej pięcioletniego doświadczenia zawodowego. Nie uwzględnia się drugorzędnych prac pomocniczych;</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utwory europejskie są to utwory określone w § 3 ust. 4 wspólnego statutu państwowych organów ds. mediów dotyczącego produkcji europejskich na podstawie § 77 ustawy państwowej w sprawie mediów oraz</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oferty skierowane do osób młodych, o ile są wyraźnie kierowane do dzieci lub młodych dorosłych do 29 roku życia. Uwzględnia się następujące kwestie:</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oferty, które zgodnie z § 9 ust. 1 ustawy państwowej w sprawie mediów nie mogą być przerywane przez reklamę radiową lub telezakupy lub, w przypadku treści nadawczych zbliżonych do treści, które mają zostać zaklasyfikowane, nie mogą być przerywane przez reklamę radiową lub telezakupy zgodnie z § 9 ust. 1 ustawy państwowej w sprawie mediów (oferty dla dzieci);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lastRenderedPageBreak/>
        <w:t>oferty, które na podstawie indywidualnej analizy treści, formy i czasu nadawania są wyraźnie skierowane do osób w wieku od 14 do 29 lat (oferty dla młodzieży i młodych dorosłych), o ile koncentrują się one na informacjach określonych w § 2 ust. 2 pkt 25 ustawy państwowej w sprawie mediów (MStV).</w:t>
      </w:r>
    </w:p>
    <w:p w14:paraId="131AD488" w14:textId="075821BA" w:rsidR="000064CB" w:rsidRDefault="000064CB" w:rsidP="000064CB">
      <w:pPr>
        <w:spacing w:after="0" w:line="320" w:lineRule="atLeast"/>
        <w:jc w:val="both"/>
      </w:pPr>
    </w:p>
    <w:p w14:paraId="5B129883" w14:textId="77777777"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Podstawowe zasady klasyfikacji</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Klasyfikacji dokonuje się w ujęciu ogólnym w oparciu o poniższe zasady podstawowe.</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Oferty, które zasadniczo nie są zgodne z uznanymi zasadami dziennikarskimi i innymi wymogami ustawy państwowej w sprawie mediów, nie zostaną uznane za wnoszące znaczący wkład w różnorodność opinii i ofert.</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O ile odpowiednie wymogi ustawowe są istotne dla kryteriów określonych w § 7, przy klasyfikowaniu uwzględnia się jedynie środki wykraczające poza realizację tych ustawowych projektów.</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Przy określaniu szczególnego wkładu w różnorodność opinii i ofert należy nadać większą wagę udziałowi czasowemu wiadomości o wydarzeniach politycznych i aktualnościach oraz udziałowi informacji regionalnych i lokalnych, a także udziałowi ofert kierowanych do osób młodych.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W przypadku ofert nadawczych określonych w § 84 ust. 3 pkt 1 ustawy państwowej o mediach należy uwzględnić regularność transmisji, czas trwania i czas antenowy odpowiednich audycji w odniesieniu do kryteriów określonych w § 7 ust. 1, 2, 4 i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W przypadku ofert telemedialnych określonych w § 84 ust. 4 ustawy państwowej o mediach należy uwzględnić okresową aktualizację, zakres czasowy lub inny, a także umiejscowienie i dostępność w ramach oferty telemedialnej w odniesieniu do kryteriów określonych w § 7 ust. 1, 2, 4 i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Przy określaniu, czy wyższy odsetek przeszkolonych pracowników w rozumieniu § 7 ust. 5 ma pozytywny wpływ na szczególny stopień przyczyniania się do różnorodności opinii i ofert, należy wziąć pod uwagę jedynie stosunek przeszkolonego personelu do personelu szkolonego wynoszący co najmniej trzy do jednego.</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Realizacja</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lastRenderedPageBreak/>
        <w:t>1) Po zakończeniu procedury klasyfikacyjnej państwowe władze medialne opublikują na stronie internetowej w sekcji pod wspólną nazwą „organy ds. mediów” listę ofert w zakresie ruchomego obrazu (wideo) oraz listę ofert audio do wdrożenia przez dostawców interfejsów użytkownika.</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Użytkownik musi mieć zapewnioną możliwość łatwego i trwałego sortowania i ustalania kolejności ofert, które zostały określone przez odpowiednie państwowe organy ds. mediów, w interfejsie użytkownika.</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Kolejność wykazów ustalonych przez Komisję ds. Licencjonowania i Nadzoru (ZAK) jako organ nadrzędny wobec właściwego państwowego organu ds. mediów ustala się na podstawie ogólnej analizy przeprowadzonego zgodnie z §§ 7 i 8. Jeżeli dostawca interfejsu użytkownika wyświetla sekwencję w ramach sortowania i ustalania kolejności ofert, podstawą do tego w odnośnym zakresie są wykazy publikowane zgodnie z ust. 1.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Właściwy państwowy organ ds. mediów jest odpowiedzialny wypracowanie porozumienia z dostawcami programów finansowanych ze składek ustawowych oraz związanych z nimi ofert telekomunikacyjnych w odniesieniu do kolejności prezentacji.</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Wejście w życie</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Niniejszy akt wchodzi w życie z dniem 1 września 2021 r. Jeżeli do dnia 31 sierpnia 2021 r. wszystkie państwowe organy ds. mediów nie wydadzą i nie ogłoszą zgodnych statutów, statuty te staną się nieaktualne. Przewodniczący Konferencji Dyrektorów Państwowych Organów ds. Mediów (Direktorenkonferenz der Landesmedienanstalten — DLM) publikuje na stronie internetowej w sekcji pod wspólną nazwą „organy ds. mediów” komunikat o tym, czy wszystkie państwowe organy ds. mediów wydały i opublikowały odpowiednie statuty w okresie ustalonym w zdaniu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498B1" w14:textId="77777777" w:rsidR="00E559C8" w:rsidRDefault="00E559C8" w:rsidP="001D484A">
      <w:pPr>
        <w:spacing w:after="0" w:line="240" w:lineRule="auto"/>
      </w:pPr>
      <w:r>
        <w:separator/>
      </w:r>
    </w:p>
  </w:endnote>
  <w:endnote w:type="continuationSeparator" w:id="0">
    <w:p w14:paraId="41D8657F" w14:textId="77777777" w:rsidR="00E559C8" w:rsidRDefault="00E559C8"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2AAA8" w14:textId="77777777" w:rsidR="00E559C8" w:rsidRDefault="00E559C8" w:rsidP="001D484A">
      <w:pPr>
        <w:spacing w:after="0" w:line="240" w:lineRule="auto"/>
      </w:pPr>
      <w:r>
        <w:separator/>
      </w:r>
    </w:p>
  </w:footnote>
  <w:footnote w:type="continuationSeparator" w:id="0">
    <w:p w14:paraId="6FCE3DC5" w14:textId="77777777" w:rsidR="00E559C8" w:rsidRDefault="00E559C8"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C4147"/>
    <w:rsid w:val="005D131C"/>
    <w:rsid w:val="005D3623"/>
    <w:rsid w:val="005E34EB"/>
    <w:rsid w:val="005E6E51"/>
    <w:rsid w:val="00612BF0"/>
    <w:rsid w:val="00612D2D"/>
    <w:rsid w:val="00625CBC"/>
    <w:rsid w:val="0064609D"/>
    <w:rsid w:val="00655127"/>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4656"/>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559C8"/>
    <w:rsid w:val="00E80DAE"/>
    <w:rsid w:val="00E90A3C"/>
    <w:rsid w:val="00EA0BEA"/>
    <w:rsid w:val="00EA314A"/>
    <w:rsid w:val="00EE1CE0"/>
    <w:rsid w:val="00EE4979"/>
    <w:rsid w:val="00EE6BF4"/>
    <w:rsid w:val="00F21E4B"/>
    <w:rsid w:val="00F36BA7"/>
    <w:rsid w:val="00F54EBD"/>
    <w:rsid w:val="00F65566"/>
    <w:rsid w:val="00F7057B"/>
    <w:rsid w:val="00F81EB4"/>
    <w:rsid w:val="00F83C38"/>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1755</Words>
  <Characters>10006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Dimitra Loupi</cp:lastModifiedBy>
  <cp:revision>6</cp:revision>
  <cp:lastPrinted>2021-01-25T10:29:00Z</cp:lastPrinted>
  <dcterms:created xsi:type="dcterms:W3CDTF">2021-04-01T05:34:00Z</dcterms:created>
  <dcterms:modified xsi:type="dcterms:W3CDTF">2021-04-13T15:24:00Z</dcterms:modified>
</cp:coreProperties>
</file>