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Estatutos para a aplicação dos regulamentos nos termos do artigo 84, n.º 8, do Tratado de Estado dos Meios de Comunicação Social (MStV) para facilitar a obtenção de ofertas privadas</w:t>
      </w:r>
    </w:p>
    <w:p w14:paraId="562CFE12" w14:textId="77777777" w:rsidR="00FC378D" w:rsidRPr="00FC378D" w:rsidRDefault="00FC378D" w:rsidP="002A3743">
      <w:pPr>
        <w:spacing w:after="0" w:line="320" w:lineRule="atLeast"/>
        <w:jc w:val="center"/>
        <w:rPr>
          <w:b/>
          <w:sz w:val="28"/>
        </w:rPr>
      </w:pPr>
      <w:r>
        <w:rPr>
          <w:b/>
          <w:sz w:val="28"/>
        </w:rPr>
        <w:t>(Estatuto do Valor Público)</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rFonts w:eastAsia="Times New Roman" w:cstheme="minorHAnsi"/>
          <w:b/>
          <w:sz w:val="28"/>
          <w:szCs w:val="28"/>
        </w:rPr>
      </w:pPr>
      <w:r>
        <w:rPr>
          <w:b/>
          <w:sz w:val="28"/>
        </w:rPr>
        <w:t>Preâmbulo</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rFonts w:eastAsia="Times New Roman" w:cstheme="minorHAnsi"/>
          <w:sz w:val="24"/>
          <w:szCs w:val="24"/>
        </w:rPr>
      </w:pPr>
      <w:r>
        <w:rPr>
          <w:sz w:val="24"/>
        </w:rPr>
        <w:t>A descoberta está se tornando cada vez mais importante para ofertas de conteúdo - especialmente online. A crescente quantidade e variedade de ofertas está a tornar cada vez mais difícil para as ofertas jornalísticas com grande intensidade de custos, por exemplo, gerar a atenção necessária para o refinanciamento.</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rFonts w:eastAsia="Times New Roman" w:cstheme="minorHAnsi"/>
          <w:sz w:val="24"/>
          <w:szCs w:val="24"/>
        </w:rPr>
      </w:pPr>
      <w:r>
        <w:rPr>
          <w:sz w:val="24"/>
        </w:rPr>
        <w:t xml:space="preserve">O mecanismo que facilita a constatação de certas ofertas em interfaces de utilizador particularmente relevantes para a formação da opinião pública, tal como previsto no Tratado de Estado para os Meios de Comunicação Social, prossegue dois objetivos regulamentares fundamentais. Existe um benefício individual direto para o beneficiário, que também afeta a formação da opinião pública no seu conjunto. A facilidade de encontrar destina-se a incentivar os jogadores existentes que oferecem conteúdos relevantes para a formação da opinião pública e também a tornar este compromisso interessante para outros fornecedores.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Artigo 1 </w:t>
      </w:r>
    </w:p>
    <w:p w14:paraId="0B0396D3" w14:textId="77777777" w:rsidR="00E407BC" w:rsidRPr="00E407BC" w:rsidRDefault="00E407BC" w:rsidP="008A13E9">
      <w:pPr>
        <w:spacing w:after="0" w:line="320" w:lineRule="atLeast"/>
        <w:jc w:val="center"/>
        <w:rPr>
          <w:rFonts w:eastAsia="Times New Roman" w:cstheme="minorHAnsi"/>
          <w:b/>
          <w:sz w:val="28"/>
          <w:szCs w:val="28"/>
        </w:rPr>
      </w:pPr>
      <w:r>
        <w:rPr>
          <w:b/>
          <w:sz w:val="28"/>
        </w:rPr>
        <w:t>Objetivo</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rFonts w:eastAsia="Times New Roman" w:cstheme="minorHAnsi"/>
          <w:sz w:val="24"/>
          <w:szCs w:val="24"/>
        </w:rPr>
      </w:pPr>
      <w:r>
        <w:rPr>
          <w:sz w:val="24"/>
        </w:rPr>
        <w:t xml:space="preserve">As autoridades estatais dos meios de comunicação social determinam os prestadores de ofertas (a seguir designados «ofertas»), tal como definidos nos n.os 3, 2 e 4 do artigo 84.º do Tratado de Estado sobre os Meios de Comunicação Social (MStV) (procedimento de determinação), em conformidade com o n.º 5 do artigo 84.º do Tratado sobre os Meios de Comunicação Social (MStV).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Artigo 2 </w:t>
      </w:r>
    </w:p>
    <w:p w14:paraId="3EC876AD" w14:textId="77777777" w:rsidR="00E407BC" w:rsidRPr="00C03C27" w:rsidRDefault="00E407BC" w:rsidP="008A13E9">
      <w:pPr>
        <w:spacing w:after="0" w:line="320" w:lineRule="atLeast"/>
        <w:jc w:val="center"/>
        <w:rPr>
          <w:rFonts w:eastAsia="Times New Roman" w:cstheme="minorHAnsi"/>
          <w:b/>
          <w:sz w:val="28"/>
          <w:szCs w:val="28"/>
        </w:rPr>
      </w:pPr>
      <w:r>
        <w:rPr>
          <w:b/>
          <w:sz w:val="28"/>
        </w:rPr>
        <w:t>Elegibilidade para apresentar um pedido</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rFonts w:eastAsia="Times New Roman" w:cstheme="minorHAnsi"/>
          <w:sz w:val="24"/>
          <w:szCs w:val="24"/>
        </w:rPr>
      </w:pPr>
      <w:r>
        <w:rPr>
          <w:sz w:val="24"/>
        </w:rPr>
        <w:t xml:space="preserve">Podem candidatar-se: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 xml:space="preserve">Nos termos do artigo 84.º, n.º 3, ponto 2, do Tratado sobre os Meios de Comunicação Social (MStV), as ofertas de radiodifusão de prestadores privados que contribuam de forma particular para a diversidade de opiniões e ofertas na Alemanha, </w:t>
      </w:r>
      <w:r>
        <w:rPr>
          <w:sz w:val="24"/>
        </w:rPr>
        <w:br/>
        <w:t>ou</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 xml:space="preserve">nos termos do artigo 84.º, n.º 4, do Tratado sobre os Meios de Comunicação Social (MStV), ofertas de fornecedores privados de meios de comunicação semelhantes semelhantes ou </w:t>
      </w:r>
      <w:r>
        <w:rPr>
          <w:sz w:val="24"/>
        </w:rPr>
        <w:lastRenderedPageBreak/>
        <w:t>ofertas nos termos do n.º 2, e 14 alínea b), do artigo 2.º do Tratado de Comunicação Social de Estado (MStV), que contribuem de forma especial para a diversidade de opiniões e ofertas na Alemanha, ou aplicações baseadas em software que são utilizadas para controlá-las diretamente.</w:t>
      </w:r>
    </w:p>
    <w:p w14:paraId="79820582" w14:textId="06144072" w:rsidR="00D769EE" w:rsidRDefault="00D769EE">
      <w:pPr>
        <w:rPr>
          <w:rFonts w:eastAsia="Times New Roman" w:cstheme="minorHAnsi"/>
          <w:sz w:val="24"/>
          <w:szCs w:val="24"/>
        </w:rPr>
      </w:pPr>
    </w:p>
    <w:p w14:paraId="4CB87D96" w14:textId="77777777" w:rsidR="00124452" w:rsidRPr="00C03C27" w:rsidRDefault="00124452" w:rsidP="00124452">
      <w:pPr>
        <w:spacing w:after="0" w:line="320" w:lineRule="atLeast"/>
        <w:jc w:val="center"/>
        <w:rPr>
          <w:rFonts w:eastAsia="Times New Roman" w:cstheme="minorHAnsi"/>
          <w:b/>
          <w:sz w:val="28"/>
          <w:szCs w:val="28"/>
        </w:rPr>
      </w:pPr>
      <w:r>
        <w:rPr>
          <w:b/>
          <w:sz w:val="28"/>
        </w:rPr>
        <w:t>Artigo 3</w:t>
      </w:r>
    </w:p>
    <w:p w14:paraId="5CB6BB9B" w14:textId="77777777" w:rsidR="00124452" w:rsidRPr="00C03C27" w:rsidRDefault="00124452" w:rsidP="00124452">
      <w:pPr>
        <w:spacing w:after="0" w:line="320" w:lineRule="atLeast"/>
        <w:jc w:val="center"/>
        <w:rPr>
          <w:rFonts w:eastAsia="Times New Roman" w:cstheme="minorHAnsi"/>
          <w:b/>
          <w:sz w:val="28"/>
          <w:szCs w:val="28"/>
        </w:rPr>
      </w:pPr>
      <w:r>
        <w:rPr>
          <w:b/>
          <w:sz w:val="28"/>
        </w:rPr>
        <w:t>Responsabilidade e convite à apresentação de propostas</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rFonts w:eastAsia="Times New Roman" w:cstheme="minorHAnsi"/>
          <w:sz w:val="24"/>
          <w:szCs w:val="24"/>
        </w:rPr>
      </w:pPr>
      <w:r>
        <w:rPr>
          <w:sz w:val="24"/>
        </w:rPr>
        <w:t>(1) O procedimento de determinação é conduzido pela Comissão de Licenciamento e Fiscalização (ZAK) (n.º 1 do artigo 105.º, n.º 9, do Tratado sobre os Meios de Comunicação Social). É iniciado um concurso conjunto de todas as autoridades estatais dos meios de comunicação social, que tem em conta o parecer da Conferência dos Presidentes das Comissões (GVK), para as áreas das ofertas de áudio e imagem em movimento (vídeo). A autoridade estatal dos meios de comunicação social responsável pelo procedimento é determinada nas propostas.</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rFonts w:eastAsia="Times New Roman" w:cstheme="minorHAnsi"/>
          <w:sz w:val="24"/>
          <w:szCs w:val="24"/>
        </w:rPr>
      </w:pPr>
      <w:r>
        <w:rPr>
          <w:sz w:val="24"/>
        </w:rPr>
        <w:t>(2) As propostas estabelecem regulamentos complementares sobre o procedimento e os requisitos essenciais para a apresentação de candidaturas.</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rFonts w:eastAsia="Times New Roman" w:cstheme="minorHAnsi"/>
          <w:sz w:val="24"/>
          <w:szCs w:val="24"/>
        </w:rPr>
      </w:pPr>
      <w:r>
        <w:rPr>
          <w:sz w:val="24"/>
        </w:rPr>
        <w:t xml:space="preserve">(3) Os convites à apresentação de propostas são publicados por todas as autoridades estatais dos meios de comunicação social de forma adequada e no sítio web sob a designação de «autoridades dos meios de comunicação social».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rFonts w:eastAsia="Times New Roman" w:cstheme="minorHAnsi"/>
          <w:sz w:val="24"/>
          <w:szCs w:val="24"/>
        </w:rPr>
      </w:pPr>
      <w:r>
        <w:rPr>
          <w:sz w:val="24"/>
        </w:rPr>
        <w:t>(4) O processo de concurso está previsto para setembro de 2021.</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rFonts w:eastAsia="Times New Roman" w:cstheme="minorHAnsi"/>
          <w:b/>
          <w:sz w:val="28"/>
          <w:szCs w:val="28"/>
        </w:rPr>
      </w:pPr>
      <w:r>
        <w:rPr>
          <w:b/>
          <w:sz w:val="28"/>
        </w:rPr>
        <w:t>Artigo 4</w:t>
      </w:r>
    </w:p>
    <w:p w14:paraId="1161D4D6" w14:textId="77777777" w:rsidR="00537FB2" w:rsidRPr="000115F0" w:rsidRDefault="00537FB2" w:rsidP="00537FB2">
      <w:pPr>
        <w:spacing w:after="0" w:line="320" w:lineRule="atLeast"/>
        <w:jc w:val="center"/>
        <w:rPr>
          <w:rFonts w:eastAsia="Times New Roman" w:cstheme="minorHAnsi"/>
          <w:b/>
          <w:sz w:val="28"/>
          <w:szCs w:val="28"/>
        </w:rPr>
      </w:pPr>
      <w:r>
        <w:rPr>
          <w:b/>
          <w:sz w:val="28"/>
        </w:rPr>
        <w:t>Apresentação de um pedido</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rFonts w:eastAsia="Times New Roman" w:cstheme="minorHAnsi"/>
          <w:sz w:val="24"/>
          <w:szCs w:val="24"/>
        </w:rPr>
      </w:pPr>
      <w:r>
        <w:rPr>
          <w:sz w:val="24"/>
        </w:rPr>
        <w:t>(1) As candidaturas devem ser apresentadas por escrito à autoridade pública responsável dos meios de comunicação social no prazo fixado no respetivo convite à apresentação de propostas. As candidaturas devem ser acompanhadas de documentos</w:t>
      </w:r>
      <w:r>
        <w:rPr>
          <w:rFonts w:ascii="Times New Roman" w:hAnsi="Times New Roman"/>
          <w:sz w:val="24"/>
        </w:rPr>
        <w:t xml:space="preserve"> </w:t>
      </w:r>
      <w:r>
        <w:rPr>
          <w:sz w:val="24"/>
        </w:rPr>
        <w:t xml:space="preserve">que permitam uma revisão da contribuição para a diversidade de opiniões e ofertas da respetiva oferta ou aplicação baseada em software e devem conter, pelo menos, as seguintes informações: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rFonts w:eastAsia="Times New Roman" w:cstheme="minorHAnsi"/>
          <w:sz w:val="24"/>
          <w:szCs w:val="24"/>
        </w:rPr>
      </w:pPr>
      <w:r>
        <w:rPr>
          <w:sz w:val="24"/>
        </w:rPr>
        <w:t>Factos dos quais se conclui que a oferta é uma oferta de radiodifusão privada nos termos do artigo 84.º, n.º 3, do Tratado sobre os Meios de Comunicação Social, ou uma oferta privada comparável em termos de telemedia, nos termos do n.º 4 do artigo 84.º do Tratado sobre os Meios de Comunicação Social, ou uma oferta nos termos do artigo 2.º, n.º 2, n.º 14, alínea b), ou uma aplicação baseada em software que é utilizada para controlá-la diretamente.</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rFonts w:eastAsia="Times New Roman" w:cstheme="minorHAnsi"/>
          <w:sz w:val="24"/>
          <w:szCs w:val="24"/>
        </w:rPr>
      </w:pPr>
      <w:r>
        <w:rPr>
          <w:sz w:val="24"/>
        </w:rPr>
        <w:lastRenderedPageBreak/>
        <w:t>Uma descrição do conteúdo da oferta e uma explicação sobre a forma como ela contribui de forma especial para a diversidade de ofertas e opiniões na Alemanha.</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rFonts w:eastAsia="Times New Roman" w:cstheme="minorHAnsi"/>
          <w:sz w:val="24"/>
          <w:szCs w:val="24"/>
        </w:rPr>
      </w:pPr>
      <w:r>
        <w:rPr>
          <w:sz w:val="24"/>
        </w:rPr>
        <w:t>Informações sobre os critérios a observar na determinação nos termos do artigo 84.º, n.º 5, do Tratado sobre os Meios de Comunicação Social (MStV) e do artigo 7.</w:t>
      </w:r>
    </w:p>
    <w:p w14:paraId="47BED891" w14:textId="4DFC7FA6" w:rsidR="00F36BA7" w:rsidRPr="00D769EE" w:rsidRDefault="00F36BA7" w:rsidP="00D769EE">
      <w:pPr>
        <w:rPr>
          <w:rFonts w:eastAsia="Times New Roman" w:cstheme="minorHAnsi"/>
          <w:sz w:val="24"/>
          <w:szCs w:val="24"/>
        </w:rPr>
      </w:pPr>
    </w:p>
    <w:p w14:paraId="7F87071E" w14:textId="77777777" w:rsidR="004B4D8D" w:rsidRPr="009D766D" w:rsidRDefault="004B4D8D" w:rsidP="004B4D8D">
      <w:pPr>
        <w:spacing w:after="0" w:line="320" w:lineRule="atLeast"/>
        <w:jc w:val="center"/>
        <w:rPr>
          <w:rFonts w:eastAsia="Times New Roman" w:cstheme="minorHAnsi"/>
          <w:b/>
          <w:sz w:val="28"/>
          <w:szCs w:val="28"/>
        </w:rPr>
      </w:pPr>
      <w:r>
        <w:rPr>
          <w:b/>
          <w:sz w:val="28"/>
        </w:rPr>
        <w:t>Artigo 5</w:t>
      </w:r>
    </w:p>
    <w:p w14:paraId="7A28FEEF" w14:textId="77777777" w:rsidR="004B4D8D" w:rsidRPr="009D766D" w:rsidRDefault="004B4D8D" w:rsidP="004B4D8D">
      <w:pPr>
        <w:spacing w:after="0" w:line="320" w:lineRule="atLeast"/>
        <w:jc w:val="center"/>
        <w:rPr>
          <w:rFonts w:eastAsia="Times New Roman" w:cstheme="minorHAnsi"/>
          <w:b/>
          <w:sz w:val="28"/>
          <w:szCs w:val="28"/>
        </w:rPr>
      </w:pPr>
      <w:r>
        <w:rPr>
          <w:b/>
          <w:sz w:val="28"/>
        </w:rPr>
        <w:t>Processo</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rFonts w:eastAsia="Times New Roman" w:cstheme="minorHAnsi"/>
          <w:sz w:val="24"/>
          <w:szCs w:val="24"/>
        </w:rPr>
      </w:pPr>
      <w:r>
        <w:rPr>
          <w:sz w:val="24"/>
        </w:rPr>
        <w:t>(1) A autoridade pública responsável pela comunicação social examina os pedidos recebidos. Verifica se as condições para determinar a respetiva oferta ou a respetiva aplicação baseada em software estão reunidas nos termos dos artigos 2, 7 e 8.</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rFonts w:eastAsia="Times New Roman" w:cstheme="minorHAnsi"/>
          <w:sz w:val="24"/>
          <w:szCs w:val="24"/>
        </w:rPr>
      </w:pPr>
      <w:r>
        <w:rPr>
          <w:sz w:val="24"/>
        </w:rPr>
        <w:t>(2) A Comissão de Licenciamento e Supervisão (ZAK) determina, por resolução, se as condições estão preenchidas para cada oferta ou para a respetiva aplicação baseada em software.</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rFonts w:eastAsia="Times New Roman" w:cstheme="minorHAnsi"/>
          <w:sz w:val="24"/>
          <w:szCs w:val="24"/>
        </w:rPr>
      </w:pPr>
      <w:r>
        <w:rPr>
          <w:sz w:val="24"/>
        </w:rPr>
        <w:t xml:space="preserve">(3) A determinação formal é feita pela autoridade estatal responsável pelos meios de comunicação. Está vinculada às decisões da Comissão de Licenciamento e Controlo (ZAK) a este respeito.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rFonts w:eastAsia="Times New Roman" w:cstheme="minorHAnsi"/>
          <w:b/>
          <w:sz w:val="28"/>
          <w:szCs w:val="28"/>
        </w:rPr>
      </w:pPr>
      <w:r>
        <w:rPr>
          <w:b/>
          <w:sz w:val="28"/>
        </w:rPr>
        <w:t>Artigo 6</w:t>
      </w:r>
    </w:p>
    <w:p w14:paraId="13FD1E9D" w14:textId="77777777" w:rsidR="007F62B2" w:rsidRPr="007F62B2" w:rsidRDefault="007F62B2" w:rsidP="007F62B2">
      <w:pPr>
        <w:spacing w:after="0" w:line="320" w:lineRule="atLeast"/>
        <w:jc w:val="center"/>
        <w:rPr>
          <w:rFonts w:eastAsia="Times New Roman" w:cstheme="minorHAnsi"/>
          <w:b/>
          <w:sz w:val="28"/>
          <w:szCs w:val="28"/>
        </w:rPr>
      </w:pPr>
      <w:r>
        <w:rPr>
          <w:b/>
          <w:sz w:val="28"/>
        </w:rPr>
        <w:t xml:space="preserve">Conclusão do procedimento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rFonts w:eastAsia="Times New Roman" w:cstheme="minorHAnsi"/>
          <w:sz w:val="24"/>
          <w:szCs w:val="24"/>
        </w:rPr>
      </w:pPr>
      <w:r>
        <w:rPr>
          <w:sz w:val="24"/>
        </w:rPr>
        <w:t>(1) A decisão sobre a respetiva candidatura é emitida ao requerente por ato administrativo.</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rFonts w:eastAsia="Times New Roman" w:cstheme="minorHAnsi"/>
          <w:sz w:val="24"/>
          <w:szCs w:val="24"/>
        </w:rPr>
      </w:pPr>
      <w:r>
        <w:rPr>
          <w:sz w:val="24"/>
        </w:rPr>
        <w:t xml:space="preserve">(2) As decisões tomadas aplicam-se em cada caso por um período de três anos a contar da data anunciada no ato administrativo.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rFonts w:eastAsia="Times New Roman" w:cstheme="minorHAnsi"/>
          <w:sz w:val="24"/>
          <w:szCs w:val="24"/>
        </w:rPr>
      </w:pPr>
      <w:r>
        <w:rPr>
          <w:sz w:val="24"/>
        </w:rPr>
        <w:t xml:space="preserve">(3) O requerente deve notificar imediatamente a autoridade dos meios de comunicação social do Estado responsável das alterações à oferta que ocorram antes ou depois da decisão sobre o pedido e que sejam essenciais para a determinação nos termos dos artigos 7 e 8.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rFonts w:eastAsia="Times New Roman" w:cstheme="minorHAnsi"/>
          <w:sz w:val="24"/>
          <w:szCs w:val="24"/>
        </w:rPr>
      </w:pPr>
      <w:r>
        <w:rPr>
          <w:sz w:val="24"/>
        </w:rPr>
        <w:t>(4) A decisão nos termos do artigo 6.º, n.º 1, pode ser revogada pela autoridade estatal responsável pelos meios de comunicação social se ocorrerem subsequentemente alterações materiais à oferta, de acordo com a qual a oferta já não cumpre os artigos 7 e 8.</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rFonts w:eastAsia="Times New Roman" w:cstheme="minorHAnsi"/>
          <w:b/>
          <w:sz w:val="28"/>
          <w:szCs w:val="28"/>
        </w:rPr>
      </w:pPr>
      <w:r>
        <w:rPr>
          <w:b/>
          <w:sz w:val="28"/>
        </w:rPr>
        <w:t>Artigo 7</w:t>
      </w:r>
    </w:p>
    <w:p w14:paraId="75AE2D97" w14:textId="77777777" w:rsidR="006672EC" w:rsidRPr="006672EC" w:rsidRDefault="006672EC" w:rsidP="006672EC">
      <w:pPr>
        <w:spacing w:after="0" w:line="320" w:lineRule="atLeast"/>
        <w:jc w:val="center"/>
        <w:rPr>
          <w:rFonts w:eastAsia="Times New Roman" w:cstheme="minorHAnsi"/>
          <w:b/>
          <w:sz w:val="28"/>
          <w:szCs w:val="28"/>
        </w:rPr>
      </w:pPr>
      <w:r>
        <w:rPr>
          <w:b/>
          <w:sz w:val="28"/>
        </w:rPr>
        <w:t xml:space="preserve">Critérios de determinação </w:t>
      </w:r>
      <w:r>
        <w:rPr>
          <w:b/>
          <w:sz w:val="28"/>
        </w:rPr>
        <w:br/>
      </w:r>
    </w:p>
    <w:p w14:paraId="3617EB73" w14:textId="77777777" w:rsidR="004C219B" w:rsidRPr="00956BF6" w:rsidRDefault="006672EC" w:rsidP="00956BF6">
      <w:pPr>
        <w:spacing w:after="0" w:line="320" w:lineRule="atLeast"/>
        <w:jc w:val="both"/>
        <w:rPr>
          <w:rFonts w:eastAsia="Times New Roman" w:cstheme="minorHAnsi"/>
          <w:sz w:val="24"/>
          <w:szCs w:val="24"/>
        </w:rPr>
      </w:pPr>
      <w:r>
        <w:rPr>
          <w:sz w:val="24"/>
        </w:rPr>
        <w:lastRenderedPageBreak/>
        <w:t>Ao determinar as ofertas nos termos do artigo 84.º, n.os 3, 2 e 4, do Tratado de Estado para os Meios de Comunicação Social, apenas devem ser tidos em conta os critérios mencionados no n.º 5 do artigo 84.º do Tratado sobre os Meios de Comunicação Social.</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rFonts w:eastAsia="Times New Roman" w:cstheme="minorHAnsi"/>
          <w:sz w:val="24"/>
          <w:szCs w:val="24"/>
        </w:rPr>
      </w:pPr>
      <w:r>
        <w:rPr>
          <w:sz w:val="24"/>
        </w:rPr>
        <w:t>Salvo disposição em contrário do Tratado de Estado sobre os meios de comunicação social,</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a reportagem de notícias sobre eventos políticos ou contemporâneos é a oferta de conteúdos jornalísticos e editoriais que, a partir de toda a oferta, retratam o mais completo possível um corte transversal das subáreas de eventos sociais políticos e contemporâneos relevantes para a formação da opinião pública e cujo foco é a cobertura de eventos reais;</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a informação regional e local, tal como definida no artigo 2.º, n.º 2, ponto 25, do Tratado de Comunicação Social do Estado (MStV) é uma informação que tem uma ligação clara a áreas culturalmente relacionadas e territorialmente delimitadas, que também podem ser transnacionais;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as ofertas de produção interna são aquelas cuja produção e processamento são realizadas e financiadas total ou principalmente pelo fornecedor responsável pelo conteúdo com seus próprios meios de produção ou são produzidas com a correspondente influência jornalística e editorial. As produções produzidas para uma empresa de produção, depois de esta última as ter encomendado, são igualmente consideradas como produções internas;</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rFonts w:eastAsia="Times New Roman" w:cstheme="minorHAnsi"/>
          <w:sz w:val="24"/>
          <w:szCs w:val="24"/>
        </w:rPr>
      </w:pPr>
      <w:r>
        <w:rPr>
          <w:sz w:val="24"/>
        </w:rPr>
        <w:t>As ofertas sem barreiras são aquelas que são acessíveis e utilizáveis para pessoas com deficiência da maneira geralmente habitual para elas, de acordo com o estado da arte e usando as ajudas necessárias sem dificuldades especiais e basicamente sem assistência externa;</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Os trabalhadores formados são aqueles que concluíram um curso de formação profissional ou um curso de estudo correspondente relevante para as suas tarefas jornalísticas ou técnicas de comunicação social na produção de programas ou que podem comprovar, pelo menos, cinco anos de experiência profissional. Não deve ser incluído o trabalho auxiliar subordinado;</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rFonts w:eastAsia="Times New Roman" w:cstheme="minorHAnsi"/>
          <w:sz w:val="24"/>
          <w:szCs w:val="24"/>
        </w:rPr>
      </w:pPr>
      <w:r>
        <w:rPr>
          <w:sz w:val="24"/>
        </w:rPr>
        <w:t>As obras europeias são as definidas no artigo 3, n.º 4, dos estatutos conjuntos das autoridades estatais dos meios de comunicação social sobre produções europeias, nos termos do artigo 77 do Tratado de Estado dos Meios de Comunicação Social e</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ofertas dirigidas a jovens grupos-alvo se forem claramente dirigidas a crianças ou jovens adultos até aos 29 anos de idade. São tidos em conta os seguintes elementos:</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rFonts w:eastAsia="Times New Roman" w:cstheme="minorHAnsi"/>
          <w:sz w:val="24"/>
          <w:szCs w:val="24"/>
        </w:rPr>
      </w:pPr>
      <w:r>
        <w:rPr>
          <w:sz w:val="24"/>
        </w:rPr>
        <w:t xml:space="preserve">As ofertas que não podem ser interrompidas por publicidade de rádio ou por televenda nos termos do artigo 9, n.º 1, do Tratado de Estado dos Mídias ou, </w:t>
      </w:r>
      <w:r>
        <w:rPr>
          <w:sz w:val="24"/>
        </w:rPr>
        <w:lastRenderedPageBreak/>
        <w:t xml:space="preserve">no caso de conteúdos de radiodifusão semelhantes em orientação ao conteúdo a classificar, não podem ser interrompidas por publicidade de rádio ou por televenda nos termos do artigo 9, n.º 1, do Tratado de Comunicação Social (ofertas para crianças);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t>Ofertas que, de acordo com uma consideração geral caso a caso do conteúdo, forma e tempo de transmissão, visam claramente</w:t>
      </w:r>
      <w:r>
        <w:rPr>
          <w:rFonts w:ascii="Times New Roman" w:hAnsi="Times New Roman"/>
          <w:sz w:val="24"/>
        </w:rPr>
        <w:t xml:space="preserve"> </w:t>
      </w:r>
      <w:r>
        <w:rPr>
          <w:sz w:val="24"/>
        </w:rPr>
        <w:t>um grupo-alvo de 14 a 29 anos de idade (ofertas para putos e jovens adultos), na medida em que se concentram na informação tal como definida no n.º 2 do artigo 2.º, n.º 25, do Tratado sobre os Meios de Comunicação Social (MStV).</w:t>
      </w:r>
    </w:p>
    <w:p w14:paraId="4F7BC33B" w14:textId="77777777" w:rsidR="000064CB" w:rsidRDefault="000064CB" w:rsidP="000064CB">
      <w:pPr>
        <w:pStyle w:val="ListParagraph"/>
      </w:pPr>
    </w:p>
    <w:p w14:paraId="449F9127" w14:textId="77777777" w:rsidR="00AA4B93" w:rsidRPr="006672EC" w:rsidRDefault="00AA4B93" w:rsidP="00AA4B93">
      <w:pPr>
        <w:spacing w:after="0" w:line="320" w:lineRule="atLeast"/>
        <w:jc w:val="center"/>
        <w:rPr>
          <w:rFonts w:eastAsia="Times New Roman" w:cstheme="minorHAnsi"/>
          <w:b/>
          <w:sz w:val="28"/>
          <w:szCs w:val="28"/>
        </w:rPr>
      </w:pPr>
      <w:r>
        <w:rPr>
          <w:b/>
          <w:sz w:val="28"/>
        </w:rPr>
        <w:t>Artigo 8</w:t>
      </w:r>
    </w:p>
    <w:p w14:paraId="389064A1" w14:textId="77777777" w:rsidR="00225CB9" w:rsidRDefault="00AA4B93" w:rsidP="00225CB9">
      <w:pPr>
        <w:spacing w:after="0" w:line="320" w:lineRule="atLeast"/>
        <w:jc w:val="center"/>
        <w:rPr>
          <w:rFonts w:eastAsia="Times New Roman" w:cstheme="minorHAnsi"/>
          <w:b/>
          <w:sz w:val="28"/>
          <w:szCs w:val="28"/>
        </w:rPr>
      </w:pPr>
      <w:r>
        <w:rPr>
          <w:b/>
          <w:sz w:val="28"/>
        </w:rPr>
        <w:t>Princípios básicos de determinação</w:t>
      </w:r>
      <w:r>
        <w:rPr>
          <w:b/>
          <w:sz w:val="28"/>
        </w:rPr>
        <w:br/>
      </w:r>
    </w:p>
    <w:p w14:paraId="167137B4" w14:textId="77777777" w:rsidR="00225CB9" w:rsidRPr="00F81EB4" w:rsidRDefault="00225CB9" w:rsidP="00225CB9">
      <w:pPr>
        <w:spacing w:after="0" w:line="320" w:lineRule="atLeast"/>
        <w:rPr>
          <w:rFonts w:eastAsia="Times New Roman" w:cstheme="minorHAnsi"/>
          <w:b/>
          <w:sz w:val="28"/>
          <w:szCs w:val="28"/>
        </w:rPr>
      </w:pPr>
      <w:r>
        <w:rPr>
          <w:sz w:val="24"/>
        </w:rPr>
        <w:t>A determinação é feita com uma visão global baseada nos seguintes princípios básicos:</w:t>
      </w:r>
    </w:p>
    <w:p w14:paraId="1072A53F" w14:textId="77777777" w:rsidR="00AA4B93" w:rsidRDefault="00225CB9" w:rsidP="00225CB9">
      <w:pPr>
        <w:pStyle w:val="ListParagraph"/>
        <w:tabs>
          <w:tab w:val="left" w:pos="4165"/>
        </w:tabs>
        <w:spacing w:after="0" w:line="320" w:lineRule="atLeast"/>
        <w:ind w:left="284"/>
        <w:rPr>
          <w:rFonts w:eastAsia="Times New Roman" w:cstheme="minorHAnsi"/>
          <w:sz w:val="24"/>
          <w:szCs w:val="24"/>
        </w:rPr>
      </w:pPr>
      <w:r>
        <w:rPr>
          <w:sz w:val="24"/>
        </w:rPr>
        <w:tab/>
      </w:r>
    </w:p>
    <w:p w14:paraId="193A25D9" w14:textId="77777777" w:rsidR="00AA4B93" w:rsidRDefault="00164A49" w:rsidP="00F81EB4">
      <w:pPr>
        <w:pStyle w:val="ListParagraph"/>
        <w:numPr>
          <w:ilvl w:val="0"/>
          <w:numId w:val="13"/>
        </w:numPr>
        <w:spacing w:after="0" w:line="320" w:lineRule="atLeast"/>
        <w:ind w:left="720"/>
        <w:rPr>
          <w:rFonts w:eastAsia="Times New Roman" w:cstheme="minorHAnsi"/>
          <w:sz w:val="24"/>
          <w:szCs w:val="24"/>
        </w:rPr>
      </w:pPr>
      <w:r>
        <w:rPr>
          <w:sz w:val="24"/>
        </w:rPr>
        <w:t>As ofertas, que basicamente não cumprem os princípios jornalísticos reconhecidos e outros requisitos do Tratado de Estado dos Meios de Comunicação Social, não são adequadas para dar uma contribuição notável para a diversidade de opiniões e ofertas.</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rFonts w:eastAsia="Times New Roman" w:cstheme="minorHAnsi"/>
          <w:sz w:val="24"/>
          <w:szCs w:val="24"/>
        </w:rPr>
      </w:pPr>
      <w:r>
        <w:rPr>
          <w:sz w:val="24"/>
        </w:rPr>
        <w:t>Na medida em que os requisitos legais correspondentes sejam relevantes para os critérios estabelecidos no artigo 7, apenas as medidas que ultrapassem o cumprimento destes projetos legais serão tidas em conta na determinação.</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rFonts w:eastAsia="Times New Roman" w:cstheme="minorHAnsi"/>
          <w:sz w:val="24"/>
          <w:szCs w:val="24"/>
        </w:rPr>
      </w:pPr>
      <w:r>
        <w:rPr>
          <w:sz w:val="24"/>
        </w:rPr>
        <w:t xml:space="preserve">Ao determinar uma contribuição especial para a diversidade de opiniões e ofertas, deve ser dada preferência à partilha de tempo da cobertura noticiosa dos acontecimentos políticos e contemporâneos e à partilha temporal das informações regionais e locais, bem como à partilha de ofertas para jovens grupos-alvo. </w:t>
      </w:r>
      <w:r>
        <w:rPr>
          <w:sz w:val="24"/>
        </w:rPr>
        <w:br/>
      </w:r>
    </w:p>
    <w:p w14:paraId="39E98786"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No caso das ofertas de radiodifusão, tal como definidas no n.º 3 e 1 do artigo 84.º do Tratado de Estado dos Meios de Comunicação Social, a regularidade da radiodifusão, a duração e o tempo de programação dos programas em causa devem ser tidas em conta no que respeita aos critérios previstos nos n.os 1, 2, 4 e 7 do artigo 7.º.</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No caso das ofertas de telemedia, tal como definidas no n.º 4 do artigo 84.º do Tratado de Estado dos Meios de Comunicação Social, a atualização periódica, o tempo ou outro âmbito, bem como a colocação e a acessibilidade no âmbito da oferta de telemedia devem ser tidas em conta no que respeita aos critérios previstos nos n.os 1, 2, 4 e 7 do artigo 7.</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rFonts w:eastAsia="Times New Roman" w:cstheme="minorHAnsi"/>
          <w:sz w:val="24"/>
          <w:szCs w:val="24"/>
        </w:rPr>
      </w:pPr>
      <w:r>
        <w:rPr>
          <w:sz w:val="24"/>
        </w:rPr>
        <w:t xml:space="preserve">No âmbito da determinação de uma proporção mais elevada de pessoal formado, tal como definido no n.º 5 do artigo 7.º, que tem um efeito positivo sobre o grau </w:t>
      </w:r>
      <w:r>
        <w:rPr>
          <w:sz w:val="24"/>
        </w:rPr>
        <w:lastRenderedPageBreak/>
        <w:t>específico de contribuição para a diversidade de opiniões e ofertas, devem ser tidos em conta apenas os rácios de pessoal formado em relação ao pessoal estagiário de, pelo menos, três para um.</w:t>
      </w:r>
    </w:p>
    <w:p w14:paraId="24FDD85B" w14:textId="77777777" w:rsidR="00370B9E" w:rsidRDefault="00370B9E">
      <w:pPr>
        <w:rPr>
          <w:rFonts w:eastAsia="Times New Roman" w:cstheme="minorHAnsi"/>
          <w:sz w:val="24"/>
          <w:szCs w:val="24"/>
          <w:lang w:eastAsia="de-DE"/>
        </w:rPr>
      </w:pP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rFonts w:eastAsia="Times New Roman" w:cstheme="minorHAnsi"/>
          <w:b/>
          <w:sz w:val="28"/>
          <w:szCs w:val="28"/>
        </w:rPr>
      </w:pPr>
      <w:r>
        <w:rPr>
          <w:b/>
          <w:sz w:val="28"/>
        </w:rPr>
        <w:t>Artigo 9</w:t>
      </w:r>
    </w:p>
    <w:p w14:paraId="3BBF6B59" w14:textId="77777777" w:rsidR="00370B9E" w:rsidRPr="002C7BC4" w:rsidRDefault="00373314" w:rsidP="00370B9E">
      <w:pPr>
        <w:spacing w:after="0" w:line="320" w:lineRule="atLeast"/>
        <w:jc w:val="center"/>
        <w:rPr>
          <w:rFonts w:eastAsia="Times New Roman" w:cstheme="minorHAnsi"/>
          <w:b/>
          <w:sz w:val="28"/>
          <w:szCs w:val="28"/>
        </w:rPr>
      </w:pPr>
      <w:r>
        <w:rPr>
          <w:b/>
          <w:sz w:val="28"/>
        </w:rPr>
        <w:t>Implementação</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rFonts w:ascii="Calibri" w:hAnsi="Calibri" w:cs="Calibri"/>
          <w:sz w:val="24"/>
          <w:szCs w:val="24"/>
        </w:rPr>
      </w:pPr>
      <w:r>
        <w:rPr>
          <w:rFonts w:ascii="Calibri" w:hAnsi="Calibri"/>
          <w:sz w:val="24"/>
        </w:rPr>
        <w:t>(1) Uma vez concluído o procedimento de determinação, as autoridades estatais dos meios de comunicação publicarão uma lista de imagens em movimento (vídeo) e uma lista de ofertas de áudio no sítio Web sob a designação de «autoridades de comunicação social» para implementação pelos fornecedores de interfaces de utilizador.</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rFonts w:ascii="Calibri" w:hAnsi="Calibri" w:cs="Calibri"/>
          <w:sz w:val="24"/>
          <w:szCs w:val="24"/>
        </w:rPr>
      </w:pPr>
      <w:r>
        <w:rPr>
          <w:rFonts w:ascii="Calibri" w:hAnsi="Calibri"/>
          <w:sz w:val="24"/>
        </w:rPr>
        <w:t>(2) Deve ser fácil e permanentemente possível ao utilizador identificar a triagem e a organização das ofertas, determinadas pelas autoridades estatais responsáveis pelos meios de comunicação social, nas interfaces dos utilizadores.</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rFonts w:ascii="Calibri" w:hAnsi="Calibri" w:cs="Calibri"/>
          <w:sz w:val="24"/>
          <w:szCs w:val="24"/>
        </w:rPr>
      </w:pPr>
      <w:r>
        <w:rPr>
          <w:rFonts w:ascii="Calibri" w:hAnsi="Calibri"/>
          <w:sz w:val="24"/>
        </w:rPr>
        <w:t xml:space="preserve">(3) A ordem das listas determinadas pela Comissão de Licenciamento e Supervisão (ZAK) como órgão dirigente da autoridade estatal responsável pelos meios de comunicação social resulta do ponto de vista global realizado nos termos dos artigos 7 e 8. Se e na medida em que o fornecedor de uma interface de utilizador apresentar uma sequência na triagem e na organização das ofertas, as listas publicadas em conformidade com o n.º 1 devem ser utilizadas como base.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rFonts w:ascii="Calibri" w:hAnsi="Calibri" w:cs="Calibri"/>
          <w:sz w:val="24"/>
          <w:szCs w:val="24"/>
        </w:rPr>
      </w:pPr>
      <w:r>
        <w:rPr>
          <w:rFonts w:ascii="Calibri" w:hAnsi="Calibri"/>
          <w:sz w:val="24"/>
        </w:rPr>
        <w:t>(4) A autoridade pública responsável pelos meios de comunicação social tem por missão trabalhar para chegar a um acordo com os prestadores dos programas legais financiados pela contribuição e as ofertas de telemedia associadas no que respeita à ordem de apresentação.</w:t>
      </w:r>
    </w:p>
    <w:p w14:paraId="5A278B17" w14:textId="77777777" w:rsidR="000D2934" w:rsidRDefault="000D2934">
      <w:pPr>
        <w:rPr>
          <w:rFonts w:eastAsia="Times New Roman" w:cstheme="minorHAnsi"/>
          <w:b/>
          <w:sz w:val="28"/>
          <w:szCs w:val="28"/>
          <w:u w:val="single"/>
          <w:lang w:eastAsia="de-DE"/>
        </w:rPr>
      </w:pPr>
    </w:p>
    <w:p w14:paraId="0A521615" w14:textId="77777777" w:rsidR="00701D71" w:rsidRPr="002C7BC4" w:rsidRDefault="00701D71" w:rsidP="00701D71">
      <w:pPr>
        <w:spacing w:after="0" w:line="320" w:lineRule="atLeast"/>
        <w:jc w:val="center"/>
        <w:rPr>
          <w:rFonts w:eastAsia="Times New Roman" w:cstheme="minorHAnsi"/>
          <w:b/>
          <w:sz w:val="28"/>
          <w:szCs w:val="28"/>
        </w:rPr>
      </w:pPr>
      <w:r>
        <w:rPr>
          <w:b/>
          <w:sz w:val="28"/>
        </w:rPr>
        <w:t>Artigo 10</w:t>
      </w:r>
    </w:p>
    <w:p w14:paraId="0A25D742" w14:textId="77777777" w:rsidR="00701D71" w:rsidRPr="002C7BC4" w:rsidRDefault="00701D71" w:rsidP="00701D71">
      <w:pPr>
        <w:spacing w:after="0" w:line="320" w:lineRule="atLeast"/>
        <w:jc w:val="center"/>
        <w:rPr>
          <w:rFonts w:eastAsia="Times New Roman" w:cstheme="minorHAnsi"/>
          <w:b/>
          <w:sz w:val="28"/>
          <w:szCs w:val="28"/>
        </w:rPr>
      </w:pPr>
      <w:r>
        <w:rPr>
          <w:b/>
          <w:sz w:val="28"/>
        </w:rPr>
        <w:t>Entrada em vigor</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rFonts w:eastAsia="Times New Roman" w:cstheme="minorHAnsi"/>
          <w:sz w:val="24"/>
          <w:szCs w:val="24"/>
        </w:rPr>
      </w:pPr>
      <w:r>
        <w:rPr>
          <w:sz w:val="24"/>
        </w:rPr>
        <w:t>O presente diploma entra em vigor em 1 de setembro de 2021. Se os estatutos correspondentes não tiverem sido emitidos e publicados por todas as autoridades estatais dos meios de comunicação social até 31 de agosto de 2021, este estatuto tornar-se-á irrelevante. O presidente da Conferência dos Diretores das Autoridades Estatais para os Meios de Comunicação (DLM) publica no sítio Web sob a designação de «autoridades dos meios de comunicação social» se todas as autoridades estatais dos meios de comunicação emitiram e publicaram os estatutos correspondentes no período da frase 2.</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A8EB0" w14:textId="77777777" w:rsidR="0041545F" w:rsidRDefault="0041545F" w:rsidP="001D484A">
      <w:pPr>
        <w:spacing w:after="0" w:line="240" w:lineRule="auto"/>
      </w:pPr>
      <w:r>
        <w:separator/>
      </w:r>
    </w:p>
  </w:endnote>
  <w:endnote w:type="continuationSeparator" w:id="0">
    <w:p w14:paraId="2D93756E" w14:textId="77777777" w:rsidR="0041545F" w:rsidRDefault="0041545F"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33D4A" w14:textId="77777777" w:rsidR="0041545F" w:rsidRDefault="0041545F" w:rsidP="001D484A">
      <w:pPr>
        <w:spacing w:after="0" w:line="240" w:lineRule="auto"/>
      </w:pPr>
      <w:r>
        <w:separator/>
      </w:r>
    </w:p>
  </w:footnote>
  <w:footnote w:type="continuationSeparator" w:id="0">
    <w:p w14:paraId="6C9B6AE3" w14:textId="77777777" w:rsidR="0041545F" w:rsidRDefault="0041545F"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t xml:space="preserve"> </w:t>
      </w:r>
      <w:r>
        <w:rPr>
          <w:rFonts w:asciiTheme="minorHAnsi" w:hAnsiTheme="minorHAnsi"/>
        </w:rPr>
        <w:t>Notificado em conformidade com a Diretiva (UE) 2015/1535 do Parlamento Europeu e do Conselho, de 9 de setembro de 2015, relativa a um procedimento de informação no domínio das regulamentações técnicas e das regras relativas aos serviços da sociedade da informação (JO L 241, 17.9.2015,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BC6C22B2"/>
    <w:lvl w:ilvl="0" w:tplc="C9CC360C">
      <w:start w:val="1"/>
      <w:numFmt w:val="lowerLetter"/>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2BFA"/>
    <w:rsid w:val="00183169"/>
    <w:rsid w:val="0018318F"/>
    <w:rsid w:val="001835AF"/>
    <w:rsid w:val="001B036F"/>
    <w:rsid w:val="001D484A"/>
    <w:rsid w:val="001E5FFE"/>
    <w:rsid w:val="001F0CCE"/>
    <w:rsid w:val="001F58C3"/>
    <w:rsid w:val="001F6A76"/>
    <w:rsid w:val="002007EC"/>
    <w:rsid w:val="0021674B"/>
    <w:rsid w:val="0021723B"/>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70B9E"/>
    <w:rsid w:val="00373314"/>
    <w:rsid w:val="00381450"/>
    <w:rsid w:val="00393404"/>
    <w:rsid w:val="003B4C24"/>
    <w:rsid w:val="003F31B3"/>
    <w:rsid w:val="0041545F"/>
    <w:rsid w:val="00416F29"/>
    <w:rsid w:val="00424F1A"/>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700F4"/>
    <w:rsid w:val="00591CAB"/>
    <w:rsid w:val="005B768A"/>
    <w:rsid w:val="005C07B7"/>
    <w:rsid w:val="005C1407"/>
    <w:rsid w:val="005C179E"/>
    <w:rsid w:val="005D131C"/>
    <w:rsid w:val="005D3623"/>
    <w:rsid w:val="005E34EB"/>
    <w:rsid w:val="005E6E51"/>
    <w:rsid w:val="00612BF0"/>
    <w:rsid w:val="00612D2D"/>
    <w:rsid w:val="00625CBC"/>
    <w:rsid w:val="0064609D"/>
    <w:rsid w:val="00665EC3"/>
    <w:rsid w:val="006672EC"/>
    <w:rsid w:val="00681344"/>
    <w:rsid w:val="00681C35"/>
    <w:rsid w:val="006830D1"/>
    <w:rsid w:val="006B13C8"/>
    <w:rsid w:val="006C19EC"/>
    <w:rsid w:val="006D0727"/>
    <w:rsid w:val="006E5784"/>
    <w:rsid w:val="00701D71"/>
    <w:rsid w:val="0071358E"/>
    <w:rsid w:val="007146F9"/>
    <w:rsid w:val="0073115B"/>
    <w:rsid w:val="00737BD3"/>
    <w:rsid w:val="00744038"/>
    <w:rsid w:val="0076089E"/>
    <w:rsid w:val="00767050"/>
    <w:rsid w:val="00771C16"/>
    <w:rsid w:val="0077452B"/>
    <w:rsid w:val="0079430A"/>
    <w:rsid w:val="007A56A0"/>
    <w:rsid w:val="007A7AB9"/>
    <w:rsid w:val="007A7DA2"/>
    <w:rsid w:val="007C2419"/>
    <w:rsid w:val="007D2632"/>
    <w:rsid w:val="007F62B2"/>
    <w:rsid w:val="008122B0"/>
    <w:rsid w:val="00817EC0"/>
    <w:rsid w:val="00821AF0"/>
    <w:rsid w:val="00822470"/>
    <w:rsid w:val="008378E3"/>
    <w:rsid w:val="008A13E9"/>
    <w:rsid w:val="008B277B"/>
    <w:rsid w:val="008D1567"/>
    <w:rsid w:val="008D2E3F"/>
    <w:rsid w:val="008D2F24"/>
    <w:rsid w:val="008D31C2"/>
    <w:rsid w:val="008F276F"/>
    <w:rsid w:val="008F602E"/>
    <w:rsid w:val="008F7751"/>
    <w:rsid w:val="0090457B"/>
    <w:rsid w:val="009104B6"/>
    <w:rsid w:val="00915F82"/>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656FA"/>
    <w:rsid w:val="00A77BBA"/>
    <w:rsid w:val="00AA4B93"/>
    <w:rsid w:val="00AC0FD6"/>
    <w:rsid w:val="00AC0FF3"/>
    <w:rsid w:val="00AD53E0"/>
    <w:rsid w:val="00AF2822"/>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F4691"/>
    <w:rsid w:val="00C03C27"/>
    <w:rsid w:val="00C040C9"/>
    <w:rsid w:val="00C13CF9"/>
    <w:rsid w:val="00C21B77"/>
    <w:rsid w:val="00C46A39"/>
    <w:rsid w:val="00C62E73"/>
    <w:rsid w:val="00C70EC0"/>
    <w:rsid w:val="00C87777"/>
    <w:rsid w:val="00CE3778"/>
    <w:rsid w:val="00CF6DBA"/>
    <w:rsid w:val="00D121FC"/>
    <w:rsid w:val="00D14EEB"/>
    <w:rsid w:val="00D175BD"/>
    <w:rsid w:val="00D363CB"/>
    <w:rsid w:val="00D51335"/>
    <w:rsid w:val="00D54AE6"/>
    <w:rsid w:val="00D55BCA"/>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80DAE"/>
    <w:rsid w:val="00E90A3C"/>
    <w:rsid w:val="00EA0BEA"/>
    <w:rsid w:val="00EA314A"/>
    <w:rsid w:val="00EE1CE0"/>
    <w:rsid w:val="00EE4979"/>
    <w:rsid w:val="00EE6BF4"/>
    <w:rsid w:val="00F21E4B"/>
    <w:rsid w:val="00F36BA7"/>
    <w:rsid w:val="00F54EBD"/>
    <w:rsid w:val="00F65566"/>
    <w:rsid w:val="00F7057B"/>
    <w:rsid w:val="00F81EB4"/>
    <w:rsid w:val="00F91BBA"/>
    <w:rsid w:val="00F94327"/>
    <w:rsid w:val="00FB3EAC"/>
    <w:rsid w:val="00FC0C8B"/>
    <w:rsid w:val="00FC378D"/>
    <w:rsid w:val="00FD5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1963</Words>
  <Characters>11195</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Dimitris Dimitriadis</cp:lastModifiedBy>
  <cp:revision>5</cp:revision>
  <cp:lastPrinted>2021-01-25T10:29:00Z</cp:lastPrinted>
  <dcterms:created xsi:type="dcterms:W3CDTF">2021-04-01T05:34:00Z</dcterms:created>
  <dcterms:modified xsi:type="dcterms:W3CDTF">2021-04-13T16:02:00Z</dcterms:modified>
</cp:coreProperties>
</file>