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D9C5A" w14:textId="5304DB99" w:rsidR="00FC0C31" w:rsidRPr="00BC7E53" w:rsidRDefault="00A741E7">
      <w:pPr>
        <w:pStyle w:val="VorblattDokumentstatus"/>
      </w:pPr>
      <w:bookmarkStart w:id="0" w:name="ENORM_STATUS_VORBL"/>
      <w:r>
        <w:t xml:space="preserve">Проектозакон</w:t>
      </w:r>
      <w:bookmarkEnd w:id="0"/>
      <w:r>
        <w:t xml:space="preserve"> </w:t>
      </w:r>
    </w:p>
    <w:p w14:paraId="3E63F25A" w14:textId="77777777" w:rsidR="00FC0C31" w:rsidRPr="00BC7E53" w:rsidRDefault="00FC0C31">
      <w:pPr>
        <w:pStyle w:val="Initiant"/>
      </w:pPr>
      <w:bookmarkStart w:id="1" w:name="ENORM_INITIANTEN"/>
      <w:r>
        <w:t xml:space="preserve">на федералното правителство</w:t>
      </w:r>
      <w:bookmarkEnd w:id="1"/>
    </w:p>
    <w:p w14:paraId="1B552F61" w14:textId="77777777" w:rsidR="00FC0C31" w:rsidRPr="00BC7E53" w:rsidRDefault="00FC0C31">
      <w:pPr>
        <w:pStyle w:val="VorblattBezeichnung"/>
      </w:pPr>
      <w:r>
        <w:t xml:space="preserve">Трета наредба за изменение на Наредбата за измерване и калибриране</w:t>
      </w:r>
    </w:p>
    <w:p w14:paraId="6AA3A47A" w14:textId="77777777" w:rsidR="00FC0C31" w:rsidRPr="00BC7E53" w:rsidRDefault="00FC0C31">
      <w:pPr>
        <w:pStyle w:val="VorblattTitelProblemundZiel"/>
      </w:pPr>
      <w:r>
        <w:t xml:space="preserve">А. Проблем и цел</w:t>
      </w:r>
    </w:p>
    <w:p w14:paraId="22E9C7D8" w14:textId="77777777" w:rsidR="008D0803" w:rsidRPr="00BC7E53" w:rsidRDefault="008D0803" w:rsidP="008D0803">
      <w:r>
        <w:t xml:space="preserve">Наредбата за измерване и калибриране [Mess- und Eichverordnung – MessEV] влезе в сила на 1 януари 2015 г. и допълва новата правна рамка, въведена със Закона за измерване и калибриране [Mess- und Eichgesetz].</w:t>
      </w:r>
    </w:p>
    <w:p w14:paraId="7DA4760B" w14:textId="77777777" w:rsidR="008D0803" w:rsidRPr="00BC7E53" w:rsidRDefault="008D0803" w:rsidP="008D0803">
      <w:r>
        <w:t xml:space="preserve">Експлоатационният срок на измервателните уреди в рамките на Закона за измерване и калибриране се определя от периода, в който те предоставят надеждни резултати въз основа на технически и научни познания.</w:t>
      </w:r>
      <w:r>
        <w:t xml:space="preserve"> </w:t>
      </w:r>
      <w:r>
        <w:t xml:space="preserve">Тази времева рамка зависи от стареенето на компонентите на измервателния уред и от външни влияния (напр. качеството на водата).</w:t>
      </w:r>
      <w:r>
        <w:t xml:space="preserve"> </w:t>
      </w:r>
      <w:r>
        <w:t xml:space="preserve">Това се прилага за определяне на различни периоди на калибриране за отделните видове измервателни уреди.</w:t>
      </w:r>
      <w:r>
        <w:t xml:space="preserve"> </w:t>
      </w:r>
      <w:r>
        <w:t xml:space="preserve">Това може да постави бреме върху гражданите и бизнеса в определени области.</w:t>
      </w:r>
      <w:r>
        <w:t xml:space="preserve"> </w:t>
      </w:r>
    </w:p>
    <w:p w14:paraId="29517643" w14:textId="765B3CF8" w:rsidR="009D42DC" w:rsidRPr="00BC7E53" w:rsidRDefault="009D42DC" w:rsidP="009D42DC">
      <w:pPr>
        <w:pStyle w:val="Text"/>
        <w:rPr>
          <w:rStyle w:val="Marker"/>
          <w:color w:val="auto"/>
        </w:rPr>
      </w:pPr>
      <w:r>
        <w:rPr>
          <w:rStyle w:val="Marker"/>
          <w:color w:val="auto"/>
        </w:rPr>
        <w:t xml:space="preserve">За енергийните комунални услуги е въведено конкурентно предоставяне на услуги за доставка на електроенергия и газ, въз основа на Европейското законодателство от 1998 г. („Първият пакет за вътрешния пазар“).</w:t>
      </w:r>
      <w:r>
        <w:rPr>
          <w:rStyle w:val="Marker"/>
          <w:color w:val="auto"/>
        </w:rPr>
        <w:t xml:space="preserve"> </w:t>
      </w:r>
      <w:r>
        <w:rPr>
          <w:rStyle w:val="Marker"/>
          <w:color w:val="auto"/>
        </w:rPr>
        <w:t xml:space="preserve">Когато пазарите бяха отворени, по-специално задачата за установяване на сигурност на доставките беше прехвърлена в областта на отговорността на участниците на пазара съгласно частното право.</w:t>
      </w:r>
      <w:r>
        <w:rPr>
          <w:rStyle w:val="Marker"/>
          <w:color w:val="auto"/>
        </w:rPr>
        <w:t xml:space="preserve"> </w:t>
      </w:r>
      <w:r>
        <w:rPr>
          <w:rStyle w:val="Marker"/>
          <w:color w:val="auto"/>
        </w:rPr>
        <w:t xml:space="preserve">Регламентите, които са диференцирани съгласно Европейското право, съдържат разпоредби, които имат за цел по-специално да гарантират, че участниците на пазара са подложени на пълен контрол на всички свои дейности (в електроенергийния сектор на всяко тримесечие от час, ежедневно в газовия сектор).</w:t>
      </w:r>
      <w:r>
        <w:rPr>
          <w:rStyle w:val="Marker"/>
          <w:color w:val="auto"/>
        </w:rPr>
        <w:t xml:space="preserve"> </w:t>
      </w:r>
      <w:r>
        <w:rPr>
          <w:rStyle w:val="Marker"/>
          <w:color w:val="auto"/>
        </w:rPr>
        <w:t xml:space="preserve">Това ефективно предотвратява едностранната търговска оптимизация за сметка на сигурността на доставките.</w:t>
      </w:r>
    </w:p>
    <w:p w14:paraId="752CFE90" w14:textId="4AB598DA" w:rsidR="004630D3" w:rsidRPr="00BC7E53" w:rsidRDefault="009D42DC" w:rsidP="004630D3">
      <w:pPr>
        <w:rPr>
          <w:rStyle w:val="Marker"/>
          <w:color w:val="auto"/>
        </w:rPr>
      </w:pPr>
      <w:r>
        <w:rPr>
          <w:rStyle w:val="Marker"/>
          <w:color w:val="auto"/>
        </w:rPr>
        <w:t xml:space="preserve">Компенсирането, което се извършва ежедневно в енергийната промишленост за тази цел, обикновено се определя от закона или нормативните инструменти или се основава на Европейското право.</w:t>
      </w:r>
      <w:r>
        <w:rPr>
          <w:rStyle w:val="Marker"/>
          <w:color w:val="auto"/>
        </w:rPr>
        <w:t xml:space="preserve"> </w:t>
      </w:r>
      <w:r>
        <w:rPr>
          <w:rStyle w:val="Marker"/>
          <w:color w:val="auto"/>
        </w:rPr>
        <w:t xml:space="preserve">Тези специални правни разпоредби водят до значителна правна несигурност по отношение на закона за измерването и калибрирането.</w:t>
      </w:r>
      <w:r>
        <w:rPr>
          <w:rStyle w:val="Marker"/>
          <w:color w:val="auto"/>
        </w:rPr>
        <w:t xml:space="preserve"> </w:t>
      </w:r>
      <w:r>
        <w:rPr>
          <w:rStyle w:val="Marker"/>
          <w:color w:val="auto"/>
        </w:rPr>
        <w:t xml:space="preserve">Съгласно член 25 от Наредбата за измерване и калибриране, измерените променливи, чиито стойности са формирани като сума, разлика, продукт или коефициент от измерени стойности, могат да бъдат определени или използвани, само ако Комитетът за определяне на правилото е определил правило, което определя допустимите отклонения на стойностите от истинските стойности.</w:t>
      </w:r>
      <w:r>
        <w:rPr>
          <w:rStyle w:val="Marker"/>
          <w:color w:val="auto"/>
        </w:rPr>
        <w:t xml:space="preserve"> </w:t>
      </w:r>
      <w:r>
        <w:rPr>
          <w:rStyle w:val="Marker"/>
          <w:color w:val="auto"/>
        </w:rPr>
        <w:t xml:space="preserve">Такова правило обаче все още не е установено за голям брой ситуации, при които измерените стойности трябва да бъдат компенсирани в енергийната промишленост.</w:t>
      </w:r>
      <w:r>
        <w:rPr>
          <w:rStyle w:val="Marker"/>
          <w:color w:val="auto"/>
        </w:rPr>
        <w:t xml:space="preserve"> </w:t>
      </w:r>
      <w:r>
        <w:rPr>
          <w:rStyle w:val="Marker"/>
          <w:color w:val="auto"/>
        </w:rPr>
        <w:t xml:space="preserve">В някои случаи например, когато стойностите на разликите трябва да бъдат изчислени, вече е математически невъзможно да се компенсират измерените стойности в законовите граници на грешките на съответните измервателни уреди.</w:t>
      </w:r>
      <w:r>
        <w:rPr>
          <w:rStyle w:val="Marker"/>
          <w:color w:val="auto"/>
        </w:rPr>
        <w:t xml:space="preserve"> </w:t>
      </w:r>
    </w:p>
    <w:p w14:paraId="7755F01F" w14:textId="1EE008C7" w:rsidR="009D42DC" w:rsidRPr="00BC7E53" w:rsidRDefault="008E5F96" w:rsidP="008E5F96">
      <w:pPr>
        <w:pStyle w:val="Text"/>
      </w:pPr>
      <w:r>
        <w:rPr>
          <w:rStyle w:val="Marker"/>
          <w:color w:val="auto"/>
        </w:rPr>
        <w:t xml:space="preserve">За да се вземе това предвид е необходимо измерените стойности в енергийния сектор също да могат да бъдат компенсирани без правило, постановено от Комитета за регулаторно определяне.</w:t>
      </w:r>
    </w:p>
    <w:p w14:paraId="36E9CCC6" w14:textId="77777777" w:rsidR="00FC0C31" w:rsidRPr="00BC7E53" w:rsidRDefault="00FC0C31">
      <w:pPr>
        <w:pStyle w:val="VorblattTitelLsung"/>
      </w:pPr>
      <w:r>
        <w:t xml:space="preserve">Б. Решение</w:t>
      </w:r>
    </w:p>
    <w:p w14:paraId="426196FB" w14:textId="167411FF" w:rsidR="00766090" w:rsidRPr="00BC7E53" w:rsidRDefault="00BA2149" w:rsidP="00766090">
      <w:r>
        <w:t xml:space="preserve">Различните периоди на калибриране (гореща вода и топломери, постояннотокови измервателни уреди) трябва да бъдат удължени, за да се облекчи тежестта върху бизнеса и потребителите.</w:t>
      </w:r>
    </w:p>
    <w:p w14:paraId="7DE328CB" w14:textId="2BDF7D60" w:rsidR="008750B8" w:rsidRPr="00BC7E53" w:rsidRDefault="008750B8" w:rsidP="00766090">
      <w:r>
        <w:t xml:space="preserve">Създава се освобождаване от използването на измервателни уреди за отработени газове.</w:t>
      </w:r>
      <w:r>
        <w:t xml:space="preserve"> </w:t>
      </w:r>
    </w:p>
    <w:p w14:paraId="34E9E6DD" w14:textId="58D210FC" w:rsidR="009D42DC" w:rsidRPr="00BC7E53" w:rsidRDefault="009D42DC" w:rsidP="00766090">
      <w:r>
        <w:t xml:space="preserve">Изключения се създават за използване на измерени стойности в енергийния сектор.</w:t>
      </w:r>
    </w:p>
    <w:p w14:paraId="0C4A714C" w14:textId="2654A386" w:rsidR="00FC0C31" w:rsidRPr="00BC7E53" w:rsidRDefault="00FC0C31" w:rsidP="00B939FA">
      <w:pPr>
        <w:pStyle w:val="VorblattTitelAlternativen"/>
        <w:tabs>
          <w:tab w:val="left" w:pos="7136"/>
        </w:tabs>
      </w:pPr>
      <w:r>
        <w:t xml:space="preserve">В. Алтернативи</w:t>
      </w:r>
      <w:r>
        <w:tab/>
      </w:r>
    </w:p>
    <w:p w14:paraId="1EE92F40" w14:textId="77777777" w:rsidR="00FC0C31" w:rsidRPr="00BC7E53" w:rsidRDefault="002C0021" w:rsidP="00AA4D0B">
      <w:pPr>
        <w:pStyle w:val="Text"/>
      </w:pPr>
      <w:r>
        <w:rPr>
          <w:rStyle w:val="Marker"/>
          <w:color w:val="auto"/>
        </w:rPr>
        <w:t xml:space="preserve">Няма.</w:t>
      </w:r>
      <w:r>
        <w:rPr>
          <w:rStyle w:val="Marker"/>
          <w:color w:val="auto"/>
        </w:rPr>
        <w:t xml:space="preserve"> </w:t>
      </w:r>
    </w:p>
    <w:p w14:paraId="72C67E64" w14:textId="77777777" w:rsidR="00FC0C31" w:rsidRPr="00BC7E53" w:rsidRDefault="00FC0C31" w:rsidP="00AA4D0B">
      <w:pPr>
        <w:pStyle w:val="VorblattTitelHaushaltsausgabenohneErfllungsaufwand"/>
      </w:pPr>
      <w:r>
        <w:t xml:space="preserve">Г. Бюджетни разходи без разходи за съответствие</w:t>
      </w:r>
    </w:p>
    <w:p w14:paraId="43EBC1DB" w14:textId="77777777" w:rsidR="00FC0C31" w:rsidRPr="00BC7E53" w:rsidRDefault="002C0021" w:rsidP="00AA4D0B">
      <w:pPr>
        <w:pStyle w:val="Text"/>
        <w:rPr>
          <w:rStyle w:val="Marker"/>
          <w:color w:val="auto"/>
        </w:rPr>
      </w:pPr>
      <w:r>
        <w:rPr>
          <w:rStyle w:val="Marker"/>
          <w:color w:val="auto"/>
        </w:rPr>
        <w:t xml:space="preserve">Няма преки бюджетни разходи без покриване на разходите за федерално, държавно и местно управление.</w:t>
      </w:r>
    </w:p>
    <w:p w14:paraId="4678CE64" w14:textId="77777777" w:rsidR="00FC0C31" w:rsidRPr="00BC7E53" w:rsidRDefault="00FC0C31" w:rsidP="00AA4D0B">
      <w:pPr>
        <w:pStyle w:val="VorblattTitelErfllungsaufwand"/>
      </w:pPr>
      <w:r>
        <w:t xml:space="preserve">Д. Разходи за съответствие</w:t>
      </w:r>
    </w:p>
    <w:p w14:paraId="2392B862" w14:textId="77777777" w:rsidR="00FC0C31" w:rsidRPr="00BC7E53" w:rsidRDefault="00FC0C31" w:rsidP="00AA4D0B">
      <w:pPr>
        <w:pStyle w:val="VorblattTitelErfllungsaufwandBrgerinnenundBrger"/>
      </w:pPr>
      <w:r>
        <w:t xml:space="preserve">Д.1 Разходи за спазване на законодателството за гражданите</w:t>
      </w:r>
    </w:p>
    <w:p w14:paraId="4EB84A36" w14:textId="4606A603" w:rsidR="00FC0C31" w:rsidRPr="00BC7E53" w:rsidRDefault="002C0021" w:rsidP="00AA4D0B">
      <w:pPr>
        <w:pStyle w:val="Text"/>
        <w:rPr>
          <w:rStyle w:val="Marker"/>
          <w:color w:val="auto"/>
        </w:rPr>
      </w:pPr>
      <w:r>
        <w:rPr>
          <w:rStyle w:val="Marker"/>
          <w:color w:val="auto"/>
        </w:rPr>
        <w:t xml:space="preserve">Гражданите не поемат никакви допълнителни разходи за спазване на изискванията.</w:t>
      </w:r>
      <w:r>
        <w:rPr>
          <w:rStyle w:val="Marker"/>
          <w:color w:val="auto"/>
        </w:rPr>
        <w:t xml:space="preserve"> </w:t>
      </w:r>
      <w:r>
        <w:rPr>
          <w:rStyle w:val="Marker"/>
          <w:color w:val="auto"/>
        </w:rPr>
        <w:t xml:space="preserve">Стандартизацията на периодите на калибриране на топлина и вода ги освобождава от тежестта, тъй като заместващите дати на топлина, топла и студена вода вече могат да бъдат стандартизирани.</w:t>
      </w:r>
      <w:r>
        <w:rPr>
          <w:rStyle w:val="Marker"/>
          <w:color w:val="auto"/>
        </w:rPr>
        <w:t xml:space="preserve"> </w:t>
      </w:r>
    </w:p>
    <w:p w14:paraId="0F03E5D1" w14:textId="77777777" w:rsidR="00FC0C31" w:rsidRPr="00BC7E53" w:rsidRDefault="00FC0C31" w:rsidP="00AA4D0B">
      <w:pPr>
        <w:pStyle w:val="VorblattTitelErfllungsaufwandWirtschaft"/>
      </w:pPr>
      <w:r>
        <w:t xml:space="preserve">Д.2 Разходи на предприятията за спазване на изискванията</w:t>
      </w:r>
    </w:p>
    <w:p w14:paraId="2394417E" w14:textId="509BF4B0" w:rsidR="002C0021" w:rsidRPr="00BC7E53" w:rsidRDefault="002C0021" w:rsidP="002C0021">
      <w:pPr>
        <w:pStyle w:val="Text"/>
        <w:rPr>
          <w:rStyle w:val="Marker"/>
          <w:color w:val="auto"/>
        </w:rPr>
      </w:pPr>
      <w:r>
        <w:rPr>
          <w:rStyle w:val="Marker"/>
          <w:color w:val="auto"/>
        </w:rPr>
        <w:t xml:space="preserve">Не възникват разходи за съответствие за предприятията като част от изменението на Наредбата за измерване и калибриране.</w:t>
      </w:r>
    </w:p>
    <w:p w14:paraId="485862A3" w14:textId="77777777" w:rsidR="00E858F5" w:rsidRPr="00BC7E53" w:rsidRDefault="00E858F5" w:rsidP="002C0021">
      <w:pPr>
        <w:pStyle w:val="Text"/>
        <w:rPr>
          <w:rStyle w:val="Marker"/>
          <w:color w:val="auto"/>
        </w:rPr>
      </w:pPr>
      <w:r>
        <w:rPr>
          <w:rStyle w:val="Marker"/>
          <w:color w:val="auto"/>
        </w:rPr>
        <w:t xml:space="preserve">Създаването на освобождаване от употреба елиминира двойното изпитване на измервателните уреди за измерване на отработени газове.</w:t>
      </w:r>
      <w:r>
        <w:rPr>
          <w:rStyle w:val="Marker"/>
          <w:color w:val="auto"/>
        </w:rPr>
        <w:t xml:space="preserve"> </w:t>
      </w:r>
      <w:r>
        <w:rPr>
          <w:rStyle w:val="Marker"/>
          <w:color w:val="auto"/>
        </w:rPr>
        <w:t xml:space="preserve">Не се изисква годишно калибриране; това ще премахне таксите за калибриране за повече от 65 000 измервателни уреда, използвани за изпитването на емисиите на отработени газове.</w:t>
      </w:r>
      <w:r>
        <w:rPr>
          <w:rStyle w:val="Marker"/>
          <w:color w:val="auto"/>
        </w:rPr>
        <w:t xml:space="preserve"> </w:t>
      </w:r>
    </w:p>
    <w:p w14:paraId="09A14BF4" w14:textId="64FFE746" w:rsidR="00FC0C31" w:rsidRPr="00BC7E53" w:rsidRDefault="002C0021" w:rsidP="002C0021">
      <w:pPr>
        <w:pStyle w:val="Text"/>
        <w:rPr>
          <w:rStyle w:val="Marker"/>
          <w:color w:val="auto"/>
        </w:rPr>
      </w:pPr>
      <w:r>
        <w:rPr>
          <w:rStyle w:val="Marker"/>
          <w:color w:val="auto"/>
        </w:rPr>
        <w:t xml:space="preserve">Няма разпоредби относно изискванията за информация за предприятията.</w:t>
      </w:r>
    </w:p>
    <w:p w14:paraId="0BEB8691" w14:textId="77777777" w:rsidR="00FC0C31" w:rsidRPr="00BC7E53" w:rsidRDefault="00FC0C31" w:rsidP="00AA4D0B">
      <w:pPr>
        <w:pStyle w:val="VorblattTitelErfllungsaufwandVerwaltung"/>
      </w:pPr>
      <w:r>
        <w:t xml:space="preserve">Д.3 Административни разходи за съответствие</w:t>
      </w:r>
    </w:p>
    <w:p w14:paraId="6596219F" w14:textId="77777777" w:rsidR="00FC0C31" w:rsidRPr="00BC7E53" w:rsidRDefault="00A673DF" w:rsidP="00AA4D0B">
      <w:pPr>
        <w:pStyle w:val="Text"/>
      </w:pPr>
      <w:bookmarkStart w:id="2" w:name="_Hlk55401260"/>
      <w:r>
        <w:t xml:space="preserve">Няма допълнителни разходи за съответствие.</w:t>
      </w:r>
      <w:bookmarkEnd w:id="2"/>
    </w:p>
    <w:p w14:paraId="4B94AC66" w14:textId="77777777" w:rsidR="00FC0C31" w:rsidRPr="00BC7E53" w:rsidRDefault="00FC0C31" w:rsidP="00AA4D0B">
      <w:pPr>
        <w:pStyle w:val="VorblattTitelWeitereKosten"/>
      </w:pPr>
      <w:r>
        <w:t xml:space="preserve">Е. Други разходи</w:t>
      </w:r>
    </w:p>
    <w:p w14:paraId="11021F2B" w14:textId="77777777" w:rsidR="00FC0C31" w:rsidRPr="00BC7E53" w:rsidRDefault="00A673DF" w:rsidP="00AA4D0B">
      <w:pPr>
        <w:pStyle w:val="Text"/>
      </w:pPr>
      <w:bookmarkStart w:id="3" w:name="_Hlk55401290"/>
      <w:r>
        <w:t xml:space="preserve">Не се очакват ефекти върху ценовите нива, особено нивата на потребителските цени.</w:t>
      </w:r>
      <w:bookmarkEnd w:id="3"/>
    </w:p>
    <w:p w14:paraId="1972657A" w14:textId="77777777" w:rsidR="00FC0C31" w:rsidRPr="00BC7E53" w:rsidRDefault="00FC0C31" w:rsidP="00FC0C31">
      <w:pPr>
        <w:sectPr w:rsidR="00FC0C31" w:rsidRPr="00BC7E53" w:rsidSect="00764D01">
          <w:headerReference w:type="default" r:id="rId8"/>
          <w:headerReference w:type="first" r:id="rId9"/>
          <w:pgSz w:w="11907" w:h="16839"/>
          <w:pgMar w:top="1134" w:right="1417" w:bottom="1134" w:left="1701" w:header="709" w:footer="709" w:gutter="0"/>
          <w:pgNumType w:start="1"/>
          <w:cols w:space="708"/>
          <w:titlePg/>
          <w:docGrid w:linePitch="360"/>
        </w:sectPr>
      </w:pPr>
    </w:p>
    <w:p w14:paraId="54ABBD48" w14:textId="77777777" w:rsidR="00FC0C31" w:rsidRPr="00BC7E53" w:rsidRDefault="00FC0C31" w:rsidP="00AA4D0B">
      <w:pPr>
        <w:pStyle w:val="Dokumentstatus"/>
      </w:pPr>
      <w:bookmarkStart w:id="4" w:name="ENORM_STATUS_REGL"/>
      <w:r>
        <w:t xml:space="preserve">Проектозакон</w:t>
      </w:r>
      <w:bookmarkEnd w:id="4"/>
      <w:r>
        <w:t xml:space="preserve"> на федералното правителство</w:t>
      </w:r>
    </w:p>
    <w:p w14:paraId="5B894354" w14:textId="77777777" w:rsidR="00FC0C31" w:rsidRPr="00BC7E53" w:rsidRDefault="00FC0C31" w:rsidP="00AA4D0B">
      <w:pPr>
        <w:pStyle w:val="Bezeichnungnderungsdokument"/>
      </w:pPr>
      <w:r>
        <w:t xml:space="preserve">Трета наредба за изменение на Наредбата за измерване и калибриране</w:t>
      </w:r>
      <w:r>
        <w:rPr>
          <w:rStyle w:val="FootnoteReference"/>
        </w:rPr>
        <w:footnoteReference w:customMarkFollows="1" w:id="1"/>
        <w:t xml:space="preserve">*</w:t>
      </w:r>
      <w:r>
        <w:rPr>
          <w:rStyle w:val="FootnoteReference"/>
          <w:vertAlign w:val="baseline"/>
        </w:rPr>
        <w:t xml:space="preserve">)</w:t>
      </w:r>
      <w:r>
        <w:rPr>
          <w:rStyle w:val="FootnoteReference"/>
          <w:vertAlign w:val="baseline"/>
        </w:rPr>
        <w:t xml:space="preserve">)</w:t>
      </w:r>
      <w:r>
        <w:t xml:space="preserve"> </w:t>
      </w:r>
    </w:p>
    <w:p w14:paraId="3BE8D4FE" w14:textId="77777777" w:rsidR="00FC0C31" w:rsidRPr="00BC7E53" w:rsidRDefault="00FC0C31" w:rsidP="00AA4D0B">
      <w:pPr>
        <w:pStyle w:val="Ausfertigungsdatumnderungsdokument"/>
      </w:pPr>
      <w:r>
        <w:t xml:space="preserve">от дата...</w:t>
      </w:r>
    </w:p>
    <w:p w14:paraId="6E3FE831" w14:textId="4202D71E" w:rsidR="00FC0C31" w:rsidRPr="00BC7E53" w:rsidRDefault="00FC0C31" w:rsidP="00AA4D0B">
      <w:pPr>
        <w:pStyle w:val="EingangsformelStandardnderungsdokument"/>
      </w:pPr>
      <w:r>
        <w:t xml:space="preserve">Въз основа на член 4, параграф 3, член 30, параграфи 1, 3 и 4 и член 41, параграфи 2 и 6 от Закона за измерването и калибрирането от 25 юли 2013 г. (Държавен вестник I стр. 2722 и 2723), от които член 41, параграф 2 е изменен с член 1, параграф 4 от Акта от 11 април 2016 г. (Държавен вестник I стр. 718), </w:t>
      </w:r>
      <w:r>
        <w:rPr>
          <w:rStyle w:val="Marker"/>
          <w:color w:val="auto"/>
        </w:rPr>
        <w:t xml:space="preserve">Федералното правителство </w:t>
      </w:r>
      <w:r>
        <w:t xml:space="preserve">постанови:</w:t>
      </w:r>
    </w:p>
    <w:p w14:paraId="24BB8A6D" w14:textId="1CEAFE67" w:rsidR="00FC0C31" w:rsidRPr="00BC7E53" w:rsidRDefault="009E3EEA" w:rsidP="00456835">
      <w:pPr>
        <w:pStyle w:val="ArtikelBezeichner"/>
        <w:numPr>
          <w:ilvl w:val="0"/>
          <w:numId w:val="0"/>
        </w:numPr>
        <w:ind w:left="720"/>
      </w:pPr>
      <w:bookmarkStart w:id="5" w:name="eNV_7FCBA5BA05084FA0AA49C3244A49F5FB_1"/>
      <w:bookmarkEnd w:id="5"/>
      <w:r>
        <w:t xml:space="preserve">Член 1</w:t>
      </w:r>
    </w:p>
    <w:p w14:paraId="08D0AA06" w14:textId="43283680" w:rsidR="00FC0C31" w:rsidRPr="00BC7E53" w:rsidRDefault="00FC0C31" w:rsidP="00AA4D0B">
      <w:pPr>
        <w:pStyle w:val="JuristischerAbsatznichtnummeriert"/>
        <w:rPr>
          <w:rStyle w:val="Marker"/>
          <w:color w:val="auto"/>
        </w:rPr>
      </w:pPr>
      <w:r>
        <w:rPr>
          <w:rStyle w:val="Marker"/>
          <w:color w:val="auto"/>
        </w:rPr>
        <w:t xml:space="preserve">Наредбата за измерване и калибриране от 11 декември 2014 г. (Държавен вестник I стр. 2010 и 2011), последно изменен с Член 12б от Акта от 28 април 2020 г. (Държавен вестник I стр. 960) се изменя, както следва:</w:t>
      </w:r>
    </w:p>
    <w:p w14:paraId="4E7FD35F" w14:textId="77777777" w:rsidR="00A512AB" w:rsidRPr="00BC7E53" w:rsidRDefault="00A512AB" w:rsidP="00534C20">
      <w:pPr>
        <w:pStyle w:val="NummerierungStufe1"/>
      </w:pPr>
      <w:r>
        <w:t xml:space="preserve">член</w:t>
      </w:r>
      <w:bookmarkStart w:id="6" w:name="eNV_6A78A3CA6112402D83E834A02DA5D47C_1"/>
      <w:bookmarkEnd w:id="6"/>
      <w:r>
        <w:t xml:space="preserve"> 1 се изменя както следва:</w:t>
      </w:r>
      <w:r>
        <w:t xml:space="preserve"> </w:t>
      </w:r>
    </w:p>
    <w:p w14:paraId="3CE15ED8" w14:textId="4CD24EEE" w:rsidR="00CB5C59" w:rsidRDefault="00CB5C59" w:rsidP="00567F84">
      <w:pPr>
        <w:pStyle w:val="NummerierungStufe2"/>
      </w:pPr>
      <w:r>
        <w:t xml:space="preserve">Изречение</w:t>
      </w:r>
      <w:bookmarkStart w:id="7" w:name="eNV_329AF56EFF5D46F3A3D8B4CEA4EB37B3_1"/>
      <w:bookmarkEnd w:id="7"/>
      <w:r>
        <w:t xml:space="preserve"> 1 от параграф 2 се изменя както следва:</w:t>
      </w:r>
      <w:r>
        <w:t xml:space="preserve"> </w:t>
      </w:r>
    </w:p>
    <w:p w14:paraId="372C809B" w14:textId="4A57D74F" w:rsidR="00CB5C59" w:rsidRDefault="00CB5C59" w:rsidP="00CB5C59">
      <w:pPr>
        <w:pStyle w:val="NummerierungStufe3"/>
      </w:pPr>
      <w:r>
        <w:t xml:space="preserve">Следната точка</w:t>
      </w:r>
      <w:bookmarkStart w:id="8" w:name="eNV_13C193E02BDB4564A676E8E3F34775C6_1"/>
      <w:bookmarkEnd w:id="8"/>
      <w:r>
        <w:t xml:space="preserve">2 се вмъква след точка 1:</w:t>
      </w:r>
      <w:r>
        <w:t xml:space="preserve"> </w:t>
      </w:r>
    </w:p>
    <w:p w14:paraId="26EBBECD" w14:textId="2BDF977C" w:rsidR="00CB5C59" w:rsidRPr="00CB5C59" w:rsidRDefault="00CB5C59" w:rsidP="00CB5C59">
      <w:pPr>
        <w:pStyle w:val="RevisionNummerierungFolgeabsatzStufe2"/>
        <w:tabs>
          <w:tab w:val="left" w:pos="1276"/>
          <w:tab w:val="left" w:pos="1843"/>
        </w:tabs>
        <w:ind w:left="1843" w:hanging="993"/>
        <w:rPr>
          <w:color w:val="auto"/>
        </w:rPr>
      </w:pPr>
      <w:r>
        <w:rPr>
          <w:color w:val="auto"/>
        </w:rPr>
        <w:t xml:space="preserve">„2.</w:t>
      </w:r>
      <w:r>
        <w:rPr>
          <w:color w:val="auto"/>
        </w:rPr>
        <w:tab/>
      </w:r>
      <w:r>
        <w:rPr>
          <w:color w:val="auto"/>
        </w:rPr>
        <w:t xml:space="preserve">за определяне на масата за анализи в медицински лаборатории,“</w:t>
      </w:r>
    </w:p>
    <w:p w14:paraId="436C0682" w14:textId="0A90B06B" w:rsidR="00CB5C59" w:rsidRDefault="00CB5C59" w:rsidP="00CB5C59">
      <w:pPr>
        <w:pStyle w:val="NummerierungStufe3"/>
      </w:pPr>
      <w:r>
        <w:t xml:space="preserve">Предишните точки</w:t>
      </w:r>
      <w:bookmarkStart w:id="9" w:name="eNV_8D25388BD7FD46D5BEC05E99F5369BF5_1"/>
      <w:bookmarkEnd w:id="9"/>
      <w:r>
        <w:t xml:space="preserve">от 2 до 5 стават точки от 3 до 6.</w:t>
      </w:r>
    </w:p>
    <w:p w14:paraId="4CAEA359" w14:textId="139F795B" w:rsidR="00B33A4D" w:rsidRDefault="00B33A4D" w:rsidP="00CB5C59">
      <w:pPr>
        <w:pStyle w:val="NummerierungStufe3"/>
      </w:pPr>
      <w:r>
        <w:t xml:space="preserve">Новата</w:t>
      </w:r>
      <w:bookmarkStart w:id="10" w:name="eNV_5F3FF24AB6DD42D295C681273A1B849B_1"/>
      <w:bookmarkEnd w:id="10"/>
      <w:r>
        <w:t xml:space="preserve">точка 3 се изменя както следва:</w:t>
      </w:r>
    </w:p>
    <w:p w14:paraId="40F212DC" w14:textId="2FF1F05D" w:rsidR="00567F84" w:rsidRDefault="00B33A4D" w:rsidP="00B33A4D">
      <w:pPr>
        <w:pStyle w:val="NummerierungStufe4"/>
      </w:pPr>
      <w:r>
        <w:t xml:space="preserve">В</w:t>
      </w:r>
      <w:bookmarkStart w:id="11" w:name="eNV_E8B5BC1DB7034866AF8C59B6F459C02F_1"/>
      <w:bookmarkEnd w:id="11"/>
      <w:r>
        <w:t xml:space="preserve">първата част на изречението, след думата </w:t>
      </w:r>
      <w:r>
        <w:rPr>
          <w:rStyle w:val="RevisionText"/>
          <w:color w:val="auto"/>
        </w:rPr>
        <w:t xml:space="preserve">„температура“</w:t>
      </w:r>
      <w:r>
        <w:t xml:space="preserve">, запетайката се заменя с думата</w:t>
      </w:r>
      <w:r>
        <w:rPr>
          <w:rStyle w:val="RevisionText"/>
          <w:color w:val="auto"/>
        </w:rPr>
        <w:t xml:space="preserve"> „и“ </w:t>
      </w:r>
      <w:r>
        <w:t xml:space="preserve">и след думата </w:t>
      </w:r>
      <w:r>
        <w:rPr>
          <w:rStyle w:val="RevisionText"/>
          <w:color w:val="auto"/>
        </w:rPr>
        <w:t xml:space="preserve">„плътност“</w:t>
      </w:r>
      <w:r>
        <w:t xml:space="preserve"> се изтриват думите </w:t>
      </w:r>
      <w:r>
        <w:rPr>
          <w:rStyle w:val="RevisionText"/>
          <w:color w:val="auto"/>
        </w:rPr>
        <w:t xml:space="preserve">„и от съдържанието“ </w:t>
      </w:r>
      <w:r>
        <w:t xml:space="preserve">.</w:t>
      </w:r>
    </w:p>
    <w:p w14:paraId="5D05B9F9" w14:textId="2775F6A1" w:rsidR="00B33A4D" w:rsidRPr="00BC7E53" w:rsidRDefault="00B33A4D" w:rsidP="00B33A4D">
      <w:pPr>
        <w:pStyle w:val="NummerierungStufe4"/>
      </w:pPr>
      <w:r>
        <w:t xml:space="preserve">В</w:t>
      </w:r>
      <w:bookmarkStart w:id="12" w:name="eNV_BDF4E1C8870340678D72CCE33AFFD072_1"/>
      <w:bookmarkEnd w:id="12"/>
      <w:r>
        <w:t xml:space="preserve">буква б), думите „медицински и“ се изтриват.</w:t>
      </w:r>
    </w:p>
    <w:p w14:paraId="4817531D" w14:textId="59492593" w:rsidR="008D4A10" w:rsidRPr="00BC7E53" w:rsidRDefault="008D4A10" w:rsidP="00A512AB">
      <w:pPr>
        <w:pStyle w:val="NummerierungStufe2"/>
      </w:pPr>
      <w:r>
        <w:t xml:space="preserve">В</w:t>
      </w:r>
      <w:bookmarkStart w:id="13" w:name="eNV_FD7FA4F10C134DFF98B25D274FACEB68_1"/>
      <w:bookmarkEnd w:id="13"/>
      <w:r>
        <w:t xml:space="preserve">параграф 5, точка 4, думите </w:t>
      </w:r>
      <w:r>
        <w:rPr>
          <w:rStyle w:val="RevisionText"/>
          <w:color w:val="auto"/>
        </w:rPr>
        <w:t xml:space="preserve">„на преносими електроизмервателни уреди“ </w:t>
      </w:r>
      <w:r>
        <w:t xml:space="preserve">се заменят с </w:t>
      </w:r>
      <w:r>
        <w:rPr>
          <w:rStyle w:val="RevisionText"/>
          <w:color w:val="auto"/>
        </w:rPr>
        <w:t xml:space="preserve">„за преносими електроизмервателни уреди“</w:t>
      </w:r>
      <w:r>
        <w:t xml:space="preserve">;</w:t>
      </w:r>
    </w:p>
    <w:p w14:paraId="048B745F" w14:textId="1E7AC584" w:rsidR="00F07F19" w:rsidRPr="00BC7E53" w:rsidRDefault="00F07F19" w:rsidP="00534C20">
      <w:pPr>
        <w:pStyle w:val="NummerierungStufe1"/>
      </w:pPr>
      <w:bookmarkStart w:id="14" w:name="eNV_940CC8D269164DCE8BA13138ACB9000F_1"/>
      <w:bookmarkStart w:id="15" w:name="eNV_1C56F9C215C5431F9DFDAB6E452D4B50_1"/>
      <w:bookmarkEnd w:id="14"/>
      <w:bookmarkEnd w:id="15"/>
      <w:r>
        <w:t xml:space="preserve">В член 4, параграф 1, точката в края на точка 7 се заменя със запетая и се добавя следната точка 8:</w:t>
      </w:r>
    </w:p>
    <w:p w14:paraId="51532393" w14:textId="45CC56A7" w:rsidR="00F07F19" w:rsidRPr="00BC7E53" w:rsidRDefault="00F07F19" w:rsidP="00F553AB">
      <w:pPr>
        <w:pStyle w:val="RevisionNummerierungFolgeabsatzStufe2"/>
        <w:ind w:left="1560" w:hanging="710"/>
        <w:rPr>
          <w:color w:val="auto"/>
        </w:rPr>
      </w:pPr>
      <w:r>
        <w:rPr>
          <w:color w:val="auto"/>
        </w:rPr>
        <w:t xml:space="preserve">„8.</w:t>
      </w:r>
      <w:r>
        <w:rPr>
          <w:color w:val="auto"/>
        </w:rPr>
        <w:tab/>
      </w:r>
      <w:r>
        <w:rPr>
          <w:color w:val="auto"/>
        </w:rPr>
        <w:t xml:space="preserve">Принтери за касови бележки за таксиметрови апарати и километражи.“</w:t>
      </w:r>
    </w:p>
    <w:p w14:paraId="772B1081" w14:textId="6D74526D" w:rsidR="002139BB" w:rsidRPr="00BC7E53" w:rsidRDefault="002139BB" w:rsidP="00534C20">
      <w:pPr>
        <w:pStyle w:val="NummerierungStufe1"/>
      </w:pPr>
      <w:r>
        <w:t xml:space="preserve">Член</w:t>
      </w:r>
      <w:bookmarkStart w:id="16" w:name="eNV_45FAE325399A4C98AF9EFF14EDECEEFA_1"/>
      <w:bookmarkEnd w:id="16"/>
      <w:r>
        <w:t xml:space="preserve"> 5, параграф 2 се заменя както следва:</w:t>
      </w:r>
    </w:p>
    <w:p w14:paraId="0CB44E06" w14:textId="115231DB" w:rsidR="002139BB" w:rsidRPr="00BC7E53" w:rsidRDefault="002139BB" w:rsidP="002139BB">
      <w:pPr>
        <w:pStyle w:val="NummerierungStufe2"/>
      </w:pPr>
      <w:r>
        <w:t xml:space="preserve">Изречение</w:t>
      </w:r>
      <w:bookmarkStart w:id="17" w:name="eNV_E859D17DBE8E4A29BB47E8D8F89E71A3_1"/>
      <w:bookmarkEnd w:id="17"/>
      <w:r>
        <w:t xml:space="preserve">1 се заменя както следва:</w:t>
      </w:r>
    </w:p>
    <w:p w14:paraId="19666894" w14:textId="194F4B38" w:rsidR="002139BB" w:rsidRPr="00BC7E53" w:rsidRDefault="002139BB" w:rsidP="002139BB">
      <w:pPr>
        <w:pStyle w:val="NummerierungStufe3"/>
      </w:pPr>
      <w:r>
        <w:t xml:space="preserve">Следната точка</w:t>
      </w:r>
      <w:bookmarkStart w:id="18" w:name="eNV_9DE5380EEF0B45049AA01B45559C7841_1"/>
      <w:bookmarkEnd w:id="18"/>
      <w:r>
        <w:t xml:space="preserve">8 се вмъква след точка 7:</w:t>
      </w:r>
      <w:r>
        <w:t xml:space="preserve"> </w:t>
      </w:r>
    </w:p>
    <w:p w14:paraId="4B633D97" w14:textId="76EE6B66" w:rsidR="002139BB" w:rsidRPr="00BC7E53" w:rsidRDefault="002139BB" w:rsidP="0078533C">
      <w:pPr>
        <w:pStyle w:val="RevisionNummerierungFolgeabsatzStufe2"/>
        <w:tabs>
          <w:tab w:val="left" w:pos="1276"/>
          <w:tab w:val="left" w:pos="1843"/>
        </w:tabs>
        <w:ind w:left="1843" w:hanging="993"/>
        <w:rPr>
          <w:rStyle w:val="RevisionText"/>
          <w:color w:val="auto"/>
        </w:rPr>
      </w:pPr>
      <w:r>
        <w:rPr>
          <w:color w:val="auto"/>
        </w:rPr>
        <w:t xml:space="preserve">„8.</w:t>
      </w:r>
      <w:r>
        <w:rPr>
          <w:color w:val="auto"/>
        </w:rPr>
        <w:tab/>
      </w:r>
      <w:r>
        <w:rPr>
          <w:color w:val="auto"/>
        </w:rPr>
        <w:t xml:space="preserve">при използване на измервателни уреди за изпитване на емисиите на отработени газове </w:t>
      </w:r>
      <w:r>
        <w:rPr>
          <w:color w:val="auto"/>
          <w:rStyle w:val="RevisionText"/>
        </w:rPr>
        <w:t xml:space="preserve">на моторни превозни средства за официален мониторинг на обществения транспорт;“</w:t>
      </w:r>
      <w:r>
        <w:rPr>
          <w:color w:val="auto"/>
        </w:rPr>
        <w:t xml:space="preserve">;</w:t>
      </w:r>
    </w:p>
    <w:p w14:paraId="5EF9D836" w14:textId="7E0F4215" w:rsidR="002139BB" w:rsidRPr="00BC7E53" w:rsidRDefault="002139BB" w:rsidP="002139BB">
      <w:pPr>
        <w:pStyle w:val="NummerierungStufe3"/>
      </w:pPr>
      <w:r>
        <w:t xml:space="preserve">Предишната точка</w:t>
      </w:r>
      <w:bookmarkStart w:id="19" w:name="eNV_DDE98624096B41C287B3A78A9AE8FE4C_1"/>
      <w:bookmarkEnd w:id="19"/>
      <w:r>
        <w:t xml:space="preserve">8 става точка 9.</w:t>
      </w:r>
    </w:p>
    <w:p w14:paraId="2A67278D" w14:textId="13530437" w:rsidR="002139BB" w:rsidRPr="00BC7E53" w:rsidRDefault="002139BB" w:rsidP="002139BB">
      <w:pPr>
        <w:pStyle w:val="NummerierungStufe2"/>
      </w:pPr>
      <w:r>
        <w:t xml:space="preserve">В</w:t>
      </w:r>
      <w:bookmarkStart w:id="20" w:name="eNV_8B3A08D3E05947258D4AC8DE623DBCE3_1"/>
      <w:bookmarkEnd w:id="20"/>
      <w:r>
        <w:t xml:space="preserve">изречение 2, думите „точки от 6 до 8“ се заменят с „точки 6, 7 и 9“.</w:t>
      </w:r>
      <w:r>
        <w:t xml:space="preserve"> </w:t>
      </w:r>
    </w:p>
    <w:p w14:paraId="41DC5C72" w14:textId="3C621257" w:rsidR="007131AB" w:rsidRPr="00BC7E53" w:rsidRDefault="000B5F8E" w:rsidP="00534C20">
      <w:pPr>
        <w:pStyle w:val="NummerierungStufe1"/>
      </w:pPr>
      <w:r>
        <w:t xml:space="preserve">Следният параграф</w:t>
      </w:r>
      <w:bookmarkStart w:id="21" w:name="eNV_D977AD98F2B24F37A89A4E2A50579302_1"/>
      <w:bookmarkEnd w:id="21"/>
      <w:r>
        <w:t xml:space="preserve">3 се добавя към член 11:</w:t>
      </w:r>
    </w:p>
    <w:p w14:paraId="3DD3643F" w14:textId="30745BAF" w:rsidR="007131AB" w:rsidRPr="00BC7E53" w:rsidRDefault="000B5F8E" w:rsidP="000B5F8E">
      <w:pPr>
        <w:pStyle w:val="RevisionJuristischerAbsatzFolgeabsatz"/>
        <w:tabs>
          <w:tab w:val="left" w:pos="426"/>
        </w:tabs>
        <w:rPr>
          <w:color w:val="auto"/>
        </w:rPr>
      </w:pPr>
      <w:r>
        <w:rPr>
          <w:rStyle w:val="RevisionText"/>
          <w:color w:val="auto"/>
        </w:rPr>
        <w:tab/>
      </w:r>
      <w:r>
        <w:rPr>
          <w:rStyle w:val="RevisionText"/>
          <w:color w:val="auto"/>
        </w:rPr>
        <w:t xml:space="preserve">„3) Декларацията за съответствие трябва да бъде написана на немски език.“</w:t>
      </w:r>
    </w:p>
    <w:p w14:paraId="71B98EC3" w14:textId="339B2410" w:rsidR="007131AB" w:rsidRPr="00BC7E53" w:rsidRDefault="007131AB" w:rsidP="00534C20">
      <w:pPr>
        <w:pStyle w:val="NummerierungStufe1"/>
      </w:pPr>
      <w:r>
        <w:t xml:space="preserve">В</w:t>
      </w:r>
      <w:bookmarkStart w:id="22" w:name="eNV_4F070D5FF2484E8E92F65A5301117AF8_1"/>
      <w:bookmarkEnd w:id="22"/>
      <w:r>
        <w:t xml:space="preserve">раздел 13, параграф 2, думите </w:t>
      </w:r>
      <w:r>
        <w:rPr>
          <w:rStyle w:val="RevisionText"/>
          <w:color w:val="auto"/>
        </w:rPr>
        <w:t xml:space="preserve">„опаковането и информацията към него, в съответствие с раздел 17, трябва да се етикетира правилно“</w:t>
      </w:r>
      <w:r>
        <w:t xml:space="preserve"> се заменят с думите </w:t>
      </w:r>
      <w:r>
        <w:rPr>
          <w:rStyle w:val="RevisionText"/>
          <w:color w:val="auto"/>
        </w:rPr>
        <w:t xml:space="preserve">„етикетите или надписите трябва да бъдат прикрепени към информацията, която трябва да бъде приложена в съответствие с раздел 17, и върху опаковката“</w:t>
      </w:r>
      <w:r>
        <w:t xml:space="preserve">.</w:t>
      </w:r>
    </w:p>
    <w:p w14:paraId="76A6D2C9" w14:textId="61C344F7" w:rsidR="00534C20" w:rsidRPr="00BC7E53" w:rsidRDefault="00534C20" w:rsidP="00534C20">
      <w:pPr>
        <w:pStyle w:val="NummerierungStufe1"/>
      </w:pPr>
      <w:r>
        <w:t xml:space="preserve">Член</w:t>
      </w:r>
      <w:bookmarkStart w:id="23" w:name="eNV_D52BF2A40E7C4C6DB901909F4E62E94E_1"/>
      <w:bookmarkEnd w:id="23"/>
      <w:r>
        <w:t xml:space="preserve"> 25 се изменя както следва:</w:t>
      </w:r>
    </w:p>
    <w:p w14:paraId="47C9CAF6" w14:textId="77777777" w:rsidR="00565944" w:rsidRDefault="00565944" w:rsidP="00534C20">
      <w:pPr>
        <w:pStyle w:val="NummerierungStufe2"/>
      </w:pPr>
      <w:r>
        <w:t xml:space="preserve">Изречение</w:t>
      </w:r>
      <w:bookmarkStart w:id="24" w:name="eNV_E9794D281EF84234BF441E5484947AA4_1"/>
      <w:bookmarkEnd w:id="24"/>
      <w:r>
        <w:t xml:space="preserve">1 се изменя както следва:</w:t>
      </w:r>
    </w:p>
    <w:p w14:paraId="30275604" w14:textId="226CECEB" w:rsidR="00AE2035" w:rsidRPr="00BC7E53" w:rsidRDefault="00AE2035" w:rsidP="0078533C">
      <w:pPr>
        <w:pStyle w:val="NummerierungStufe3"/>
      </w:pPr>
      <w:r>
        <w:t xml:space="preserve">В</w:t>
      </w:r>
      <w:bookmarkStart w:id="25" w:name="eNV_80E04446A34E496E8D25367B8785895C_1"/>
      <w:bookmarkEnd w:id="25"/>
      <w:r>
        <w:t xml:space="preserve">точка 3(а), думите </w:t>
      </w:r>
      <w:r>
        <w:rPr>
          <w:rStyle w:val="RevisionText"/>
          <w:color w:val="auto"/>
        </w:rPr>
        <w:t xml:space="preserve">„Член 4, параграф 1, алинея 2 от Наредбата за качеството на млякото“ се изменят с думите „Член 30, параграф 2, алинея 2 от Наредбата за качеството на суровото мляко“</w:t>
      </w:r>
      <w:r>
        <w:t xml:space="preserve">.</w:t>
      </w:r>
    </w:p>
    <w:p w14:paraId="78F16446" w14:textId="1B811572" w:rsidR="00534C20" w:rsidRPr="00BC7E53" w:rsidRDefault="00B476CA" w:rsidP="0078533C">
      <w:pPr>
        <w:pStyle w:val="NummerierungStufe3"/>
      </w:pPr>
      <w:r>
        <w:t xml:space="preserve">Следната точка</w:t>
      </w:r>
      <w:bookmarkStart w:id="26" w:name="eNV_372F074CCFCF4F5DB3ECB3EBFEE8D979_1"/>
      <w:bookmarkEnd w:id="26"/>
      <w:r>
        <w:t xml:space="preserve">7 се вмъква след точка 6:</w:t>
      </w:r>
    </w:p>
    <w:p w14:paraId="6370606D" w14:textId="3E3EDCC5" w:rsidR="00B476CA" w:rsidRPr="00BC7E53" w:rsidRDefault="00B476CA" w:rsidP="00DD38CC">
      <w:pPr>
        <w:pStyle w:val="RevisionNummerierungFolgeabsatzStufe2"/>
      </w:pPr>
      <w:r>
        <w:t xml:space="preserve">„7.</w:t>
      </w:r>
      <w:r>
        <w:tab/>
      </w:r>
      <w:r>
        <w:t xml:space="preserve">Измерените променливи в областта на електрическата и газовата мрежа и други енергийни източници, чиито стойности като сума, разлика, продукт или коефициент или комбинации от тях са получени от измерени стойности, определени от измервателен уред, съответстващ на Закона за измерване и калибриране и тази наредба и при условие че видът на изчислението и използваните стойности са подходящи за предвидената цел.“</w:t>
      </w:r>
    </w:p>
    <w:p w14:paraId="4B1E63A6" w14:textId="3EEEFC08" w:rsidR="00FF4309" w:rsidRDefault="00B476CA" w:rsidP="0078533C">
      <w:pPr>
        <w:pStyle w:val="NummerierungStufe3"/>
      </w:pPr>
      <w:r>
        <w:t xml:space="preserve">Предишната</w:t>
      </w:r>
      <w:bookmarkStart w:id="27" w:name="eNV_7DBF78054FB646298CDD7ABCED6138B8_1"/>
      <w:bookmarkEnd w:id="27"/>
      <w:r>
        <w:t xml:space="preserve">точка 7 става точка 8; в нея, думите</w:t>
      </w:r>
      <w:r>
        <w:rPr>
          <w:rStyle w:val="RevisionText"/>
          <w:color w:val="auto"/>
        </w:rPr>
        <w:t xml:space="preserve"> „измерени променливи“ </w:t>
      </w:r>
      <w:r>
        <w:t xml:space="preserve">се заменят с думите</w:t>
      </w:r>
      <w:r>
        <w:rPr>
          <w:rStyle w:val="RevisionText"/>
          <w:color w:val="auto"/>
        </w:rPr>
        <w:t xml:space="preserve"> „в случаите, различни от измерени променливи в точка 7“</w:t>
      </w:r>
      <w:r>
        <w:t xml:space="preserve">.</w:t>
      </w:r>
      <w:r>
        <w:t xml:space="preserve"> </w:t>
      </w:r>
    </w:p>
    <w:p w14:paraId="71478975" w14:textId="4AAEF1C2" w:rsidR="00565944" w:rsidRDefault="0078533C" w:rsidP="0078533C">
      <w:pPr>
        <w:pStyle w:val="NummerierungStufe2"/>
      </w:pPr>
      <w:r>
        <w:t xml:space="preserve">Следващото</w:t>
      </w:r>
      <w:bookmarkStart w:id="28" w:name="eNV_5819ADFC62F744189BD24FE0B0E74B7A_1"/>
      <w:bookmarkEnd w:id="28"/>
      <w:r>
        <w:t xml:space="preserve">изречение се вмъква след изречение 1:</w:t>
      </w:r>
    </w:p>
    <w:p w14:paraId="347D6B28" w14:textId="6832A1DD" w:rsidR="0078533C" w:rsidRPr="00BC7E53" w:rsidRDefault="0078533C" w:rsidP="00DD38CC">
      <w:pPr>
        <w:pStyle w:val="RevisionNummerierungFolgeabsatzStufe2"/>
      </w:pPr>
      <w:r>
        <w:t xml:space="preserve">„</w:t>
      </w:r>
      <w:bookmarkStart w:id="29" w:name="eNV_1D8F7210251D43B69343D012A8E3CD88_1"/>
      <w:bookmarkEnd w:id="29"/>
      <w:r>
        <w:t xml:space="preserve">Изречение 1, параграф 7 не се прилага, ако са изпълнени условията за измерена променлива, определени в точка 8 от изречение 1.“</w:t>
      </w:r>
    </w:p>
    <w:p w14:paraId="556D95DE" w14:textId="2698381E" w:rsidR="00030F23" w:rsidRPr="00BC7E53" w:rsidRDefault="0078533C" w:rsidP="00FC0C31">
      <w:pPr>
        <w:pStyle w:val="NummerierungStufe1"/>
      </w:pPr>
      <w:r>
        <w:t xml:space="preserve">В</w:t>
      </w:r>
      <w:bookmarkStart w:id="30" w:name="eNV_E78041FA4A604DF99279B0F366F0FF99_1"/>
      <w:bookmarkEnd w:id="30"/>
      <w:r>
        <w:t xml:space="preserve">член 35 се добавя следното изречение:</w:t>
      </w:r>
    </w:p>
    <w:p w14:paraId="271739D8" w14:textId="159A3BC8" w:rsidR="002C5B9D" w:rsidRPr="00BC7E53" w:rsidRDefault="002C5B9D" w:rsidP="00F16333">
      <w:pPr>
        <w:pStyle w:val="RevisionJuristischerAbsatzFolgeabsatz"/>
        <w:ind w:left="851"/>
      </w:pPr>
      <w:r>
        <w:t xml:space="preserve">„Заявление за удължаване може да бъде подадено не по-рано от две години преди изтичането на периода на калибриране.“</w:t>
      </w:r>
    </w:p>
    <w:p w14:paraId="76DCAFDA" w14:textId="511F7699" w:rsidR="006021C1" w:rsidRPr="00BC7E53" w:rsidRDefault="00EF4F40" w:rsidP="00FC0C31">
      <w:pPr>
        <w:pStyle w:val="NummerierungStufe1"/>
      </w:pPr>
      <w:r>
        <w:t xml:space="preserve">Към</w:t>
      </w:r>
      <w:bookmarkStart w:id="31" w:name="eNV_2A8F0306CD604812BC3E9A363815D724_1"/>
      <w:bookmarkEnd w:id="31"/>
      <w:r>
        <w:t xml:space="preserve"> член 54, параграф 2 се добавят думите „и проверяват дали тези условия са изпълнени в помещенията на сервизите“.</w:t>
      </w:r>
    </w:p>
    <w:p w14:paraId="7EAC5A01" w14:textId="77777777" w:rsidR="00A4690C" w:rsidRPr="00BC7E53" w:rsidRDefault="006021C1" w:rsidP="00A4690C">
      <w:pPr>
        <w:pStyle w:val="NummerierungStufe1"/>
      </w:pPr>
      <w:r>
        <w:t xml:space="preserve">В</w:t>
      </w:r>
      <w:bookmarkStart w:id="32" w:name="eNV_0F3A9AB855914636BF180B89CE313666_1"/>
      <w:bookmarkEnd w:id="32"/>
      <w:r>
        <w:t xml:space="preserve">член 58 се добавя следният параграф:</w:t>
      </w:r>
      <w:r>
        <w:t xml:space="preserve"> </w:t>
      </w:r>
    </w:p>
    <w:p w14:paraId="08486CB4" w14:textId="2538C65E" w:rsidR="00554277" w:rsidRPr="00BC7E53" w:rsidRDefault="00A4690C" w:rsidP="00387B80">
      <w:pPr>
        <w:pStyle w:val="RevisionJuristischerAbsatzmanuell"/>
        <w:ind w:left="426" w:hanging="1"/>
        <w:rPr>
          <w:color w:val="auto"/>
        </w:rPr>
      </w:pPr>
      <w:r>
        <w:t xml:space="preserve">„7) Член 25, параграф 1, алинея 7 също трябва да се прилага към стойностите на измерените променливи, определени преди...</w:t>
      </w:r>
      <w:r>
        <w:t xml:space="preserve"> </w:t>
      </w:r>
      <w:r>
        <w:t xml:space="preserve">[посочете: дата на влизане в сила на тази наредба], въз основа на съответно установена практика.“</w:t>
      </w:r>
    </w:p>
    <w:p w14:paraId="7B6E2284" w14:textId="2BB9B315" w:rsidR="00571653" w:rsidRPr="00BC7E53" w:rsidRDefault="00571653" w:rsidP="00FC0C31">
      <w:pPr>
        <w:pStyle w:val="NummerierungStufe1"/>
      </w:pPr>
      <w:r>
        <w:t xml:space="preserve">В</w:t>
      </w:r>
      <w:bookmarkStart w:id="33" w:name="eNV_4C21E5DBC98643FF935AB55974AFEB43_1"/>
      <w:bookmarkEnd w:id="33"/>
      <w:r>
        <w:t xml:space="preserve">точка 7.4 от Приложение 2, думите </w:t>
      </w:r>
      <w:r>
        <w:rPr>
          <w:rStyle w:val="RevisionText"/>
          <w:color w:val="auto"/>
        </w:rPr>
        <w:t xml:space="preserve">„от измерената променлива“</w:t>
      </w:r>
      <w:r>
        <w:t xml:space="preserve"> се заменят с думите </w:t>
      </w:r>
      <w:r>
        <w:rPr>
          <w:rStyle w:val="RevisionText"/>
          <w:color w:val="auto"/>
        </w:rPr>
        <w:t xml:space="preserve">„от измерената стойност“</w:t>
      </w:r>
      <w:r>
        <w:t xml:space="preserve">.</w:t>
      </w:r>
    </w:p>
    <w:p w14:paraId="4B2F2EE5" w14:textId="53730065" w:rsidR="00FC0C31" w:rsidRPr="00BC7E53" w:rsidRDefault="00FC0C31" w:rsidP="00FC0C31">
      <w:pPr>
        <w:pStyle w:val="NummerierungStufe1"/>
      </w:pPr>
      <w:r>
        <w:t xml:space="preserve">Таблица</w:t>
      </w:r>
      <w:bookmarkStart w:id="34" w:name="eNV_E31BB918D88E4CFABF8D0521888412CE_1"/>
      <w:bookmarkEnd w:id="34"/>
      <w:r>
        <w:t xml:space="preserve">1 от Приложение 7 се заменя както следва:</w:t>
      </w:r>
      <w:r>
        <w:t xml:space="preserve"> </w:t>
      </w:r>
    </w:p>
    <w:p w14:paraId="6C26D44A" w14:textId="703B9EED" w:rsidR="00FC0C31" w:rsidRPr="00BC7E53" w:rsidRDefault="00FC0C31" w:rsidP="00FC0C31">
      <w:pPr>
        <w:pStyle w:val="NummerierungStufe2"/>
      </w:pPr>
      <w:r>
        <w:t xml:space="preserve">В</w:t>
      </w:r>
      <w:bookmarkStart w:id="35" w:name="eNV_4A6EF43E420B4C36AFCD4D076709CBF2_1"/>
      <w:bookmarkEnd w:id="35"/>
      <w:r>
        <w:t xml:space="preserve">точка 5.5.2, точки 7.1 и 7.2, в колона</w:t>
      </w:r>
      <w:r>
        <w:rPr>
          <w:rStyle w:val="RevisionText"/>
          <w:color w:val="auto"/>
        </w:rPr>
        <w:t xml:space="preserve"> „период на калибриране в години, освен ако не е посочено друго“</w:t>
      </w:r>
      <w:r>
        <w:t xml:space="preserve">, </w:t>
      </w:r>
      <w:r>
        <w:rPr>
          <w:rStyle w:val="RevisionText"/>
          <w:color w:val="auto"/>
        </w:rPr>
        <w:t xml:space="preserve">„5“ </w:t>
      </w:r>
      <w:r>
        <w:t xml:space="preserve">се заменят с </w:t>
      </w:r>
      <w:r>
        <w:rPr>
          <w:rStyle w:val="RevisionText"/>
          <w:color w:val="auto"/>
        </w:rPr>
        <w:t xml:space="preserve">„6“</w:t>
      </w:r>
      <w:r>
        <w:t xml:space="preserve">.</w:t>
      </w:r>
      <w:r>
        <w:t xml:space="preserve"> </w:t>
      </w:r>
    </w:p>
    <w:p w14:paraId="28AB1791" w14:textId="47E462F0" w:rsidR="00FC0C31" w:rsidRPr="00BC7E53" w:rsidRDefault="00FC0C31" w:rsidP="00FC0C31">
      <w:pPr>
        <w:pStyle w:val="NummerierungStufe2"/>
      </w:pPr>
      <w:r>
        <w:t xml:space="preserve">В</w:t>
      </w:r>
      <w:bookmarkStart w:id="36" w:name="eNV_8D7491F068C044F794F08A8C9BF0BC9F_1"/>
      <w:bookmarkEnd w:id="36"/>
      <w:r>
        <w:t xml:space="preserve">точка 6.4, колоната </w:t>
      </w:r>
      <w:r>
        <w:rPr>
          <w:rStyle w:val="RevisionText"/>
          <w:color w:val="auto"/>
        </w:rPr>
        <w:t xml:space="preserve">„Вид измервателен уред“</w:t>
      </w:r>
      <w:r>
        <w:t xml:space="preserve"> се представят с думите </w:t>
      </w:r>
      <w:r>
        <w:rPr>
          <w:rStyle w:val="RevisionText"/>
          <w:color w:val="auto"/>
        </w:rPr>
        <w:t xml:space="preserve">„Електроизмервателни уреди за постоянен ток, с изключение на електромерите, посочени в точка 6.5“</w:t>
      </w:r>
      <w:r>
        <w:t xml:space="preserve">.</w:t>
      </w:r>
    </w:p>
    <w:p w14:paraId="46B3D2BE" w14:textId="77777777" w:rsidR="00B90CE2" w:rsidRPr="00BC7E53" w:rsidRDefault="00B90CE2" w:rsidP="00FC0C31">
      <w:pPr>
        <w:pStyle w:val="NummerierungStufe2"/>
      </w:pPr>
      <w:r>
        <w:t xml:space="preserve">Следната точка</w:t>
      </w:r>
      <w:bookmarkStart w:id="37" w:name="eNV_97BE01694E414D6CAD47717F29000947_1"/>
      <w:bookmarkEnd w:id="37"/>
      <w:r>
        <w:t xml:space="preserve">6.5 се вмъква след точка 6.4:</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4432"/>
        <w:gridCol w:w="2338"/>
      </w:tblGrid>
      <w:tr w:rsidR="00BC7E53" w:rsidRPr="00BC7E53" w14:paraId="5FD8C7A3" w14:textId="77777777" w:rsidTr="00C624D2">
        <w:tc>
          <w:tcPr>
            <w:tcW w:w="1385" w:type="dxa"/>
            <w:shd w:val="clear" w:color="auto" w:fill="auto"/>
          </w:tcPr>
          <w:p w14:paraId="7BA89E48" w14:textId="77777777" w:rsidR="00B90CE2" w:rsidRPr="00BC7E53" w:rsidRDefault="00B90CE2" w:rsidP="00B90CE2">
            <w:pPr>
              <w:pStyle w:val="RevisionNummerierungFolgeabsatzStufe2"/>
              <w:ind w:left="0"/>
              <w:rPr>
                <w:rStyle w:val="RevisionText"/>
                <w:color w:val="auto"/>
              </w:rPr>
            </w:pPr>
            <w:r>
              <w:rPr>
                <w:rStyle w:val="RevisionText"/>
                <w:color w:val="auto"/>
              </w:rPr>
              <w:t xml:space="preserve">„6.5</w:t>
            </w:r>
          </w:p>
        </w:tc>
        <w:tc>
          <w:tcPr>
            <w:tcW w:w="4432" w:type="dxa"/>
            <w:shd w:val="clear" w:color="auto" w:fill="auto"/>
          </w:tcPr>
          <w:p w14:paraId="0ECD3981" w14:textId="77777777" w:rsidR="00B90CE2" w:rsidRPr="00BC7E53" w:rsidRDefault="00B90CE2" w:rsidP="00C624D2">
            <w:pPr>
              <w:pStyle w:val="RevisionNummerierungFolgeabsatzStufe2"/>
              <w:ind w:left="0"/>
              <w:rPr>
                <w:rStyle w:val="RevisionText"/>
                <w:color w:val="auto"/>
              </w:rPr>
            </w:pPr>
            <w:r>
              <w:rPr>
                <w:color w:val="auto"/>
              </w:rPr>
              <w:t xml:space="preserve">Електроизмервателни уреди за постоянен ток с електронна измервателна станция</w:t>
            </w:r>
          </w:p>
        </w:tc>
        <w:tc>
          <w:tcPr>
            <w:tcW w:w="2338" w:type="dxa"/>
            <w:shd w:val="clear" w:color="auto" w:fill="auto"/>
          </w:tcPr>
          <w:p w14:paraId="7223BB63" w14:textId="77777777" w:rsidR="00B90CE2" w:rsidRPr="00BC7E53" w:rsidRDefault="00B90CE2" w:rsidP="00C624D2">
            <w:pPr>
              <w:pStyle w:val="RevisionNummerierungFolgeabsatzStufe2"/>
              <w:ind w:left="0"/>
              <w:jc w:val="center"/>
              <w:rPr>
                <w:rStyle w:val="RevisionText"/>
                <w:color w:val="auto"/>
              </w:rPr>
            </w:pPr>
            <w:r>
              <w:rPr>
                <w:rStyle w:val="RevisionText"/>
                <w:color w:val="auto"/>
              </w:rPr>
              <w:t xml:space="preserve">8“.</w:t>
            </w:r>
          </w:p>
        </w:tc>
      </w:tr>
    </w:tbl>
    <w:p w14:paraId="1A6FB007" w14:textId="77777777" w:rsidR="00B90CE2" w:rsidRPr="00BC7E53" w:rsidRDefault="00B90CE2" w:rsidP="00FC0C31">
      <w:pPr>
        <w:pStyle w:val="NummerierungStufe2"/>
      </w:pPr>
      <w:r>
        <w:t xml:space="preserve">Точки</w:t>
      </w:r>
      <w:bookmarkStart w:id="38" w:name="eNV_2C52548D016646859CC31D324638BC40_1"/>
      <w:bookmarkEnd w:id="38"/>
      <w:r>
        <w:t xml:space="preserve">6.5 и 6.6 стават точки 6.6 и 6.7.</w:t>
      </w:r>
    </w:p>
    <w:p w14:paraId="49C0C107" w14:textId="068E4C20" w:rsidR="00FC0C31" w:rsidRPr="00BC7E53" w:rsidRDefault="00F57CD9" w:rsidP="00FC0C31">
      <w:pPr>
        <w:pStyle w:val="NummerierungStufe2"/>
      </w:pPr>
      <w:r>
        <w:t xml:space="preserve">Точка</w:t>
      </w:r>
      <w:bookmarkStart w:id="39" w:name="eNV_D880881A9E264ED3B39E0DEB5A857D95_1"/>
      <w:bookmarkEnd w:id="39"/>
      <w:r>
        <w:t xml:space="preserve">12.2 се изтрива.</w:t>
      </w:r>
      <w:r>
        <w:t xml:space="preserve"> </w:t>
      </w:r>
    </w:p>
    <w:p w14:paraId="762297B2" w14:textId="1E05A4D2" w:rsidR="00FC0C31" w:rsidRPr="00BC7E53" w:rsidRDefault="00B031F4" w:rsidP="00FE0A0B">
      <w:pPr>
        <w:pStyle w:val="NummerierungStufe2"/>
      </w:pPr>
      <w:r>
        <w:t xml:space="preserve">Точки</w:t>
      </w:r>
      <w:bookmarkStart w:id="40" w:name="eNV_1000CE9469F0451E8F3C9900541F19C9_1"/>
      <w:bookmarkEnd w:id="40"/>
      <w:r>
        <w:t xml:space="preserve">12.3 и 12.4 стават точки 12.2 и 12.3.</w:t>
      </w:r>
      <w:bookmarkStart w:id="41" w:name="eNV_7CF28FD50FAB42EB97DB6E21382CC1D9_1"/>
      <w:bookmarkEnd w:id="41"/>
    </w:p>
    <w:p w14:paraId="5B360E3F" w14:textId="7E2E89DC" w:rsidR="00FC0C31" w:rsidRPr="00BC7E53" w:rsidRDefault="009E3EEA" w:rsidP="00456835">
      <w:pPr>
        <w:pStyle w:val="ArtikelBezeichner"/>
        <w:numPr>
          <w:ilvl w:val="0"/>
          <w:numId w:val="0"/>
        </w:numPr>
        <w:ind w:left="720" w:hanging="540"/>
      </w:pPr>
      <w:r>
        <w:t xml:space="preserve">Член 2</w:t>
      </w:r>
    </w:p>
    <w:p w14:paraId="43CD7E66" w14:textId="77777777" w:rsidR="00FC0C31" w:rsidRPr="00BC7E53" w:rsidRDefault="00FC0C31" w:rsidP="00AA4D0B">
      <w:pPr>
        <w:pStyle w:val="Artikelberschrift"/>
      </w:pPr>
      <w:r>
        <w:t xml:space="preserve">Влизане</w:t>
      </w:r>
      <w:bookmarkStart w:id="42" w:name="eNV_9B38BEE43A404DE1A37D5FB7A856AED7_1"/>
      <w:bookmarkEnd w:id="42"/>
      <w:r>
        <w:t xml:space="preserve">в сила</w:t>
      </w:r>
    </w:p>
    <w:p w14:paraId="3D76DE08" w14:textId="77777777" w:rsidR="00FC0C31" w:rsidRPr="00BC7E53" w:rsidRDefault="00FC0C31" w:rsidP="00AA4D0B">
      <w:pPr>
        <w:pStyle w:val="JuristischerAbsatznichtnummeriert"/>
      </w:pPr>
      <w:r>
        <w:rPr>
          <w:rStyle w:val="Marker"/>
          <w:color w:val="auto"/>
        </w:rPr>
        <w:t xml:space="preserve">Тази наредба влиза в сила в деня след обнародването ѝ.</w:t>
      </w:r>
    </w:p>
    <w:p w14:paraId="16F99808" w14:textId="5D829F3B" w:rsidR="00F97CB3" w:rsidRPr="00CF1C39" w:rsidRDefault="00F97CB3" w:rsidP="00F16333">
      <w:pPr>
        <w:pStyle w:val="JuristischerAbsatzFolgeabsatz"/>
        <w:rPr>
          <w:rStyle w:val="Marker"/>
        </w:rPr>
      </w:pPr>
      <w:r>
        <w:rPr>
          <w:rStyle w:val="Marker"/>
        </w:rPr>
        <w:t xml:space="preserve">______________________________</w:t>
      </w:r>
    </w:p>
    <w:p w14:paraId="35114C14" w14:textId="7138469B" w:rsidR="006A34ED" w:rsidRPr="00BC7E53" w:rsidRDefault="00FC0C31" w:rsidP="00E96505">
      <w:pPr>
        <w:pStyle w:val="Schlussformel"/>
        <w:rPr>
          <w:rStyle w:val="Marker"/>
          <w:color w:val="auto"/>
        </w:rPr>
      </w:pPr>
      <w:r>
        <w:rPr>
          <w:rStyle w:val="Marker"/>
          <w:color w:val="auto"/>
        </w:rPr>
        <w:t xml:space="preserve">Федералният съвет </w:t>
      </w:r>
      <w:r>
        <w:t xml:space="preserve">постигна </w:t>
      </w:r>
      <w:r>
        <w:rPr>
          <w:rStyle w:val="Marker"/>
          <w:color w:val="auto"/>
        </w:rPr>
        <w:t xml:space="preserve">съгласие.</w:t>
      </w:r>
    </w:p>
    <w:p w14:paraId="281B7F88" w14:textId="1B94C333" w:rsidR="00FC0C31" w:rsidRPr="00BC7E53" w:rsidRDefault="00FC0C31" w:rsidP="006A34ED">
      <w:pPr>
        <w:sectPr w:rsidR="00FC0C31" w:rsidRPr="00BC7E53" w:rsidSect="00764D01">
          <w:pgSz w:w="11907" w:h="16839"/>
          <w:pgMar w:top="1134" w:right="1417" w:bottom="1134" w:left="1701" w:header="709" w:footer="709" w:gutter="0"/>
          <w:cols w:space="708"/>
          <w:docGrid w:linePitch="360"/>
        </w:sectPr>
      </w:pPr>
    </w:p>
    <w:p w14:paraId="41F842AC" w14:textId="66ED61CE" w:rsidR="00FC0C31" w:rsidRPr="00BC7E53" w:rsidRDefault="00FC0C31" w:rsidP="00AA4D0B">
      <w:pPr>
        <w:pStyle w:val="BegrndungTitel"/>
      </w:pPr>
      <w:r>
        <w:t xml:space="preserve">Изложение на мотивите</w:t>
      </w:r>
    </w:p>
    <w:p w14:paraId="6C229826" w14:textId="77777777" w:rsidR="00FC0C31" w:rsidRPr="00BC7E53" w:rsidRDefault="00FC0C31" w:rsidP="00AA4D0B">
      <w:pPr>
        <w:pStyle w:val="BegrndungAllgemeinerTeil"/>
      </w:pPr>
      <w:r>
        <w:t xml:space="preserve">А. Обща част</w:t>
      </w:r>
    </w:p>
    <w:p w14:paraId="0633D794" w14:textId="77777777" w:rsidR="00FC0C31" w:rsidRPr="00BC7E53" w:rsidRDefault="00FC0C31" w:rsidP="00AA4D0B">
      <w:pPr>
        <w:pStyle w:val="berschriftrmischBegrndung"/>
      </w:pPr>
      <w:r>
        <w:t xml:space="preserve">Цел и необходимост от разпоредбите</w:t>
      </w:r>
    </w:p>
    <w:p w14:paraId="0DE2004A" w14:textId="77777777" w:rsidR="00871685" w:rsidRPr="00BC7E53" w:rsidRDefault="00871685" w:rsidP="00871685">
      <w:r>
        <w:t xml:space="preserve">Наредбата за измерване и калибриране [Mess- und Eichverordnung – MessEV] влезе в сила на 1 януари 2015 г. и допълва новата правна рамка, въведена със Закона за измерване и калибриране [Mess- und Eichgesetz].</w:t>
      </w:r>
    </w:p>
    <w:p w14:paraId="3231E136" w14:textId="77777777" w:rsidR="00F76388" w:rsidRPr="00BC7E53" w:rsidRDefault="00F76388" w:rsidP="00871685">
      <w:pPr>
        <w:rPr>
          <w:b/>
          <w:u w:val="single"/>
        </w:rPr>
      </w:pPr>
      <w:r>
        <w:rPr>
          <w:b/>
          <w:u w:val="single"/>
        </w:rPr>
        <w:t xml:space="preserve">А. Калибрационни периоди</w:t>
      </w:r>
    </w:p>
    <w:p w14:paraId="3E99B5A6" w14:textId="77777777" w:rsidR="00871685" w:rsidRPr="00BC7E53" w:rsidRDefault="00871685" w:rsidP="00871685">
      <w:r>
        <w:t xml:space="preserve">Експлоатационният срок на измервателните уреди в рамките на Закона за измерване и калибриране се определя от периода, в който те предоставят надеждни резултати въз основа на технически и научни познания.</w:t>
      </w:r>
      <w:r>
        <w:t xml:space="preserve"> </w:t>
      </w:r>
      <w:r>
        <w:t xml:space="preserve">Тази времева рамка зависи от стареенето на компонентите на измервателния уред и от външни влияния (напр. качеството на водата).</w:t>
      </w:r>
      <w:r>
        <w:t xml:space="preserve"> </w:t>
      </w:r>
      <w:r>
        <w:t xml:space="preserve">Това се прилага за определяне на различни периоди на калибриране за отделните видове измервателни уреди.</w:t>
      </w:r>
      <w:r>
        <w:t xml:space="preserve"> </w:t>
      </w:r>
    </w:p>
    <w:p w14:paraId="29DA83C3" w14:textId="677B5472" w:rsidR="00871685" w:rsidRPr="00BC7E53" w:rsidRDefault="00871685" w:rsidP="00871685">
      <w:pPr>
        <w:rPr>
          <w:u w:val="single"/>
        </w:rPr>
      </w:pPr>
      <w:r>
        <w:rPr>
          <w:u w:val="single"/>
        </w:rPr>
        <w:t xml:space="preserve">1.</w:t>
      </w:r>
      <w:r>
        <w:rPr>
          <w:u w:val="single"/>
        </w:rPr>
        <w:t xml:space="preserve"> </w:t>
      </w:r>
      <w:r>
        <w:rPr>
          <w:u w:val="single"/>
        </w:rPr>
        <w:t xml:space="preserve">Водомери, топломери</w:t>
      </w:r>
    </w:p>
    <w:p w14:paraId="3EFD9D3E" w14:textId="425D875F" w:rsidR="00871685" w:rsidRPr="00BC7E53" w:rsidRDefault="00871685" w:rsidP="00871685">
      <w:r>
        <w:t xml:space="preserve">В своя окончателен доклад относно секторното разследване на услугите за измерване на разходите за отопление и топла вода (подизмерване) през 2017 г., Федералната служба за картели установи различни дефицити в областта на конкуренцията, включително пречки пред конкуренцията, дължащи се на дълги действителни договорни периоди поради различни периоди на калибриране за различни видове измервателни уреди (топлина, гореща и студена вода).</w:t>
      </w:r>
      <w:r>
        <w:t xml:space="preserve"> </w:t>
      </w:r>
      <w:r>
        <w:t xml:space="preserve">След като изслуша Федералното министерство по икономическите въпроси и енергетиката, както и Федералното министерство на правосъдието и защитата на потребителите, комисията по петициите на германския Бундестаг реши да препоръча стандартизиране на сроковете за калибриране на измервателните уреди за топла и студена вода.</w:t>
      </w:r>
    </w:p>
    <w:p w14:paraId="22861F5A" w14:textId="77777777" w:rsidR="00871685" w:rsidRPr="00BC7E53" w:rsidRDefault="00871685" w:rsidP="00871685">
      <w:pPr>
        <w:rPr>
          <w:u w:val="single"/>
        </w:rPr>
      </w:pPr>
      <w:r>
        <w:rPr>
          <w:u w:val="single"/>
        </w:rPr>
        <w:t xml:space="preserve">2.</w:t>
      </w:r>
      <w:r>
        <w:rPr>
          <w:u w:val="single"/>
        </w:rPr>
        <w:t xml:space="preserve"> </w:t>
      </w:r>
      <w:r>
        <w:rPr>
          <w:u w:val="single"/>
        </w:rPr>
        <w:t xml:space="preserve">Електроизмервателни уреди</w:t>
      </w:r>
    </w:p>
    <w:p w14:paraId="0E6D92A5" w14:textId="77777777" w:rsidR="00871685" w:rsidRPr="00BC7E53" w:rsidRDefault="00871685" w:rsidP="00871685">
      <w:r>
        <w:t xml:space="preserve">Понастоящем електромерите за променлив ток (AC) имат период на калибриране от осем години, а тези за постоянен ток (DC) от четири години.</w:t>
      </w:r>
      <w:r>
        <w:t xml:space="preserve"> </w:t>
      </w:r>
      <w:r>
        <w:t xml:space="preserve">В случай на измервателни уреди с електронна измервателна система, тази различна обработка не е необходима.</w:t>
      </w:r>
      <w:r>
        <w:t xml:space="preserve"> </w:t>
      </w:r>
    </w:p>
    <w:p w14:paraId="1C9F7A58" w14:textId="77777777" w:rsidR="00871685" w:rsidRPr="00BC7E53" w:rsidRDefault="00871685" w:rsidP="00871685">
      <w:pPr>
        <w:rPr>
          <w:u w:val="single"/>
        </w:rPr>
      </w:pPr>
      <w:r>
        <w:rPr>
          <w:u w:val="single"/>
        </w:rPr>
        <w:t xml:space="preserve">3.</w:t>
      </w:r>
      <w:r>
        <w:rPr>
          <w:u w:val="single"/>
        </w:rPr>
        <w:t xml:space="preserve"> </w:t>
      </w:r>
      <w:r>
        <w:rPr>
          <w:u w:val="single"/>
        </w:rPr>
        <w:t xml:space="preserve">Уреди за измерване на отработените газове</w:t>
      </w:r>
    </w:p>
    <w:p w14:paraId="2D253080" w14:textId="74B5E964" w:rsidR="00871685" w:rsidRPr="00BC7E53" w:rsidRDefault="00871685" w:rsidP="00871685">
      <w:r>
        <w:t xml:space="preserve">Отправната точка на настоящото обсъждане относно дублираното изпитване на измервателните уреди за измерване на отработени газове, използвани за основната инспекция (т.е. калибриране съгласно Закона за измерването и калибрирането (MessEG) и калибрирането съгласно Директива 2014/45/ЕС, във връзка с точка 2.1б, приложение VIIIб към StVZO (Наредбата за пътническите лицензи)) е въпросът как тяхната компетентност трябва да бъде определена в рамките на признаването на контролните организации.</w:t>
      </w:r>
      <w:r>
        <w:t xml:space="preserve"> </w:t>
      </w:r>
    </w:p>
    <w:p w14:paraId="06C270A0" w14:textId="77777777" w:rsidR="00871685" w:rsidRPr="00BC7E53" w:rsidRDefault="00871685" w:rsidP="00871685">
      <w:r>
        <w:t xml:space="preserve">Ако се избере акредитация, какъвто е случаят с Наредбата за лицензите за движение (StVZO), рамката за акредитация с всичките ѝ правила, в този случай с изискването за калибриране, също трябва да бъде спазена впоследствие.</w:t>
      </w:r>
    </w:p>
    <w:p w14:paraId="700F40F4" w14:textId="20D24C28" w:rsidR="00FA3436" w:rsidRPr="00BC7E53" w:rsidRDefault="00871685" w:rsidP="008750B8">
      <w:pPr>
        <w:pStyle w:val="Text"/>
        <w:rPr>
          <w:snapToGrid w:val="0"/>
        </w:rPr>
      </w:pPr>
      <w:r>
        <w:rPr>
          <w:snapToGrid w:val="0"/>
        </w:rPr>
        <w:t xml:space="preserve">Анализаторите на отработени газове</w:t>
      </w:r>
      <w:r>
        <w:t xml:space="preserve"> се регулират с Директива 2014/32/ЕС на Европейския парламент и на Съвета от 26 февруари 2014 година, относно хармонизирането на законодателствата на държавите членки относно предоставянето на пазара на измервателни уреди (ОВ L 96, 29 март 2014 г., стр. 149).</w:t>
      </w:r>
      <w:r>
        <w:rPr>
          <w:snapToGrid w:val="0"/>
        </w:rPr>
        <w:t xml:space="preserve"> </w:t>
      </w:r>
      <w:r>
        <w:rPr>
          <w:snapToGrid w:val="0"/>
        </w:rPr>
        <w:t xml:space="preserve">Директива 2014/45/ЕС на </w:t>
      </w:r>
      <w:r>
        <w:t xml:space="preserve">Европейския парламент и на Съвета от 3 април 2014 година относно периодичните проверки за техническа изправност на моторни превозни средства и ремаркета за моторни превозни средства и за отмяна на Директива 2009/40/ЕО (ОВ L 127, 29 април 2014 г., стр. 51) изисква в приложение III, точки I.10 и 11, използването на анализатор на отработени газове, който отговаря на Директивата за измервателните уреди и инструмент за измерване на коефициента на абсорбция с достатъчна точност.</w:t>
      </w:r>
      <w:r>
        <w:t xml:space="preserve"> </w:t>
      </w:r>
      <w:r>
        <w:t xml:space="preserve">Въвеждането на инструмент за измерване на концентрацията на частици се планира въз основа на националните правила за движението по пътищата.</w:t>
      </w:r>
      <w:r>
        <w:t xml:space="preserve"> </w:t>
      </w:r>
      <w:r>
        <w:t xml:space="preserve">Поради това пускането на пазара на измервателни уреди продължава да се регулира от закона за измерването и калибрирането.</w:t>
      </w:r>
      <w:r>
        <w:t xml:space="preserve"> </w:t>
      </w:r>
      <w:r>
        <w:t xml:space="preserve">Последващото използване обаче следва да се урежда изключително от разпоредбите на правото за автомобилния транспорт.</w:t>
      </w:r>
      <w:r>
        <w:t xml:space="preserve"> </w:t>
      </w:r>
      <w:r>
        <w:t xml:space="preserve">Поради тази причина използването на измервателни уреди за отработени газове за изпитване на отработени газове върху моторни превозни средства за официален мониторинг на обществения транспорт се изключва от обхвата на закона за измерване и калибриране.</w:t>
      </w:r>
      <w:r>
        <w:t xml:space="preserve"> </w:t>
      </w:r>
      <w:r>
        <w:t xml:space="preserve">Това ще премахне двойното изпитване.</w:t>
      </w:r>
      <w:r>
        <w:t xml:space="preserve"> </w:t>
      </w:r>
    </w:p>
    <w:p w14:paraId="0D4F29F8" w14:textId="77777777" w:rsidR="00F76388" w:rsidRPr="00BC7E53" w:rsidRDefault="00F76388" w:rsidP="00871685">
      <w:pPr>
        <w:pStyle w:val="Text"/>
        <w:rPr>
          <w:b/>
          <w:snapToGrid w:val="0"/>
          <w:u w:val="single"/>
        </w:rPr>
      </w:pPr>
      <w:r>
        <w:rPr>
          <w:b/>
          <w:snapToGrid w:val="0"/>
          <w:u w:val="single"/>
        </w:rPr>
        <w:t xml:space="preserve">Б. Освобождаване съгласно енергийното законодателство за използване на измерени стойности</w:t>
      </w:r>
    </w:p>
    <w:p w14:paraId="3109C93D" w14:textId="31C55B3B" w:rsidR="00F76388" w:rsidRPr="00BC7E53" w:rsidRDefault="00F76388" w:rsidP="00F76388">
      <w:pPr>
        <w:pStyle w:val="Text"/>
        <w:rPr>
          <w:rStyle w:val="Marker"/>
          <w:color w:val="auto"/>
        </w:rPr>
      </w:pPr>
      <w:r>
        <w:rPr>
          <w:rStyle w:val="Marker"/>
          <w:color w:val="auto"/>
        </w:rPr>
        <w:t xml:space="preserve">За енергийните комунални услуги е въведено конкурентно предоставяне на услуги за доставка на електроенергия и газ, въз основа на Европейското законодателство от 1998 г. („Първият пакет за вътрешния пазар“).</w:t>
      </w:r>
      <w:r>
        <w:rPr>
          <w:rStyle w:val="Marker"/>
          <w:color w:val="auto"/>
        </w:rPr>
        <w:t xml:space="preserve"> </w:t>
      </w:r>
      <w:r>
        <w:rPr>
          <w:rStyle w:val="Marker"/>
          <w:color w:val="auto"/>
        </w:rPr>
        <w:t xml:space="preserve">Когато пазарите бяха отворени, по-специално задачата за установяване на сигурност на доставките беше прехвърлена в областта на отговорността на участниците на пазара съгласно частното право.</w:t>
      </w:r>
      <w:r>
        <w:rPr>
          <w:rStyle w:val="Marker"/>
          <w:color w:val="auto"/>
        </w:rPr>
        <w:t xml:space="preserve"> </w:t>
      </w:r>
      <w:r>
        <w:rPr>
          <w:rStyle w:val="Marker"/>
          <w:color w:val="auto"/>
        </w:rPr>
        <w:t xml:space="preserve">Регламентите, които са диференцирани съгласно Европейското право, съдържат разпоредби, които имат за цел по-специално да гарантират, че участниците на пазара са подложени на пълен контрол на всички свои дейности (в електроенергийния сектор на всяко тримесечие от час, ежедневно в газовия сектор).</w:t>
      </w:r>
      <w:r>
        <w:rPr>
          <w:rStyle w:val="Marker"/>
          <w:color w:val="auto"/>
        </w:rPr>
        <w:t xml:space="preserve"> </w:t>
      </w:r>
      <w:r>
        <w:rPr>
          <w:rStyle w:val="Marker"/>
          <w:color w:val="auto"/>
        </w:rPr>
        <w:t xml:space="preserve">Това ефективно предотвратява едностранната търговска оптимизация за сметка на сигурността на доставките.</w:t>
      </w:r>
    </w:p>
    <w:p w14:paraId="5F7A0133" w14:textId="77777777" w:rsidR="00F76388" w:rsidRPr="00BC7E53" w:rsidRDefault="00F76388" w:rsidP="00F76388">
      <w:pPr>
        <w:pStyle w:val="Text"/>
        <w:rPr>
          <w:rStyle w:val="Marker"/>
          <w:color w:val="auto"/>
        </w:rPr>
      </w:pPr>
      <w:r>
        <w:rPr>
          <w:rStyle w:val="Marker"/>
          <w:color w:val="auto"/>
        </w:rPr>
        <w:t xml:space="preserve">Поради отварянето на пазарите за доставки на електроенергия и газ, стана необходимо да се таксуват външни услуги, които преди това са били разпределени и уредени вътрешно между участниците на пазара.</w:t>
      </w:r>
      <w:r>
        <w:rPr>
          <w:rStyle w:val="Marker"/>
          <w:color w:val="auto"/>
        </w:rPr>
        <w:t xml:space="preserve"> </w:t>
      </w:r>
      <w:r>
        <w:rPr>
          <w:rStyle w:val="Marker"/>
          <w:color w:val="auto"/>
        </w:rPr>
        <w:t xml:space="preserve">По правило, количествата електроенергия и газ се записват чрез измервателни устройства, които съответстват на закона за измерване и калибриране.</w:t>
      </w:r>
      <w:r>
        <w:rPr>
          <w:rStyle w:val="Marker"/>
          <w:color w:val="auto"/>
        </w:rPr>
        <w:t xml:space="preserve"> </w:t>
      </w:r>
      <w:r>
        <w:rPr>
          <w:rStyle w:val="Marker"/>
          <w:color w:val="auto"/>
        </w:rPr>
        <w:t xml:space="preserve">В някои случаи обаче се изискват стойности, които не могат или не могат лесно да се определят чрез преки измервания.</w:t>
      </w:r>
      <w:r>
        <w:rPr>
          <w:rStyle w:val="Marker"/>
          <w:color w:val="auto"/>
        </w:rPr>
        <w:t xml:space="preserve"> </w:t>
      </w:r>
      <w:r>
        <w:rPr>
          <w:rStyle w:val="Marker"/>
          <w:color w:val="auto"/>
        </w:rPr>
        <w:t xml:space="preserve">Въпреки това, тези стойности могат да бъдат получени чрез изчислителни операции.</w:t>
      </w:r>
      <w:r>
        <w:rPr>
          <w:rStyle w:val="Marker"/>
          <w:color w:val="auto"/>
        </w:rPr>
        <w:t xml:space="preserve"> </w:t>
      </w:r>
      <w:r>
        <w:rPr>
          <w:rStyle w:val="Marker"/>
          <w:color w:val="auto"/>
        </w:rPr>
        <w:t xml:space="preserve">Поради тази причина съществуват няколко процеса и процедурите в енергийната промишленост, в които количествата енергия играят роля, която се определя чрез компенсиране.</w:t>
      </w:r>
      <w:r>
        <w:rPr>
          <w:rStyle w:val="Marker"/>
          <w:color w:val="auto"/>
        </w:rPr>
        <w:t xml:space="preserve"> </w:t>
      </w:r>
      <w:r>
        <w:rPr>
          <w:rStyle w:val="Marker"/>
          <w:color w:val="auto"/>
        </w:rPr>
        <w:t xml:space="preserve">Това се отнася например за определянето на самопотреблението в еднофамилна къща с фотоволтаична система.</w:t>
      </w:r>
      <w:r>
        <w:rPr>
          <w:rStyle w:val="Marker"/>
          <w:color w:val="auto"/>
        </w:rPr>
        <w:t xml:space="preserve"> </w:t>
      </w:r>
      <w:r>
        <w:rPr>
          <w:rStyle w:val="Marker"/>
          <w:color w:val="auto"/>
        </w:rPr>
        <w:t xml:space="preserve">За да се определи количеството на самопотреблението, количеството електроенергия, захранвано от оператора на системата, трябва да бъде приспаднато от самостоятелно генерираните количества електроенергия в случай на излишък на подаване. Не е възможно да се измери самопотреблението в това просто обстоятелство, тъй като дори ако всички потребители (напр. перална машина, съдомиялна машина, хладилник) трябва да бъдат измерени поотделно, тези стойности трябва да се добавят, за да се получи общата консумация.</w:t>
      </w:r>
      <w:r>
        <w:rPr>
          <w:rStyle w:val="Marker"/>
          <w:color w:val="auto"/>
        </w:rPr>
        <w:t xml:space="preserve"> </w:t>
      </w:r>
      <w:r>
        <w:rPr>
          <w:rStyle w:val="Marker"/>
          <w:color w:val="auto"/>
        </w:rPr>
        <w:t xml:space="preserve">Този вид компенсиране се извършва във всички области на енергийната индустрия и в много по-сложна форма.</w:t>
      </w:r>
      <w:r>
        <w:rPr>
          <w:rStyle w:val="Marker"/>
          <w:color w:val="auto"/>
        </w:rPr>
        <w:t xml:space="preserve"> </w:t>
      </w:r>
      <w:r>
        <w:rPr>
          <w:rStyle w:val="Marker"/>
          <w:color w:val="auto"/>
        </w:rPr>
        <w:t xml:space="preserve">Например, компенсирането на входящите и изходящите количества също е необходимо за изчисляване на таксите и налозите, за които е отговорен пазарният оператор, но също така и за управлението на счетоводната мрежа или доставката на енергия за крайните потребители.</w:t>
      </w:r>
      <w:r>
        <w:rPr>
          <w:rStyle w:val="Marker"/>
          <w:color w:val="auto"/>
        </w:rPr>
        <w:t xml:space="preserve"> </w:t>
      </w:r>
      <w:r>
        <w:rPr>
          <w:rStyle w:val="Marker"/>
          <w:color w:val="auto"/>
        </w:rPr>
        <w:t xml:space="preserve">Изчерпателен списък на условията, при които се извършва компенсиране, едва ли е осъществим.</w:t>
      </w:r>
    </w:p>
    <w:p w14:paraId="63D375F9" w14:textId="4A2D24CE" w:rsidR="00BC477E" w:rsidRPr="00BC7E53" w:rsidRDefault="00F76388" w:rsidP="00BC477E">
      <w:pPr>
        <w:pStyle w:val="Text"/>
        <w:rPr>
          <w:rStyle w:val="Marker"/>
          <w:color w:val="auto"/>
        </w:rPr>
      </w:pPr>
      <w:r>
        <w:rPr>
          <w:rStyle w:val="Marker"/>
          <w:color w:val="auto"/>
        </w:rPr>
        <w:t xml:space="preserve">Ежедневното компенсиране в енергийната промишленост обикновено се определя от закона или нормативните инструменти, или се основава на Европейското право.</w:t>
      </w:r>
      <w:r>
        <w:rPr>
          <w:rStyle w:val="Marker"/>
          <w:color w:val="auto"/>
        </w:rPr>
        <w:t xml:space="preserve"> </w:t>
      </w:r>
      <w:r>
        <w:rPr>
          <w:rStyle w:val="Marker"/>
          <w:color w:val="auto"/>
        </w:rPr>
        <w:t xml:space="preserve">Тези специални правни разпоредби водят до значителна правна несигурност по отношение на закона за измерването и калибрирането.</w:t>
      </w:r>
      <w:r>
        <w:rPr>
          <w:rStyle w:val="Marker"/>
          <w:color w:val="auto"/>
        </w:rPr>
        <w:t xml:space="preserve"> </w:t>
      </w:r>
      <w:r>
        <w:rPr>
          <w:rStyle w:val="Marker"/>
          <w:color w:val="auto"/>
        </w:rPr>
        <w:t xml:space="preserve">Съгласно член 25 от Наредбата за измерване и калибриране, измерените променливи, чиито стойности са формирани като сума, разлика, продукт или коефициент от измерени стойности, могат да бъдат определени или използвани, само ако Комитетът за определяне на правилото е определил правило, което определя допустимите отклонения на стойностите от истинските стойности.</w:t>
      </w:r>
      <w:r>
        <w:rPr>
          <w:rStyle w:val="Marker"/>
          <w:color w:val="auto"/>
        </w:rPr>
        <w:t xml:space="preserve"> </w:t>
      </w:r>
      <w:r>
        <w:rPr>
          <w:rStyle w:val="Marker"/>
          <w:color w:val="auto"/>
        </w:rPr>
        <w:t xml:space="preserve">Такова правило обаче все още не е установено за голям брой ситуации, при които измерените стойности трябва да бъдат компенсирани в енергийната промишленост.</w:t>
      </w:r>
      <w:r>
        <w:rPr>
          <w:rStyle w:val="Marker"/>
          <w:color w:val="auto"/>
        </w:rPr>
        <w:t xml:space="preserve"> </w:t>
      </w:r>
      <w:r>
        <w:rPr>
          <w:rStyle w:val="Marker"/>
          <w:color w:val="auto"/>
        </w:rPr>
        <w:t xml:space="preserve">В някои случаи например, когато стойностите на разликите трябва да бъдат изчислени, вече е математически невъзможно да се компенсират измерените стойности в законовите граници на грешките на съответните измервателни уреди.</w:t>
      </w:r>
    </w:p>
    <w:p w14:paraId="05B9C698" w14:textId="0FEC1CE9" w:rsidR="008E5F96" w:rsidRPr="00BC7E53" w:rsidRDefault="008E5F96" w:rsidP="008E5F96">
      <w:pPr>
        <w:pStyle w:val="Text"/>
      </w:pPr>
      <w:r>
        <w:rPr>
          <w:rStyle w:val="Marker"/>
          <w:color w:val="auto"/>
        </w:rPr>
        <w:t xml:space="preserve">За да се вземе това предвид е необходимо измерените стойности в енергийния сектор също да могат да бъдат компенсирани без правило, постановено от Комитета за регулаторно определяне.</w:t>
      </w:r>
      <w:r>
        <w:rPr>
          <w:rStyle w:val="Marker"/>
          <w:color w:val="auto"/>
        </w:rPr>
        <w:t xml:space="preserve"> </w:t>
      </w:r>
      <w:r>
        <w:rPr>
          <w:rStyle w:val="Marker"/>
          <w:color w:val="auto"/>
        </w:rPr>
        <w:t xml:space="preserve">Следователно компенсирането е разрешено съгласно новата точка 7.</w:t>
      </w:r>
      <w:r>
        <w:rPr>
          <w:rStyle w:val="Marker"/>
          <w:color w:val="auto"/>
        </w:rPr>
        <w:t xml:space="preserve"> </w:t>
      </w:r>
      <w:r>
        <w:rPr>
          <w:rStyle w:val="Marker"/>
          <w:color w:val="auto"/>
        </w:rPr>
        <w:t xml:space="preserve">Въпреки това тази много обща допустимост на компенсиране на измерените стойности в енергийната промишленост се прилага само, докато допълнителни подробности не бъдат регламентирани от нормативен инструмент или от правило на Комитета за определяне на правила.</w:t>
      </w:r>
      <w:r>
        <w:rPr>
          <w:rStyle w:val="Marker"/>
          <w:color w:val="auto"/>
        </w:rPr>
        <w:t xml:space="preserve"> </w:t>
      </w:r>
      <w:r>
        <w:rPr>
          <w:rStyle w:val="Marker"/>
          <w:color w:val="auto"/>
        </w:rPr>
        <w:t xml:space="preserve">Следователно, ако вече съществува правило или правило се определя от Комитета за определяне на правила, то трябва да се прилага като приоритетен въпрос.</w:t>
      </w:r>
    </w:p>
    <w:p w14:paraId="2FBFC5BC" w14:textId="77777777" w:rsidR="00F76388" w:rsidRPr="00BC7E53" w:rsidRDefault="00FC0C31" w:rsidP="00F76388">
      <w:pPr>
        <w:pStyle w:val="berschriftrmischBegrndung"/>
      </w:pPr>
      <w:r>
        <w:t xml:space="preserve">Основно съдържание на проекта</w:t>
      </w:r>
    </w:p>
    <w:p w14:paraId="6B1190D7" w14:textId="77777777" w:rsidR="0027329E" w:rsidRPr="00BC7E53" w:rsidRDefault="0027329E" w:rsidP="00871685">
      <w:pPr>
        <w:rPr>
          <w:u w:val="single"/>
        </w:rPr>
      </w:pPr>
      <w:r>
        <w:rPr>
          <w:u w:val="single"/>
        </w:rPr>
        <w:t xml:space="preserve">А. Калибрационни периоди</w:t>
      </w:r>
    </w:p>
    <w:p w14:paraId="1BEE7641" w14:textId="403443B6" w:rsidR="00871685" w:rsidRPr="00BC7E53" w:rsidRDefault="00871685" w:rsidP="00871685">
      <w:pPr>
        <w:rPr>
          <w:u w:val="single"/>
        </w:rPr>
      </w:pPr>
      <w:r>
        <w:rPr>
          <w:u w:val="single"/>
        </w:rPr>
        <w:t xml:space="preserve">1.</w:t>
      </w:r>
      <w:r>
        <w:rPr>
          <w:u w:val="single"/>
        </w:rPr>
        <w:t xml:space="preserve"> </w:t>
      </w:r>
      <w:r>
        <w:rPr>
          <w:u w:val="single"/>
        </w:rPr>
        <w:t xml:space="preserve">Водомери, топломери</w:t>
      </w:r>
    </w:p>
    <w:p w14:paraId="263B4FB1" w14:textId="491C2E2F" w:rsidR="00871685" w:rsidRPr="00BC7E53" w:rsidRDefault="00871685" w:rsidP="00871685">
      <w:r>
        <w:t xml:space="preserve">Периодите на калибриране за топломери, топла и студена вода и следователно датите за обмен, са стандартизирани, за да се облекчи тежестта върху потребителите.</w:t>
      </w:r>
      <w:r>
        <w:t xml:space="preserve"> </w:t>
      </w:r>
    </w:p>
    <w:p w14:paraId="4C6CF5FE" w14:textId="77777777" w:rsidR="00871685" w:rsidRPr="00BC7E53" w:rsidRDefault="00871685" w:rsidP="00871685">
      <w:pPr>
        <w:rPr>
          <w:u w:val="single"/>
        </w:rPr>
      </w:pPr>
      <w:r>
        <w:rPr>
          <w:u w:val="single"/>
        </w:rPr>
        <w:t xml:space="preserve">2.</w:t>
      </w:r>
      <w:r>
        <w:rPr>
          <w:u w:val="single"/>
        </w:rPr>
        <w:t xml:space="preserve"> </w:t>
      </w:r>
      <w:r>
        <w:rPr>
          <w:u w:val="single"/>
        </w:rPr>
        <w:t xml:space="preserve">Електроизмервателни уреди</w:t>
      </w:r>
    </w:p>
    <w:p w14:paraId="0B25F010" w14:textId="77777777" w:rsidR="00871685" w:rsidRPr="00BC7E53" w:rsidRDefault="00871685" w:rsidP="00871685">
      <w:r>
        <w:t xml:space="preserve">Периодите на калибриране на електроизмервателните уреди с електронна измервателна станция трябва да бъдат стандартизирани.</w:t>
      </w:r>
      <w:r>
        <w:t xml:space="preserve"> </w:t>
      </w:r>
      <w:r>
        <w:t xml:space="preserve">Това облекчава тежестта върху бизнеса през по-дълги интервали и отговаря на искане на органите за калибриране.</w:t>
      </w:r>
    </w:p>
    <w:p w14:paraId="497740AC" w14:textId="3EFDBF9B" w:rsidR="00871685" w:rsidRPr="00BC7E53" w:rsidRDefault="00CF1D3A" w:rsidP="00871685">
      <w:pPr>
        <w:rPr>
          <w:u w:val="single"/>
        </w:rPr>
      </w:pPr>
      <w:r>
        <w:rPr>
          <w:u w:val="single"/>
        </w:rPr>
        <w:t xml:space="preserve">Б. Инструменти за измерване на отработени газове</w:t>
      </w:r>
    </w:p>
    <w:p w14:paraId="27AC61A5" w14:textId="01D4C47B" w:rsidR="00CF1D3A" w:rsidRPr="00BC7E53" w:rsidRDefault="00CF1D3A" w:rsidP="00871685">
      <w:r>
        <w:t xml:space="preserve">Създава се освобождаване от използването на измервателни уреди за отработени газове.</w:t>
      </w:r>
      <w:r>
        <w:t xml:space="preserve"> </w:t>
      </w:r>
    </w:p>
    <w:p w14:paraId="2C2D288D" w14:textId="66009269" w:rsidR="0027329E" w:rsidRPr="00BC7E53" w:rsidRDefault="00CF1D3A" w:rsidP="0027329E">
      <w:pPr>
        <w:pStyle w:val="Text"/>
        <w:rPr>
          <w:snapToGrid w:val="0"/>
          <w:u w:val="single"/>
        </w:rPr>
      </w:pPr>
      <w:r>
        <w:rPr>
          <w:snapToGrid w:val="0"/>
          <w:u w:val="single"/>
        </w:rPr>
        <w:t xml:space="preserve">В. Освобождаване съгласно енергийното законодателство за използване на измерени стойности</w:t>
      </w:r>
    </w:p>
    <w:p w14:paraId="5B7972E0" w14:textId="77777777" w:rsidR="0027329E" w:rsidRPr="00BC7E53" w:rsidRDefault="0027329E" w:rsidP="00871685">
      <w:pPr>
        <w:pStyle w:val="Text"/>
      </w:pPr>
      <w:r>
        <w:rPr>
          <w:rStyle w:val="Marker"/>
          <w:color w:val="auto"/>
        </w:rPr>
        <w:t xml:space="preserve">Уточнение, че в определени случаи на прилагане, измерените стойности могат също да бъдат компенсирани без правило от Комитета за определяне на правила.</w:t>
      </w:r>
    </w:p>
    <w:p w14:paraId="5D38EA6B" w14:textId="77777777" w:rsidR="00FC0C31" w:rsidRPr="00BC7E53" w:rsidRDefault="00FC0C31" w:rsidP="00AA4D0B">
      <w:pPr>
        <w:pStyle w:val="berschriftrmischBegrndung"/>
      </w:pPr>
      <w:r>
        <w:t xml:space="preserve">Алтернативи</w:t>
      </w:r>
    </w:p>
    <w:p w14:paraId="6B85EC0D" w14:textId="77777777" w:rsidR="00FC0C31" w:rsidRPr="00BC7E53" w:rsidRDefault="00871685" w:rsidP="00AA4D0B">
      <w:pPr>
        <w:pStyle w:val="Text"/>
      </w:pPr>
      <w:r>
        <w:rPr>
          <w:rStyle w:val="Marker"/>
          <w:color w:val="auto"/>
        </w:rPr>
        <w:t xml:space="preserve">Няма.</w:t>
      </w:r>
      <w:r>
        <w:rPr>
          <w:rStyle w:val="Marker"/>
          <w:color w:val="auto"/>
        </w:rPr>
        <w:t xml:space="preserve"> </w:t>
      </w:r>
    </w:p>
    <w:p w14:paraId="0BBD9F1E" w14:textId="77777777" w:rsidR="00FC0C31" w:rsidRPr="00BC7E53" w:rsidRDefault="00FC0C31" w:rsidP="00AA4D0B">
      <w:pPr>
        <w:pStyle w:val="berschriftrmischBegrndung"/>
      </w:pPr>
      <w:r>
        <w:t xml:space="preserve">Регулаторна компетентност</w:t>
      </w:r>
    </w:p>
    <w:p w14:paraId="048E0710" w14:textId="05BE73FA" w:rsidR="00FC0C31" w:rsidRPr="00BC7E53" w:rsidRDefault="00D564D8" w:rsidP="00AA4D0B">
      <w:pPr>
        <w:pStyle w:val="Hinweistext"/>
        <w:rPr>
          <w:color w:val="auto"/>
        </w:rPr>
      </w:pPr>
      <w:r>
        <w:rPr>
          <w:color w:val="auto"/>
          <w:rStyle w:val="Marker"/>
        </w:rPr>
        <w:t xml:space="preserve">Наредбата се основава на</w:t>
      </w:r>
      <w:r>
        <w:rPr>
          <w:color w:val="auto"/>
        </w:rPr>
        <w:t xml:space="preserve"> член 30, параграф 3, член 41, параграф  2 и член 6, букви а) и б) от</w:t>
      </w:r>
      <w:r>
        <w:rPr>
          <w:color w:val="auto"/>
          <w:rStyle w:val="Marker"/>
        </w:rPr>
        <w:t xml:space="preserve"> Закона за измерване и калибриране.</w:t>
      </w:r>
    </w:p>
    <w:p w14:paraId="57B19706" w14:textId="77777777" w:rsidR="00FC0C31" w:rsidRPr="00BC7E53" w:rsidRDefault="00FC0C31" w:rsidP="00AA4D0B">
      <w:pPr>
        <w:pStyle w:val="berschriftrmischBegrndung"/>
      </w:pPr>
      <w:r>
        <w:t xml:space="preserve">Съвместимост с правото на Европейския съюз и международни договори</w:t>
      </w:r>
    </w:p>
    <w:p w14:paraId="52FBB372" w14:textId="77777777" w:rsidR="00FC0C31" w:rsidRPr="00BC7E53" w:rsidRDefault="00D564D8" w:rsidP="00AA4D0B">
      <w:pPr>
        <w:pStyle w:val="Text"/>
      </w:pPr>
      <w:bookmarkStart w:id="43" w:name="_Hlk55401702"/>
      <w:r>
        <w:t xml:space="preserve">Наредбата е съвместима с европейското първично и вторично право и не представлява дискриминация срещу гражданите на ЕС.</w:t>
      </w:r>
      <w:r>
        <w:t xml:space="preserve"> </w:t>
      </w:r>
      <w:r>
        <w:t xml:space="preserve">Регламентите са обхванати от националните регулаторни правомощия на държавите членки.</w:t>
      </w:r>
      <w:bookmarkEnd w:id="43"/>
    </w:p>
    <w:p w14:paraId="1D1FF655" w14:textId="77777777" w:rsidR="00FC0C31" w:rsidRPr="00BC7E53" w:rsidRDefault="00FC0C31" w:rsidP="00AA4D0B">
      <w:pPr>
        <w:pStyle w:val="berschriftrmischBegrndung"/>
      </w:pPr>
      <w:r>
        <w:t xml:space="preserve">Регулаторно въздействие</w:t>
      </w:r>
    </w:p>
    <w:p w14:paraId="3A804CCD" w14:textId="77777777" w:rsidR="00FC0C31" w:rsidRPr="00BC7E53" w:rsidRDefault="00FC0C31" w:rsidP="00AA4D0B">
      <w:pPr>
        <w:pStyle w:val="berschriftarabischBegrndung"/>
      </w:pPr>
      <w:r>
        <w:t xml:space="preserve">Опростяване на правните и административните процедури</w:t>
      </w:r>
    </w:p>
    <w:p w14:paraId="670F2338" w14:textId="2B9422D5" w:rsidR="00FC0C31" w:rsidRPr="00BC7E53" w:rsidRDefault="00654A6B" w:rsidP="00AA4D0B">
      <w:r>
        <w:rPr>
          <w:rStyle w:val="Marker"/>
          <w:color w:val="auto"/>
        </w:rPr>
        <w:t xml:space="preserve">Удължаването на сроковете за калибриране ще облекчи финансовата и организационна тежест за гражданите и бизнеса.</w:t>
      </w:r>
      <w:r>
        <w:rPr>
          <w:rStyle w:val="Marker"/>
          <w:color w:val="auto"/>
        </w:rPr>
        <w:t xml:space="preserve"> </w:t>
      </w:r>
      <w:r>
        <w:rPr>
          <w:rStyle w:val="Marker"/>
          <w:color w:val="auto"/>
        </w:rPr>
        <w:t xml:space="preserve">Създаването на възможности за компенсиране на измерените стойности в областта на услугите за доставка на електроенергия и газ създава правен мир, като също така осигурява законово водонепропускливо регулиране на възможностите за компенсиране, изисквано от Европейското законодателство, специалния закон и нормативните инструменти в закона за измерване и калибриране.</w:t>
      </w:r>
      <w:r>
        <w:rPr>
          <w:rStyle w:val="Marker"/>
          <w:color w:val="auto"/>
        </w:rPr>
        <w:t xml:space="preserve"> </w:t>
      </w:r>
    </w:p>
    <w:p w14:paraId="4AC717E0" w14:textId="77777777" w:rsidR="00FC0C31" w:rsidRPr="00BC7E53" w:rsidRDefault="00FC0C31" w:rsidP="00AA4D0B">
      <w:pPr>
        <w:pStyle w:val="berschriftarabischBegrndung"/>
      </w:pPr>
      <w:r>
        <w:t xml:space="preserve">Аспекти на устойчивостта</w:t>
      </w:r>
    </w:p>
    <w:p w14:paraId="52EBC1DE" w14:textId="27FB2637" w:rsidR="00D564D8" w:rsidRPr="00BC7E53" w:rsidRDefault="00D75218" w:rsidP="00D564D8">
      <w:pPr>
        <w:pStyle w:val="Text"/>
      </w:pPr>
      <w:r>
        <w:t xml:space="preserve">Разпоредбите на наредбата са в съответствие с ръководните принципи на Германската стратегия за устойчиво развитие (DNS) и подкрепят устойчивия икономически растеж чрез ясна правна рамка (SDG 8).</w:t>
      </w:r>
    </w:p>
    <w:p w14:paraId="39794527" w14:textId="29A5EF8F" w:rsidR="00F738EE" w:rsidRPr="00BC7E53" w:rsidRDefault="00D75218" w:rsidP="00D564D8">
      <w:pPr>
        <w:pStyle w:val="Text"/>
      </w:pPr>
      <w:r>
        <w:t xml:space="preserve">Наредбата определя правила, които са балансирани от търговска гледна точка и които намаляват тежестта върху бизнеса до абсолютно необходим минимум.</w:t>
      </w:r>
      <w:r>
        <w:t xml:space="preserve"> </w:t>
      </w:r>
      <w:r>
        <w:t xml:space="preserve">Наредбите на проекта също имат положителни екологични ефекти.</w:t>
      </w:r>
      <w:r>
        <w:t xml:space="preserve"> </w:t>
      </w:r>
      <w:r>
        <w:t xml:space="preserve">Удължаването на периода на калибриране на топломери и измервателни уреди за топла вода с една година позволява съвместния обмен на измервателни уреди за топлина, топла и студена вода в бъдеще.</w:t>
      </w:r>
      <w:r>
        <w:t xml:space="preserve"> </w:t>
      </w:r>
      <w:r>
        <w:t xml:space="preserve">Това премахва необходимостта от замяна на измервателни уреди за студена вода и топлина предварително, което понякога се извършваше.</w:t>
      </w:r>
      <w:r>
        <w:t xml:space="preserve"> </w:t>
      </w:r>
      <w:r>
        <w:t xml:space="preserve">Това води до по-ниско потребление на суровини и следователно има потенциално положителен ефект върху индикатор 8.1. на DNS.</w:t>
      </w:r>
      <w:r>
        <w:t xml:space="preserve"> </w:t>
      </w:r>
      <w:r>
        <w:t xml:space="preserve">Положителни ефекти се очакват и върху индикатор 13.1.а.</w:t>
      </w:r>
    </w:p>
    <w:p w14:paraId="7C5ECB65" w14:textId="34345F21" w:rsidR="00FC0C31" w:rsidRPr="00BC7E53" w:rsidRDefault="00D564D8" w:rsidP="00D564D8">
      <w:pPr>
        <w:pStyle w:val="Text"/>
      </w:pPr>
      <w:r>
        <w:t xml:space="preserve">Регламентите, предвидени в проекта на наредбата, не засягат социалните аспекти.</w:t>
      </w:r>
    </w:p>
    <w:p w14:paraId="5BADE6EA" w14:textId="77777777" w:rsidR="00FC0C31" w:rsidRPr="00BC7E53" w:rsidRDefault="00FC0C31" w:rsidP="00AA4D0B">
      <w:pPr>
        <w:pStyle w:val="berschriftarabischBegrndung"/>
      </w:pPr>
      <w:r>
        <w:t xml:space="preserve">Бюджетни разходи без разходи за съответствие</w:t>
      </w:r>
    </w:p>
    <w:p w14:paraId="39807759" w14:textId="77777777" w:rsidR="00FC0C31" w:rsidRPr="00BC7E53" w:rsidRDefault="00D564D8" w:rsidP="00AA4D0B">
      <w:pPr>
        <w:pStyle w:val="Text"/>
      </w:pPr>
      <w:r>
        <w:t xml:space="preserve">Наредбата не включва никакви бюджетни разходи без разходи за съответствие.</w:t>
      </w:r>
    </w:p>
    <w:p w14:paraId="106F7118" w14:textId="77777777" w:rsidR="00FC0C31" w:rsidRPr="00BC7E53" w:rsidRDefault="00FC0C31" w:rsidP="00AA4D0B">
      <w:pPr>
        <w:pStyle w:val="berschriftarabischBegrndung"/>
      </w:pPr>
      <w:r>
        <w:t xml:space="preserve">Разходи за съответствие</w:t>
      </w:r>
    </w:p>
    <w:p w14:paraId="1E525E71" w14:textId="43EC10F1" w:rsidR="00B031F4" w:rsidRPr="00BC7E53" w:rsidRDefault="00B031F4" w:rsidP="00B031F4">
      <w:pPr>
        <w:pStyle w:val="Text"/>
      </w:pPr>
      <w:r>
        <w:t xml:space="preserve">Гражданите не поемат никакви допълнителни разходи за спазване на изискванията.</w:t>
      </w:r>
      <w:r>
        <w:t xml:space="preserve"> </w:t>
      </w:r>
      <w:r>
        <w:t xml:space="preserve">Стандартизацията на периодите на калибриране за топломери и водомери ги освобождава от тежестта.</w:t>
      </w:r>
      <w:r>
        <w:t xml:space="preserve"> </w:t>
      </w:r>
      <w:r>
        <w:t xml:space="preserve">Обменът на топломери, водомери за топла и студена вода може да се извършва съвместно в бъдеще.</w:t>
      </w:r>
      <w:r>
        <w:t xml:space="preserve"> </w:t>
      </w:r>
    </w:p>
    <w:p w14:paraId="5418E518" w14:textId="5E114D7E" w:rsidR="00E858F5" w:rsidRPr="00BC7E53" w:rsidRDefault="00AA4D0B" w:rsidP="00E858F5">
      <w:pPr>
        <w:pStyle w:val="Text"/>
        <w:rPr>
          <w:rStyle w:val="Marker"/>
          <w:color w:val="auto"/>
        </w:rPr>
      </w:pPr>
      <w:r>
        <w:t xml:space="preserve">Не са направени разходи за съответствие на стопанската дейност.</w:t>
      </w:r>
      <w:r>
        <w:t xml:space="preserve"> </w:t>
      </w:r>
      <w:r>
        <w:rPr>
          <w:rStyle w:val="Marker"/>
          <w:color w:val="auto"/>
        </w:rPr>
        <w:t xml:space="preserve">Създаването на освобождаване от употреба елиминира двойното изпитване на измервателните уреди за измерване на отработени газове.</w:t>
      </w:r>
      <w:r>
        <w:rPr>
          <w:rStyle w:val="Marker"/>
          <w:color w:val="auto"/>
        </w:rPr>
        <w:t xml:space="preserve"> </w:t>
      </w:r>
      <w:r>
        <w:rPr>
          <w:rStyle w:val="Marker"/>
          <w:color w:val="auto"/>
        </w:rPr>
        <w:t xml:space="preserve">Не се изисква годишно калибриране; това ще премахне таксите за калибриране за повече от 65 000 измервателни уред, използвани за изпитването на емисиите на отработени газове.</w:t>
      </w:r>
    </w:p>
    <w:p w14:paraId="1DE5737B" w14:textId="77777777" w:rsidR="00AA4D0B" w:rsidRPr="00BC7E53" w:rsidRDefault="00AA4D0B" w:rsidP="00AA4D0B">
      <w:pPr>
        <w:pStyle w:val="Text"/>
      </w:pPr>
      <w:r>
        <w:t xml:space="preserve">Не са създадени нови изисквания за информация.</w:t>
      </w:r>
    </w:p>
    <w:p w14:paraId="068BF7C6" w14:textId="77777777" w:rsidR="00FC0C31" w:rsidRPr="00BC7E53" w:rsidRDefault="00FC0C31" w:rsidP="00AA4D0B">
      <w:pPr>
        <w:pStyle w:val="berschriftarabischBegrndung"/>
      </w:pPr>
      <w:r>
        <w:t xml:space="preserve">Други разходи</w:t>
      </w:r>
    </w:p>
    <w:p w14:paraId="070B8BC0" w14:textId="1E774A33" w:rsidR="00BB4E4B" w:rsidRPr="00BC7E53" w:rsidRDefault="00756D8C" w:rsidP="00AA4D0B">
      <w:pPr>
        <w:pStyle w:val="Text"/>
      </w:pPr>
      <w:r>
        <w:t xml:space="preserve">Не се очакват ефекти върху ценовите нива, особено нивата на потребителските цени.</w:t>
      </w:r>
    </w:p>
    <w:p w14:paraId="6181351F" w14:textId="77777777" w:rsidR="00FC0C31" w:rsidRPr="00BC7E53" w:rsidRDefault="00FC0C31" w:rsidP="00AA4D0B">
      <w:pPr>
        <w:pStyle w:val="berschriftarabischBegrndung"/>
      </w:pPr>
      <w:r>
        <w:t xml:space="preserve">Допълнително регулаторно въздействие</w:t>
      </w:r>
    </w:p>
    <w:p w14:paraId="34DFE2B8" w14:textId="77777777" w:rsidR="00AA4D0B" w:rsidRPr="00BC7E53" w:rsidRDefault="00AA4D0B" w:rsidP="00AA4D0B">
      <w:pPr>
        <w:pStyle w:val="Text"/>
        <w:rPr>
          <w:rStyle w:val="Marker"/>
          <w:color w:val="auto"/>
        </w:rPr>
      </w:pPr>
      <w:r>
        <w:rPr>
          <w:rStyle w:val="Marker"/>
          <w:color w:val="auto"/>
        </w:rPr>
        <w:t xml:space="preserve">Предложението не оказва влияние върху демографията.</w:t>
      </w:r>
    </w:p>
    <w:p w14:paraId="0C097B5F" w14:textId="77777777" w:rsidR="00FC0C31" w:rsidRPr="00BC7E53" w:rsidRDefault="00AA4D0B" w:rsidP="00AA4D0B">
      <w:pPr>
        <w:pStyle w:val="Text"/>
      </w:pPr>
      <w:r>
        <w:rPr>
          <w:rStyle w:val="Marker"/>
          <w:color w:val="auto"/>
        </w:rPr>
        <w:t xml:space="preserve">Наредбата не оказва влияние върху равенството между жените и мъжете.</w:t>
      </w:r>
    </w:p>
    <w:p w14:paraId="62CEACC6" w14:textId="77777777" w:rsidR="00FC0C31" w:rsidRPr="00BC7E53" w:rsidRDefault="00FC0C31" w:rsidP="00AA4D0B">
      <w:pPr>
        <w:pStyle w:val="berschriftrmischBegrndung"/>
      </w:pPr>
      <w:r>
        <w:t xml:space="preserve">Краен срок; оценка</w:t>
      </w:r>
    </w:p>
    <w:p w14:paraId="2DC709CA" w14:textId="77777777" w:rsidR="00FC0C31" w:rsidRPr="00BC7E53" w:rsidRDefault="00AA4D0B" w:rsidP="00AA4D0B">
      <w:pPr>
        <w:pStyle w:val="Text"/>
      </w:pPr>
      <w:r>
        <w:t xml:space="preserve">Наредбата за измерване и калибриране не е ограничена от времето.</w:t>
      </w:r>
      <w:r>
        <w:t xml:space="preserve"> </w:t>
      </w:r>
      <w:r>
        <w:t xml:space="preserve">Като такава, Наредбата за изменение също не трябва да бъде ограничена във времето.</w:t>
      </w:r>
    </w:p>
    <w:p w14:paraId="5107B0EC" w14:textId="413A7EF7" w:rsidR="009A389D" w:rsidRPr="00BC7E53" w:rsidRDefault="004301F1" w:rsidP="00AA4D0B">
      <w:pPr>
        <w:pStyle w:val="Text"/>
      </w:pPr>
      <w:r>
        <w:t xml:space="preserve">По отношение на регламента относно член 1, параграф 14 </w:t>
      </w:r>
      <w:r>
        <w:rPr>
          <w:rStyle w:val="Marker"/>
          <w:color w:val="auto"/>
        </w:rPr>
        <w:t xml:space="preserve">съществува риск, че от гледна точка на измерването и калибрирането на измерените стойности, по-специално в случай на разлики, може да доведе до значително превишаване на законоустановените граници на грешките.</w:t>
      </w:r>
      <w:r>
        <w:rPr>
          <w:rStyle w:val="Marker"/>
          <w:color w:val="auto"/>
        </w:rPr>
        <w:t xml:space="preserve"> </w:t>
      </w:r>
      <w:r>
        <w:rPr>
          <w:rStyle w:val="Marker"/>
          <w:color w:val="auto"/>
        </w:rPr>
        <w:t xml:space="preserve">Следователно федералното правителство редовно оценява одобрението на прилагането на изчислителни операции по отношение на фактурирането и процедурите за начисляване на енергийния сектор.</w:t>
      </w:r>
      <w:r>
        <w:rPr>
          <w:rStyle w:val="Marker"/>
          <w:color w:val="auto"/>
        </w:rPr>
        <w:t xml:space="preserve"> </w:t>
      </w:r>
      <w:r>
        <w:rPr>
          <w:rStyle w:val="Marker"/>
          <w:color w:val="auto"/>
        </w:rPr>
        <w:t xml:space="preserve">Тази оценка се извършва редовно и най-късно за първи път през 2025 г.</w:t>
      </w:r>
    </w:p>
    <w:p w14:paraId="75CCA3D9" w14:textId="77777777" w:rsidR="00FC0C31" w:rsidRPr="00BC7E53" w:rsidRDefault="00FC0C31" w:rsidP="00AA4D0B">
      <w:pPr>
        <w:pStyle w:val="BegrndungBesondererTeil"/>
      </w:pPr>
      <w:r>
        <w:t xml:space="preserve">Б. Специална част</w:t>
      </w:r>
    </w:p>
    <w:p w14:paraId="747E62DA" w14:textId="4BD882C3" w:rsidR="007574F0" w:rsidRPr="00BC7E53" w:rsidRDefault="007574F0" w:rsidP="007574F0">
      <w:pPr>
        <w:pStyle w:val="VerweisBegrndung"/>
      </w:pPr>
      <w:r>
        <w:t xml:space="preserve">Относно </w:t>
      </w:r>
      <w:r>
        <w:rPr>
          <w:rStyle w:val="Binnenverweis"/>
        </w:rPr>
        <w:t xml:space="preserve">член 1</w:t>
      </w:r>
    </w:p>
    <w:p w14:paraId="64DC6F76" w14:textId="19925237" w:rsidR="003F15A6" w:rsidRPr="00BC7E53" w:rsidRDefault="003F15A6" w:rsidP="003F15A6">
      <w:pPr>
        <w:pStyle w:val="VerweisBegrndung"/>
      </w:pPr>
      <w:r>
        <w:t xml:space="preserve">Относно </w:t>
      </w:r>
      <w:r>
        <w:rPr>
          <w:rStyle w:val="Binnenverweis"/>
        </w:rPr>
        <w:t xml:space="preserve">точка 1</w:t>
      </w:r>
    </w:p>
    <w:p w14:paraId="1665DDF1" w14:textId="73F36DB8" w:rsidR="004A3E76" w:rsidRPr="004A3E76" w:rsidRDefault="004A3E76" w:rsidP="004A3E76">
      <w:pPr>
        <w:pStyle w:val="VerweisBegrndung"/>
      </w:pPr>
      <w:r>
        <w:t xml:space="preserve">Относно </w:t>
      </w:r>
      <w:r>
        <w:rPr>
          <w:rStyle w:val="Binnenverweis"/>
        </w:rPr>
        <w:t xml:space="preserve">буква а</w:t>
      </w:r>
    </w:p>
    <w:p w14:paraId="07536605" w14:textId="6E210438" w:rsidR="004A3E76" w:rsidRPr="004A3E76" w:rsidRDefault="004A3E76" w:rsidP="004A3E76">
      <w:pPr>
        <w:pStyle w:val="VerweisBegrndung"/>
      </w:pPr>
      <w:r>
        <w:t xml:space="preserve">Относно </w:t>
      </w:r>
      <w:r>
        <w:rPr>
          <w:rStyle w:val="Binnenverweis"/>
        </w:rPr>
        <w:t xml:space="preserve">двойна буква аа</w:t>
      </w:r>
    </w:p>
    <w:p w14:paraId="641C2D5A" w14:textId="1D31E189" w:rsidR="004A3E76" w:rsidRPr="004A3E76" w:rsidRDefault="004A3E76" w:rsidP="004A3E76">
      <w:pPr>
        <w:pStyle w:val="Text"/>
      </w:pPr>
      <w:r>
        <w:t xml:space="preserve">Неавтоматичните инструменти за претегляне, използвани в медицинските и фармацевтичните лаборатории, са предмет на Директива 2014/31/ЕС.</w:t>
      </w:r>
      <w:r>
        <w:t xml:space="preserve"> </w:t>
      </w:r>
    </w:p>
    <w:p w14:paraId="33FDEDEE" w14:textId="581FAFD4" w:rsidR="004A3E76" w:rsidRPr="004A3E76" w:rsidRDefault="004A3E76" w:rsidP="004A3E76">
      <w:pPr>
        <w:pStyle w:val="VerweisBegrndung"/>
      </w:pPr>
      <w:r>
        <w:t xml:space="preserve">Относно </w:t>
      </w:r>
      <w:r>
        <w:rPr>
          <w:rStyle w:val="Binnenverweis"/>
        </w:rPr>
        <w:t xml:space="preserve">двойна буква бб</w:t>
      </w:r>
    </w:p>
    <w:p w14:paraId="6F9AC51A" w14:textId="66278540" w:rsidR="004A3E76" w:rsidRPr="004A3E76" w:rsidRDefault="004A3E76" w:rsidP="004A3E76">
      <w:pPr>
        <w:pStyle w:val="Text"/>
      </w:pPr>
      <w:r>
        <w:rPr>
          <w:rStyle w:val="Marker"/>
        </w:rPr>
        <w:t xml:space="preserve">Последваща поправка.</w:t>
      </w:r>
    </w:p>
    <w:p w14:paraId="1F1C6AE5" w14:textId="3F88B4A1" w:rsidR="004A3E76" w:rsidRPr="004A3E76" w:rsidRDefault="004A3E76" w:rsidP="004A3E76">
      <w:pPr>
        <w:pStyle w:val="VerweisBegrndung"/>
      </w:pPr>
      <w:r>
        <w:t xml:space="preserve">Относно </w:t>
      </w:r>
      <w:r>
        <w:rPr>
          <w:rStyle w:val="Binnenverweis"/>
        </w:rPr>
        <w:t xml:space="preserve">двойна буква вв</w:t>
      </w:r>
    </w:p>
    <w:p w14:paraId="27CEB636" w14:textId="7196D080" w:rsidR="004A3E76" w:rsidRPr="004A3E76" w:rsidRDefault="004A3E76" w:rsidP="004A3E76">
      <w:pPr>
        <w:pStyle w:val="VerweisBegrndung"/>
      </w:pPr>
      <w:r>
        <w:t xml:space="preserve">Относно </w:t>
      </w:r>
      <w:r>
        <w:rPr>
          <w:rStyle w:val="Binnenverweis"/>
        </w:rPr>
        <w:t xml:space="preserve">тройна буква ааа</w:t>
      </w:r>
    </w:p>
    <w:p w14:paraId="18B0C9D4" w14:textId="3F1431A4" w:rsidR="004A3E76" w:rsidRPr="004A3E76" w:rsidRDefault="004A3E76" w:rsidP="004A3E76">
      <w:pPr>
        <w:pStyle w:val="Text"/>
      </w:pPr>
      <w:r>
        <w:t xml:space="preserve">В повечето случаи съдържанието се анализира чрез високоефективна течна хроматография (HPLC), автоматизирано оборудване за титриране или спектроскопски изследвания, които не отговарят на законовите изисквания за калибриране и няма да го направят в обозримо бъдеще.</w:t>
      </w:r>
      <w:r>
        <w:t xml:space="preserve"> </w:t>
      </w:r>
      <w:r>
        <w:t xml:space="preserve">Сложността на процесите затруднява проследяването на измерената променлива на „съдържание“.</w:t>
      </w:r>
    </w:p>
    <w:p w14:paraId="136E6A0A" w14:textId="0DCCA5FD" w:rsidR="004A3E76" w:rsidRDefault="004A3E76" w:rsidP="004A3E76">
      <w:pPr>
        <w:pStyle w:val="VerweisBegrndung"/>
        <w:rPr>
          <w:rStyle w:val="Binnenverweis"/>
        </w:rPr>
      </w:pPr>
      <w:r>
        <w:t xml:space="preserve">Относно </w:t>
      </w:r>
      <w:r>
        <w:rPr>
          <w:rStyle w:val="Binnenverweis"/>
        </w:rPr>
        <w:t xml:space="preserve">тройна буква ббб</w:t>
      </w:r>
    </w:p>
    <w:p w14:paraId="0A6B7DCE" w14:textId="1E29E81F" w:rsidR="004A3E76" w:rsidRPr="004A3E76" w:rsidRDefault="004A3E76" w:rsidP="004A3E76">
      <w:pPr>
        <w:pStyle w:val="Text"/>
      </w:pPr>
      <w:r>
        <w:t xml:space="preserve">Осигуряване на качеството в медицинските лаборатории се извършва в съответствие с насоките на Германската медицинска асоциация за осигуряване на качеството на медицинските лабораторни изследвания.</w:t>
      </w:r>
    </w:p>
    <w:p w14:paraId="69DD0816" w14:textId="04E6CDAD" w:rsidR="00C624D2" w:rsidRPr="00BC7E53" w:rsidRDefault="00C624D2" w:rsidP="00C624D2">
      <w:pPr>
        <w:pStyle w:val="VerweisBegrndung"/>
      </w:pPr>
      <w:r>
        <w:t xml:space="preserve">Относно </w:t>
      </w:r>
      <w:r>
        <w:rPr>
          <w:rStyle w:val="Binnenverweis"/>
        </w:rPr>
        <w:t xml:space="preserve">буква б</w:t>
      </w:r>
    </w:p>
    <w:p w14:paraId="5F8C1B3E" w14:textId="003B3619" w:rsidR="00C624D2" w:rsidRPr="00BC7E53" w:rsidRDefault="005F1F4C" w:rsidP="00C624D2">
      <w:pPr>
        <w:pStyle w:val="Text"/>
      </w:pPr>
      <w:r>
        <w:t xml:space="preserve">Редакционна корекция.</w:t>
      </w:r>
      <w:r>
        <w:t xml:space="preserve"> </w:t>
      </w:r>
    </w:p>
    <w:p w14:paraId="209A0948" w14:textId="673D4221" w:rsidR="003F15A6" w:rsidRPr="00BC7E53" w:rsidRDefault="003F15A6" w:rsidP="003F15A6">
      <w:pPr>
        <w:pStyle w:val="VerweisBegrndung"/>
      </w:pPr>
      <w:r>
        <w:t xml:space="preserve">Относно </w:t>
      </w:r>
      <w:r>
        <w:rPr>
          <w:rStyle w:val="Binnenverweis"/>
        </w:rPr>
        <w:t xml:space="preserve">точка 2</w:t>
      </w:r>
    </w:p>
    <w:p w14:paraId="65D9BDEA" w14:textId="7B831A6A" w:rsidR="003F15A6" w:rsidRPr="00BC7E53" w:rsidRDefault="00DD38CC" w:rsidP="00331B9B">
      <w:pPr>
        <w:pStyle w:val="Text"/>
      </w:pPr>
      <w:r>
        <w:t xml:space="preserve">Бъдещото включване на таксиметровите и съвместимите дистанционни измервателни уреди в Наредбата за борба с фалшифицирането на касови апарати прави регулация в закона за измерването и калибрирането не е необходимо.</w:t>
      </w:r>
    </w:p>
    <w:p w14:paraId="26D6FB80" w14:textId="2032B2AB" w:rsidR="000C1B0B" w:rsidRPr="00BC7E53" w:rsidRDefault="000C1B0B" w:rsidP="000C1B0B">
      <w:pPr>
        <w:pStyle w:val="VerweisBegrndung"/>
      </w:pPr>
      <w:r>
        <w:t xml:space="preserve">Относно </w:t>
      </w:r>
      <w:r>
        <w:rPr>
          <w:rStyle w:val="Binnenverweis"/>
        </w:rPr>
        <w:t xml:space="preserve">точка 3</w:t>
      </w:r>
    </w:p>
    <w:p w14:paraId="1E42FBA3" w14:textId="40738783" w:rsidR="000C1B0B" w:rsidRPr="00BC7E53" w:rsidRDefault="000C1B0B" w:rsidP="000C1B0B">
      <w:pPr>
        <w:pStyle w:val="VerweisBegrndung"/>
      </w:pPr>
      <w:r>
        <w:t xml:space="preserve">Относно </w:t>
      </w:r>
      <w:r>
        <w:rPr>
          <w:rStyle w:val="Binnenverweis"/>
        </w:rPr>
        <w:t xml:space="preserve">буква а</w:t>
      </w:r>
    </w:p>
    <w:p w14:paraId="30CBAB49" w14:textId="64C01053" w:rsidR="000C1B0B" w:rsidRPr="00BC7E53" w:rsidRDefault="000C1B0B" w:rsidP="000C1B0B">
      <w:pPr>
        <w:pStyle w:val="VerweisBegrndung"/>
      </w:pPr>
      <w:r>
        <w:t xml:space="preserve">Относно </w:t>
      </w:r>
      <w:r>
        <w:rPr>
          <w:rStyle w:val="Binnenverweis"/>
        </w:rPr>
        <w:t xml:space="preserve">двойна буква аа</w:t>
      </w:r>
    </w:p>
    <w:p w14:paraId="1D81AB0A" w14:textId="77777777" w:rsidR="000C1B0B" w:rsidRPr="00BC7E53" w:rsidRDefault="000C1B0B" w:rsidP="000C1B0B">
      <w:pPr>
        <w:pStyle w:val="Text"/>
      </w:pPr>
      <w:r>
        <w:t xml:space="preserve">Разпоредбите на Наредбата за разрешенията за движение предвиждат, че уредите за измерване на отработените газове, използвани при основната инспекция, трябва да се калибрират редовно.</w:t>
      </w:r>
      <w:r>
        <w:t xml:space="preserve"> </w:t>
      </w:r>
      <w:r>
        <w:t xml:space="preserve">Това трябва да се следи от органа за признаване, отговорен съгласно провинциалното право.</w:t>
      </w:r>
    </w:p>
    <w:p w14:paraId="3BCB6353" w14:textId="5F05148F" w:rsidR="0063272D" w:rsidRPr="00BC7E53" w:rsidRDefault="0063272D" w:rsidP="000C1B0B">
      <w:pPr>
        <w:pStyle w:val="Text"/>
      </w:pPr>
      <w:r>
        <w:t xml:space="preserve">Директива 2014/45/ЕС изисква измервателните уреди за измерване на отработени газове, използвани за изпитването на емисиите на отработени газове, да отговарят на изискванията на Директива 2014/32/ЕС.</w:t>
      </w:r>
      <w:r>
        <w:t xml:space="preserve"> </w:t>
      </w:r>
      <w:r>
        <w:t xml:space="preserve">Европейското законодателство обаче регламентира само пускането на пазара на измервателни уреди.</w:t>
      </w:r>
      <w:r>
        <w:t xml:space="preserve"> </w:t>
      </w:r>
      <w:r>
        <w:t xml:space="preserve">Поради тази причина се създава изключение за по-нататъшна употреба.</w:t>
      </w:r>
      <w:r>
        <w:t xml:space="preserve"> </w:t>
      </w:r>
      <w:r>
        <w:t xml:space="preserve">Това елиминира двойното изпитване на калибриране и проверка.</w:t>
      </w:r>
      <w:r>
        <w:t xml:space="preserve"> </w:t>
      </w:r>
    </w:p>
    <w:p w14:paraId="61969326" w14:textId="0BD7AB4F" w:rsidR="000C1B0B" w:rsidRPr="00BC7E53" w:rsidRDefault="000C1B0B" w:rsidP="000C1B0B">
      <w:pPr>
        <w:pStyle w:val="VerweisBegrndung"/>
      </w:pPr>
      <w:r>
        <w:t xml:space="preserve">Относно </w:t>
      </w:r>
      <w:r>
        <w:rPr>
          <w:rStyle w:val="Binnenverweis"/>
        </w:rPr>
        <w:t xml:space="preserve">двойна буква бб</w:t>
      </w:r>
    </w:p>
    <w:p w14:paraId="6CF968E6" w14:textId="7CBED567" w:rsidR="000C1B0B" w:rsidRPr="00BC7E53" w:rsidRDefault="000C1B0B" w:rsidP="000C1B0B">
      <w:pPr>
        <w:pStyle w:val="Text"/>
      </w:pPr>
      <w:r>
        <w:rPr>
          <w:rStyle w:val="Marker"/>
          <w:color w:val="auto"/>
        </w:rPr>
        <w:t xml:space="preserve">Редакционно последващо изменение.</w:t>
      </w:r>
    </w:p>
    <w:p w14:paraId="66E898DE" w14:textId="33E55FD0" w:rsidR="000C1B0B" w:rsidRPr="00BC7E53" w:rsidRDefault="000C1B0B" w:rsidP="000C1B0B">
      <w:pPr>
        <w:pStyle w:val="VerweisBegrndung"/>
      </w:pPr>
      <w:r>
        <w:t xml:space="preserve">Относно </w:t>
      </w:r>
      <w:r>
        <w:rPr>
          <w:rStyle w:val="Binnenverweis"/>
        </w:rPr>
        <w:t xml:space="preserve">буква б</w:t>
      </w:r>
    </w:p>
    <w:p w14:paraId="7A166F73" w14:textId="685E6691" w:rsidR="000C1B0B" w:rsidRPr="00BC7E53" w:rsidRDefault="000C1B0B" w:rsidP="000C1B0B">
      <w:pPr>
        <w:pStyle w:val="Text"/>
      </w:pPr>
      <w:r>
        <w:rPr>
          <w:rStyle w:val="Marker"/>
          <w:color w:val="auto"/>
        </w:rPr>
        <w:t xml:space="preserve">Редакционно последващо изменение.</w:t>
      </w:r>
    </w:p>
    <w:p w14:paraId="44C7E5C8" w14:textId="767AD279" w:rsidR="003F15A6" w:rsidRPr="00BC7E53" w:rsidRDefault="003F15A6" w:rsidP="003F15A6">
      <w:pPr>
        <w:pStyle w:val="VerweisBegrndung"/>
      </w:pPr>
      <w:r>
        <w:t xml:space="preserve">Относно </w:t>
      </w:r>
      <w:r>
        <w:rPr>
          <w:rStyle w:val="Binnenverweis"/>
        </w:rPr>
        <w:t xml:space="preserve">точка 4</w:t>
      </w:r>
    </w:p>
    <w:p w14:paraId="4DA4317B" w14:textId="77777777" w:rsidR="00D21290" w:rsidRPr="00BC7E53" w:rsidRDefault="00D21290" w:rsidP="00D21290">
      <w:pPr>
        <w:pStyle w:val="Text"/>
      </w:pPr>
      <w:r>
        <w:rPr>
          <w:rStyle w:val="Marker"/>
          <w:color w:val="auto"/>
        </w:rPr>
        <w:t xml:space="preserve">Пояснение, че декларацията за съответствие трябва да бъде издадена на немски език.</w:t>
      </w:r>
      <w:r>
        <w:rPr>
          <w:rStyle w:val="Marker"/>
          <w:color w:val="auto"/>
        </w:rPr>
        <w:t xml:space="preserve"> </w:t>
      </w:r>
    </w:p>
    <w:p w14:paraId="4FA2FD0E" w14:textId="723E2856" w:rsidR="00C624D2" w:rsidRPr="00BC7E53" w:rsidRDefault="00C624D2" w:rsidP="00C624D2">
      <w:pPr>
        <w:pStyle w:val="VerweisBegrndung"/>
      </w:pPr>
      <w:r>
        <w:t xml:space="preserve">Относно </w:t>
      </w:r>
      <w:r>
        <w:rPr>
          <w:rStyle w:val="Binnenverweis"/>
        </w:rPr>
        <w:t xml:space="preserve">точка 5</w:t>
      </w:r>
    </w:p>
    <w:p w14:paraId="3AD2E3A5" w14:textId="2CFC4B4C" w:rsidR="00C624D2" w:rsidRPr="00BC7E53" w:rsidRDefault="00AC00C7" w:rsidP="00C624D2">
      <w:pPr>
        <w:pStyle w:val="Text"/>
      </w:pPr>
      <w:r>
        <w:t xml:space="preserve">Редакционна корекция; адаптиране към текста на директивата.</w:t>
      </w:r>
    </w:p>
    <w:p w14:paraId="4773F773" w14:textId="3A7B5B81" w:rsidR="004301F1" w:rsidRPr="00BC7E53" w:rsidRDefault="004301F1" w:rsidP="004301F1">
      <w:pPr>
        <w:pStyle w:val="VerweisBegrndung"/>
      </w:pPr>
      <w:r>
        <w:t xml:space="preserve">Относно </w:t>
      </w:r>
      <w:r>
        <w:rPr>
          <w:rStyle w:val="Binnenverweis"/>
        </w:rPr>
        <w:t xml:space="preserve">точка 6</w:t>
      </w:r>
    </w:p>
    <w:p w14:paraId="63C14BD8" w14:textId="1B773971" w:rsidR="004A3E76" w:rsidRPr="004A3E76" w:rsidRDefault="004A3E76" w:rsidP="004A3E76">
      <w:pPr>
        <w:pStyle w:val="VerweisBegrndung"/>
      </w:pPr>
      <w:r>
        <w:t xml:space="preserve">Относно </w:t>
      </w:r>
      <w:r>
        <w:rPr>
          <w:rStyle w:val="Binnenverweis"/>
        </w:rPr>
        <w:t xml:space="preserve">буква а</w:t>
      </w:r>
    </w:p>
    <w:p w14:paraId="1992075C" w14:textId="77D28583" w:rsidR="001E7A1A" w:rsidRPr="00BC7E53" w:rsidRDefault="001E7A1A" w:rsidP="001E7A1A">
      <w:pPr>
        <w:pStyle w:val="VerweisBegrndung"/>
      </w:pPr>
      <w:r>
        <w:t xml:space="preserve">Относно </w:t>
      </w:r>
      <w:r>
        <w:rPr>
          <w:rStyle w:val="Binnenverweis"/>
        </w:rPr>
        <w:t xml:space="preserve">двойна буква аа</w:t>
      </w:r>
    </w:p>
    <w:p w14:paraId="65BC9615" w14:textId="7528289D" w:rsidR="001E7A1A" w:rsidRPr="00BC7E53" w:rsidRDefault="001E7A1A" w:rsidP="001E7A1A">
      <w:pPr>
        <w:pStyle w:val="Text"/>
      </w:pPr>
      <w:r>
        <w:rPr>
          <w:rStyle w:val="Marker"/>
          <w:color w:val="auto"/>
        </w:rPr>
        <w:t xml:space="preserve">Последващо изменение поради реорганизацията на закона за качеството на млякото.</w:t>
      </w:r>
    </w:p>
    <w:p w14:paraId="46E8CDB2" w14:textId="0A55BCD6" w:rsidR="004301F1" w:rsidRPr="00BC7E53" w:rsidRDefault="004301F1" w:rsidP="004301F1">
      <w:pPr>
        <w:pStyle w:val="VerweisBegrndung"/>
      </w:pPr>
      <w:r>
        <w:t xml:space="preserve">Относно </w:t>
      </w:r>
      <w:r>
        <w:rPr>
          <w:rStyle w:val="Binnenverweis"/>
        </w:rPr>
        <w:t xml:space="preserve">двойна буква бб</w:t>
      </w:r>
    </w:p>
    <w:p w14:paraId="184BF3DD" w14:textId="0EE5BA9A" w:rsidR="008E5F96" w:rsidRPr="00BC7E53" w:rsidRDefault="008E5F96" w:rsidP="008E5F96">
      <w:pPr>
        <w:pStyle w:val="Text"/>
        <w:rPr>
          <w:rStyle w:val="Marker"/>
          <w:color w:val="auto"/>
        </w:rPr>
      </w:pPr>
      <w:r>
        <w:rPr>
          <w:rStyle w:val="Marker"/>
          <w:color w:val="auto"/>
        </w:rPr>
        <w:t xml:space="preserve">Към член 25, параграф 1 от Наредбата за измерване и калибриране (MessEV) се добавя нова точка 7.</w:t>
      </w:r>
      <w:r>
        <w:rPr>
          <w:rStyle w:val="Marker"/>
          <w:color w:val="auto"/>
        </w:rPr>
        <w:t xml:space="preserve"> </w:t>
      </w:r>
      <w:r>
        <w:rPr>
          <w:rStyle w:val="Marker"/>
          <w:color w:val="auto"/>
        </w:rPr>
        <w:t xml:space="preserve">Новата точка 7 предвижда необходимото изключение за определяне на стойностите за измерени променливи в областта на електроснабдяването на електрическа и газова мрежа.</w:t>
      </w:r>
      <w:r>
        <w:rPr>
          <w:rStyle w:val="Marker"/>
          <w:color w:val="auto"/>
        </w:rPr>
        <w:t xml:space="preserve"> </w:t>
      </w:r>
      <w:r>
        <w:rPr>
          <w:rStyle w:val="Marker"/>
          <w:color w:val="auto"/>
        </w:rPr>
        <w:t xml:space="preserve">Компенсирането на измерените стойности е от съществено значение за много ситуации, свързани с енергопотреблението, за да се даде възможност за свързаните с енергията процеси.</w:t>
      </w:r>
      <w:r>
        <w:rPr>
          <w:rStyle w:val="Marker"/>
          <w:color w:val="auto"/>
        </w:rPr>
        <w:t xml:space="preserve"> </w:t>
      </w:r>
      <w:r>
        <w:rPr>
          <w:rStyle w:val="Marker"/>
          <w:color w:val="auto"/>
        </w:rPr>
        <w:t xml:space="preserve">Компенсирането трябва винаги да се основава на измерените стойности, определени с измервателните уреди, които съответстват на Закона за измерване и калибриране и Наредбата за измерване и калибриране.</w:t>
      </w:r>
      <w:r>
        <w:rPr>
          <w:rStyle w:val="Marker"/>
          <w:color w:val="auto"/>
        </w:rPr>
        <w:t xml:space="preserve"> </w:t>
      </w:r>
      <w:r>
        <w:rPr>
          <w:rStyle w:val="Marker"/>
          <w:color w:val="auto"/>
        </w:rPr>
        <w:t xml:space="preserve">В енергийния сектор обаче съществуват и няколко случая на изключения, при които измерването, което отговаря на закона за измерването и калибрирането, не е възможно и поради това се счита за допустима оценка.</w:t>
      </w:r>
      <w:r>
        <w:rPr>
          <w:rStyle w:val="Marker"/>
          <w:color w:val="auto"/>
        </w:rPr>
        <w:t xml:space="preserve"> </w:t>
      </w:r>
      <w:r>
        <w:rPr>
          <w:rStyle w:val="Marker"/>
          <w:color w:val="auto"/>
        </w:rPr>
        <w:t xml:space="preserve">Например член 62б от Закона за възобновяемите енергийни източници от 2017 г. или член 3 от Основната наредба за доставка на електроенергия трябва да бъде спомената тук.</w:t>
      </w:r>
      <w:r>
        <w:rPr>
          <w:rStyle w:val="Marker"/>
          <w:color w:val="auto"/>
        </w:rPr>
        <w:t xml:space="preserve"> </w:t>
      </w:r>
      <w:r>
        <w:rPr>
          <w:rStyle w:val="Marker"/>
          <w:color w:val="auto"/>
        </w:rPr>
        <w:t xml:space="preserve">Ако стойностите са оценени в такива изключителни случаи, разрешени от закона, тези оценки обикновено се използват за определяне на измерените стойности и следователно не представляват противоречие.</w:t>
      </w:r>
      <w:r>
        <w:rPr>
          <w:rStyle w:val="Marker"/>
          <w:color w:val="auto"/>
        </w:rPr>
        <w:t xml:space="preserve"> </w:t>
      </w:r>
    </w:p>
    <w:p w14:paraId="34D72533" w14:textId="77777777" w:rsidR="008E5F96" w:rsidRPr="00BC7E53" w:rsidRDefault="008E5F96" w:rsidP="008E5F96">
      <w:pPr>
        <w:pStyle w:val="Text"/>
        <w:rPr>
          <w:rStyle w:val="Marker"/>
          <w:color w:val="auto"/>
        </w:rPr>
      </w:pPr>
      <w:r>
        <w:rPr>
          <w:rStyle w:val="Marker"/>
          <w:color w:val="auto"/>
        </w:rPr>
        <w:t xml:space="preserve">Съгласно член 25 от Наредбата за измерване и калибриране, измерените променливи, чиито стойности са формирани като сума, разлика, продукт или коефициент от измерени стойности могат да бъдат уточнени или използвани само ако Комитетът за определяне на правилото определя правило, което определя допустимите отклонения на стойностите от истинските стойности и позоваването на които е публикувано от Physikalisch-Technische Bundesanstalt (Национален институт по метрология на Германия) във Федералния институт.</w:t>
      </w:r>
      <w:r>
        <w:rPr>
          <w:rStyle w:val="Marker"/>
          <w:color w:val="auto"/>
        </w:rPr>
        <w:t xml:space="preserve"> </w:t>
      </w:r>
      <w:r>
        <w:rPr>
          <w:rStyle w:val="Marker"/>
          <w:color w:val="auto"/>
        </w:rPr>
        <w:t xml:space="preserve">Такова правило обаче все още не е определено за голям брой условия, в които трябва да се правят изчисления в енергийната промишленост.</w:t>
      </w:r>
      <w:r>
        <w:rPr>
          <w:rStyle w:val="Marker"/>
          <w:color w:val="auto"/>
        </w:rPr>
        <w:t xml:space="preserve"> </w:t>
      </w:r>
      <w:r>
        <w:rPr>
          <w:rStyle w:val="Marker"/>
          <w:color w:val="auto"/>
        </w:rPr>
        <w:t xml:space="preserve">В някои случаи например, когато стойностите на разликите трябва да бъдат изчислени, вече е математически невъзможно да се компенсират измерените стойности в законовите граници на грешките на съответните измервателни уреди.</w:t>
      </w:r>
    </w:p>
    <w:p w14:paraId="2B19C540" w14:textId="1EF7C60C" w:rsidR="00BD63A8" w:rsidRDefault="008E5F96" w:rsidP="00142A91">
      <w:pPr>
        <w:pStyle w:val="Text"/>
        <w:rPr>
          <w:color w:val="44546A"/>
        </w:rPr>
      </w:pPr>
      <w:r>
        <w:rPr>
          <w:rStyle w:val="Marker"/>
          <w:color w:val="auto"/>
        </w:rPr>
        <w:t xml:space="preserve">За да се вземе това предвид, е необходимо измерените стойности в енергийния сектор също да могат да бъдат компенсирани без правило, постановено от Комитета за регулаторно определяне. Ето защо компенсирането е разрешено съгласно новата точка 7.</w:t>
      </w:r>
      <w:r>
        <w:rPr>
          <w:rStyle w:val="Marker"/>
          <w:color w:val="auto"/>
        </w:rPr>
        <w:t xml:space="preserve"> </w:t>
      </w:r>
      <w:r>
        <w:rPr>
          <w:color w:val="44546A"/>
        </w:rPr>
        <w:t xml:space="preserve">Това се отнася не само за компенсирането в контекста на управлението на счетоводството и счетоводната мрежа, но и за много други приложения, като например компенсиране във връзка със стандартни товарни профили.</w:t>
      </w:r>
      <w:r>
        <w:rPr>
          <w:color w:val="44546A"/>
        </w:rPr>
        <w:t xml:space="preserve"> </w:t>
      </w:r>
    </w:p>
    <w:p w14:paraId="227586B7" w14:textId="33DDC6C7" w:rsidR="00BD63A8" w:rsidRPr="00BD63A8" w:rsidRDefault="00DE6028" w:rsidP="00142A91">
      <w:pPr>
        <w:pStyle w:val="Text"/>
        <w:rPr>
          <w:color w:val="44546A"/>
        </w:rPr>
      </w:pPr>
      <w:r>
        <w:t xml:space="preserve">Пригодността за предвидената употреба не се дава, по-специално в ситуации, при които например </w:t>
      </w:r>
      <w:r>
        <w:rPr>
          <w:color w:val="FF0000"/>
        </w:rPr>
        <w:t xml:space="preserve">в клиентска инсталация с подизмервателни уреди</w:t>
      </w:r>
      <w:r>
        <w:t xml:space="preserve">, състоящи се от основен метър и някои подизмервателни уреди, е необходимо да се изчисли консумацията на </w:t>
      </w:r>
      <w:r>
        <w:rPr>
          <w:color w:val="FF0000"/>
        </w:rPr>
        <w:t xml:space="preserve">друга единица</w:t>
      </w:r>
      <w:r>
        <w:t xml:space="preserve"> без измервателен уред.</w:t>
      </w:r>
      <w:r>
        <w:t xml:space="preserve"> </w:t>
      </w:r>
      <w:r>
        <w:t xml:space="preserve">В тези случаи всички линейни загуби между главния измервателен уред и подизмервателните уреди автоматично се добавят към консумацията на подстанцията без измервателен уред.</w:t>
      </w:r>
      <w:r>
        <w:t xml:space="preserve"> </w:t>
      </w:r>
      <w:r>
        <w:t xml:space="preserve">Това е неприемливо, особено поради съображения за защита на потребителите.</w:t>
      </w:r>
      <w:r>
        <w:t xml:space="preserve"> </w:t>
      </w:r>
      <w:r>
        <w:rPr>
          <w:color w:val="FF0000"/>
        </w:rPr>
        <w:t xml:space="preserve">В случай на самодостатъчност, от друга страна, трябва да се приеме, че тя е подходяща за предвидената цел, тъй като обикновено там не е възможно измерване от техническа гледна точка.</w:t>
      </w:r>
    </w:p>
    <w:p w14:paraId="53CCDD31" w14:textId="4F34662D" w:rsidR="004301F1" w:rsidRPr="00BC7E53" w:rsidRDefault="004301F1" w:rsidP="004301F1">
      <w:pPr>
        <w:pStyle w:val="VerweisBegrndung"/>
      </w:pPr>
      <w:r>
        <w:t xml:space="preserve">Относно </w:t>
      </w:r>
      <w:r>
        <w:rPr>
          <w:rStyle w:val="Binnenverweis"/>
        </w:rPr>
        <w:t xml:space="preserve">двойна буква вв</w:t>
      </w:r>
    </w:p>
    <w:p w14:paraId="77DDDBD7" w14:textId="7DCAD81F" w:rsidR="00B34C9F" w:rsidRPr="00BC7E53" w:rsidRDefault="00142A91" w:rsidP="00B34C9F">
      <w:pPr>
        <w:pStyle w:val="Text"/>
        <w:rPr>
          <w:rStyle w:val="Marker"/>
          <w:color w:val="auto"/>
        </w:rPr>
      </w:pPr>
      <w:r>
        <w:rPr>
          <w:rStyle w:val="Marker"/>
          <w:color w:val="auto"/>
        </w:rPr>
        <w:t xml:space="preserve">Последващо изменение на буква бб.</w:t>
      </w:r>
    </w:p>
    <w:p w14:paraId="27175DCD" w14:textId="53652EE9" w:rsidR="004A3E76" w:rsidRPr="004A3E76" w:rsidRDefault="004A3E76" w:rsidP="004A3E76">
      <w:pPr>
        <w:pStyle w:val="VerweisBegrndung"/>
      </w:pPr>
      <w:r>
        <w:t xml:space="preserve">Относно </w:t>
      </w:r>
      <w:r>
        <w:rPr>
          <w:rStyle w:val="Binnenverweis"/>
        </w:rPr>
        <w:t xml:space="preserve">буква б</w:t>
      </w:r>
    </w:p>
    <w:p w14:paraId="4F898780" w14:textId="65D85ADF" w:rsidR="004A3E76" w:rsidRPr="004A3E76" w:rsidRDefault="00740E59" w:rsidP="004A3E76">
      <w:pPr>
        <w:pStyle w:val="Text"/>
      </w:pPr>
      <w:r>
        <w:rPr>
          <w:rStyle w:val="Marker"/>
          <w:color w:val="auto"/>
        </w:rPr>
        <w:t xml:space="preserve">Въпреки това, самата обща допустимост на компенсиране на измерените стойности в енергийната промишленост е валидна само, докато се установят допълнителни подробности в съответствие с правилото на Комитета за определяне на правила.</w:t>
      </w:r>
      <w:r>
        <w:rPr>
          <w:rStyle w:val="Marker"/>
          <w:color w:val="auto"/>
        </w:rPr>
        <w:t xml:space="preserve"> </w:t>
      </w:r>
      <w:r>
        <w:rPr>
          <w:rStyle w:val="Marker"/>
          <w:color w:val="auto"/>
        </w:rPr>
        <w:t xml:space="preserve">Следователно, ако вече съществува правило или правило се определя от Комитета за определяне на правила, то трябва да се прилага като приоритетен въпрос.</w:t>
      </w:r>
    </w:p>
    <w:p w14:paraId="1276F8FE" w14:textId="12E74DFD" w:rsidR="003F15A6" w:rsidRPr="00BC7E53" w:rsidRDefault="003F15A6" w:rsidP="003F15A6">
      <w:pPr>
        <w:pStyle w:val="VerweisBegrndung"/>
        <w:rPr>
          <w:rStyle w:val="Binnenverweis"/>
        </w:rPr>
      </w:pPr>
      <w:r>
        <w:t xml:space="preserve">Относно </w:t>
      </w:r>
      <w:r>
        <w:rPr>
          <w:rStyle w:val="Binnenverweis"/>
        </w:rPr>
        <w:t xml:space="preserve">точка 7</w:t>
      </w:r>
    </w:p>
    <w:p w14:paraId="2C637B77" w14:textId="53DBA49D" w:rsidR="00AB4883" w:rsidRPr="00BC7E53" w:rsidRDefault="00AB4883" w:rsidP="00AB4883">
      <w:pPr>
        <w:pStyle w:val="Text"/>
      </w:pPr>
      <w:r>
        <w:t xml:space="preserve">Регламентът има за цел да изясни, че заявлението за удължаване на периода на калибриране може да бъде подадено най-рано две години преди изтичането на периода на калибриране.</w:t>
      </w:r>
      <w:r>
        <w:t xml:space="preserve"> </w:t>
      </w:r>
    </w:p>
    <w:p w14:paraId="6D493B9A" w14:textId="0EAE60BA" w:rsidR="004A3E76" w:rsidRPr="004A3E76" w:rsidRDefault="004A3E76" w:rsidP="004A3E76">
      <w:pPr>
        <w:pStyle w:val="VerweisBegrndung"/>
      </w:pPr>
      <w:r>
        <w:t xml:space="preserve">Относно </w:t>
      </w:r>
      <w:r>
        <w:rPr>
          <w:rStyle w:val="Binnenverweis"/>
        </w:rPr>
        <w:t xml:space="preserve">точка 8</w:t>
      </w:r>
    </w:p>
    <w:p w14:paraId="443F5F64" w14:textId="438D7936" w:rsidR="004A3E76" w:rsidRPr="004A3E76" w:rsidRDefault="00DD38CC" w:rsidP="004A3E76">
      <w:pPr>
        <w:pStyle w:val="Text"/>
      </w:pPr>
      <w:r>
        <w:t xml:space="preserve">Изясняването на правомощията на органа да извършва проверки на място има за цел да осигури правна сигурност.</w:t>
      </w:r>
    </w:p>
    <w:p w14:paraId="7D8F56AE" w14:textId="61DD6B3D" w:rsidR="00341763" w:rsidRPr="00BC7E53" w:rsidRDefault="00341763" w:rsidP="00341763">
      <w:pPr>
        <w:pStyle w:val="VerweisBegrndung"/>
      </w:pPr>
      <w:r>
        <w:t xml:space="preserve">Относно </w:t>
      </w:r>
      <w:r>
        <w:rPr>
          <w:rStyle w:val="Binnenverweis"/>
        </w:rPr>
        <w:t xml:space="preserve">точка 9</w:t>
      </w:r>
    </w:p>
    <w:p w14:paraId="42009A8F" w14:textId="4D3EFB10" w:rsidR="00B34C9F" w:rsidRPr="00BC7E53" w:rsidRDefault="00B34C9F" w:rsidP="00B34C9F">
      <w:pPr>
        <w:pStyle w:val="Text"/>
      </w:pPr>
      <w:r>
        <w:rPr>
          <w:rStyle w:val="Marker"/>
          <w:color w:val="auto"/>
        </w:rPr>
        <w:t xml:space="preserve">Към член 58 се добавя нов параграф 7.</w:t>
      </w:r>
      <w:r>
        <w:rPr>
          <w:rStyle w:val="Marker"/>
          <w:color w:val="auto"/>
        </w:rPr>
        <w:t xml:space="preserve"> </w:t>
      </w:r>
      <w:r>
        <w:rPr>
          <w:rStyle w:val="Marker"/>
          <w:color w:val="auto"/>
        </w:rPr>
        <w:t xml:space="preserve">Преходната разпоредба пояснява, че начисленията и разпределенията, направени преди влизането в сила на новия член 25, параграф 1, алинея 7, не могат да бъдат оспорвани по отношение на липсваща разпоредба съгласно закона за метрологията и калибрирането относно допустимостта на компенсирането на измерените стойности.</w:t>
      </w:r>
      <w:r>
        <w:rPr>
          <w:rStyle w:val="Marker"/>
          <w:color w:val="auto"/>
        </w:rPr>
        <w:t xml:space="preserve"> </w:t>
      </w:r>
      <w:r>
        <w:rPr>
          <w:rStyle w:val="Marker"/>
          <w:color w:val="auto"/>
        </w:rPr>
        <w:t xml:space="preserve">Това създава правна сигурност и правен мир за миналото и по този начин отчита особеното значение на компенсирането на измерените стойности поради липсата на алтернативи в енергийната промишленост.</w:t>
      </w:r>
      <w:r>
        <w:rPr>
          <w:rStyle w:val="Marker"/>
          <w:color w:val="auto"/>
        </w:rPr>
        <w:t xml:space="preserve"> </w:t>
      </w:r>
      <w:r>
        <w:rPr>
          <w:rStyle w:val="Marker"/>
          <w:color w:val="auto"/>
        </w:rPr>
        <w:t xml:space="preserve">Обръщането на многобройните процеси на енергийна промишленост поради правна несигурност може да има неизчислимо въздействие върху платежоспособността на операторите на електроцентрали и електроснабдяващи дружества.</w:t>
      </w:r>
      <w:r>
        <w:rPr>
          <w:rStyle w:val="Marker"/>
          <w:color w:val="auto"/>
        </w:rPr>
        <w:t xml:space="preserve"> </w:t>
      </w:r>
      <w:r>
        <w:rPr>
          <w:rStyle w:val="Marker"/>
          <w:color w:val="auto"/>
        </w:rPr>
        <w:t xml:space="preserve">Тези последици за енергийния сектор също могат да окажат въздействие върху сигурността на доставките на електроенергия и газ.</w:t>
      </w:r>
      <w:r>
        <w:rPr>
          <w:rStyle w:val="Marker"/>
          <w:color w:val="auto"/>
        </w:rPr>
        <w:t xml:space="preserve"> </w:t>
      </w:r>
      <w:r>
        <w:rPr>
          <w:rStyle w:val="Marker"/>
          <w:color w:val="auto"/>
        </w:rPr>
        <w:t xml:space="preserve">За да продължи да се гарантира предоставянето на услуги от общ интерес, е допустимо удължаването на предишната практика при предоставянето на член 25, параграф 1, алинея 7 до обстоятелствата, настъпили преди влизането в сила на тази наредба.</w:t>
      </w:r>
      <w:r>
        <w:rPr>
          <w:rStyle w:val="Marker"/>
          <w:color w:val="auto"/>
        </w:rPr>
        <w:t xml:space="preserve"> </w:t>
      </w:r>
    </w:p>
    <w:p w14:paraId="00A76BE6" w14:textId="5A6AD11A" w:rsidR="00C624D2" w:rsidRPr="00BC7E53" w:rsidRDefault="00C624D2" w:rsidP="00C624D2">
      <w:pPr>
        <w:pStyle w:val="VerweisBegrndung"/>
      </w:pPr>
      <w:r>
        <w:t xml:space="preserve">Относно </w:t>
      </w:r>
      <w:r>
        <w:rPr>
          <w:rStyle w:val="Binnenverweis"/>
        </w:rPr>
        <w:t xml:space="preserve">точка 10</w:t>
      </w:r>
    </w:p>
    <w:p w14:paraId="31E30A55" w14:textId="1F7DE3BA" w:rsidR="00C624D2" w:rsidRPr="00BC7E53" w:rsidRDefault="00B3340D" w:rsidP="00C624D2">
      <w:pPr>
        <w:pStyle w:val="Text"/>
      </w:pPr>
      <w:r>
        <w:rPr>
          <w:rStyle w:val="Marker"/>
          <w:color w:val="auto"/>
        </w:rPr>
        <w:t xml:space="preserve">Редакционна корекция.</w:t>
      </w:r>
    </w:p>
    <w:p w14:paraId="79AA7A2D" w14:textId="35EBBB9B" w:rsidR="007574F0" w:rsidRPr="00BC7E53" w:rsidRDefault="007574F0" w:rsidP="007574F0">
      <w:pPr>
        <w:pStyle w:val="VerweisBegrndung"/>
      </w:pPr>
      <w:r>
        <w:t xml:space="preserve">Относно </w:t>
      </w:r>
      <w:r>
        <w:rPr>
          <w:rStyle w:val="Binnenverweis"/>
        </w:rPr>
        <w:t xml:space="preserve">точка 11</w:t>
      </w:r>
    </w:p>
    <w:p w14:paraId="7C910837" w14:textId="355EE515" w:rsidR="002C0021" w:rsidRPr="00BC7E53" w:rsidRDefault="002C0021" w:rsidP="002C0021">
      <w:pPr>
        <w:pStyle w:val="VerweisBegrndung"/>
      </w:pPr>
      <w:r>
        <w:t xml:space="preserve">Относно </w:t>
      </w:r>
      <w:r>
        <w:rPr>
          <w:rStyle w:val="Binnenverweis"/>
        </w:rPr>
        <w:t xml:space="preserve">буква а</w:t>
      </w:r>
    </w:p>
    <w:p w14:paraId="62F52AD4" w14:textId="77777777" w:rsidR="008D0803" w:rsidRPr="00BC7E53" w:rsidRDefault="008D0803" w:rsidP="008D0803">
      <w:r>
        <w:t xml:space="preserve">В своя окончателен доклад относно секторното разследване на услугите за измерване на разходите за отопление и топла вода (подизмерване) през 2017 г., Федералната служба за картели установи различни дефицити в областта на конкуренцията, включително пречки пред конкуренцията, дължащи се на дълги действителни договорни периоди поради различни периоди на калибриране за различни видове измервателни уреди.</w:t>
      </w:r>
      <w:r>
        <w:t xml:space="preserve"> </w:t>
      </w:r>
      <w:r>
        <w:t xml:space="preserve">След като изслуша Федералното министерство по икономическите въпроси и енергетиката, както и Федералното министерство на правосъдието и защитата на потребителите, комисията по петициите на германския Бундестаг реши да препоръча стандартизиране на сроковете за калибриране на измервателните уреди за топла и студена вода.</w:t>
      </w:r>
      <w:r>
        <w:t xml:space="preserve"> </w:t>
      </w:r>
    </w:p>
    <w:p w14:paraId="7278E2CD" w14:textId="0CEF987C" w:rsidR="008D0803" w:rsidRPr="00BC7E53" w:rsidRDefault="008D0803" w:rsidP="008D0803">
      <w:r>
        <w:t xml:space="preserve">Понастоящем измервателните уреди за топла вода и топлина имат период на калибриране от пет години, а измервателните уреди за студена вода — шест години.</w:t>
      </w:r>
      <w:r>
        <w:t xml:space="preserve"> </w:t>
      </w:r>
      <w:r>
        <w:t xml:space="preserve">Единните периоди на калибриране и следователно еднаквите дати за подмяна на топломерите и водомери за топла и студена вода облекчиха в частност тежестта за потребителите.</w:t>
      </w:r>
      <w:r>
        <w:t xml:space="preserve"> </w:t>
      </w:r>
    </w:p>
    <w:p w14:paraId="7075DD26" w14:textId="20304AB8" w:rsidR="002C0021" w:rsidRPr="00BC7E53" w:rsidRDefault="002C0021" w:rsidP="002C0021">
      <w:pPr>
        <w:pStyle w:val="VerweisBegrndung"/>
      </w:pPr>
      <w:r>
        <w:t xml:space="preserve">Относно </w:t>
      </w:r>
      <w:r>
        <w:rPr>
          <w:rStyle w:val="Binnenverweis"/>
        </w:rPr>
        <w:t xml:space="preserve">буква б</w:t>
      </w:r>
    </w:p>
    <w:p w14:paraId="74B1DE15" w14:textId="7EF4BBD7" w:rsidR="002C0021" w:rsidRPr="00BC7E53" w:rsidRDefault="008D0803" w:rsidP="002C0021">
      <w:pPr>
        <w:pStyle w:val="Text"/>
      </w:pPr>
      <w:r>
        <w:t xml:space="preserve">Последващо изменение за електромери за постоянен ток (DC), които нямат електронен измервателен механизъм.</w:t>
      </w:r>
      <w:r>
        <w:t xml:space="preserve"> </w:t>
      </w:r>
      <w:r>
        <w:t xml:space="preserve">Предишният период на калибриране следва да продължи да се прилага за това.</w:t>
      </w:r>
      <w:r>
        <w:t xml:space="preserve"> </w:t>
      </w:r>
    </w:p>
    <w:p w14:paraId="66385197" w14:textId="169658DC" w:rsidR="00C624D2" w:rsidRPr="00BC7E53" w:rsidRDefault="00C624D2" w:rsidP="00341763">
      <w:pPr>
        <w:pStyle w:val="VerweisBegrndung"/>
        <w:rPr>
          <w:rStyle w:val="Binnenverweis"/>
        </w:rPr>
      </w:pPr>
      <w:r>
        <w:t xml:space="preserve">Относно </w:t>
      </w:r>
      <w:r>
        <w:rPr>
          <w:rStyle w:val="Binnenverweis"/>
        </w:rPr>
        <w:t xml:space="preserve">буква в</w:t>
      </w:r>
    </w:p>
    <w:p w14:paraId="0EEB64BD" w14:textId="69872121" w:rsidR="00341763" w:rsidRPr="00BC7E53" w:rsidRDefault="00341763" w:rsidP="00341763">
      <w:pPr>
        <w:pStyle w:val="Text"/>
      </w:pPr>
      <w:r>
        <w:t xml:space="preserve">Периодите на калибриране за електромери с електронен измервателен механизъм трябва да бъдат стандартизирани.</w:t>
      </w:r>
      <w:r>
        <w:t xml:space="preserve"> </w:t>
      </w:r>
      <w:r>
        <w:t xml:space="preserve">Понастоящем електромерите за променлив ток (AC) имат период на калибриране от осем години, а тези за постоянен ток (DC) от четири години.</w:t>
      </w:r>
      <w:r>
        <w:t xml:space="preserve"> </w:t>
      </w:r>
      <w:r>
        <w:t xml:space="preserve">Този период трябва да бъде определен равномерно през осем години.</w:t>
      </w:r>
      <w:r>
        <w:t xml:space="preserve"> </w:t>
      </w:r>
      <w:r>
        <w:t xml:space="preserve">Това облекчава тежестта върху бизнеса през по-дълги интервали и отговаря на искане на органите за калибриране.</w:t>
      </w:r>
    </w:p>
    <w:p w14:paraId="199F0E23" w14:textId="2620C5D5" w:rsidR="00C624D2" w:rsidRPr="00BC7E53" w:rsidRDefault="00C624D2" w:rsidP="00C624D2">
      <w:pPr>
        <w:pStyle w:val="VerweisBegrndung"/>
      </w:pPr>
      <w:r>
        <w:t xml:space="preserve">Относно </w:t>
      </w:r>
      <w:r>
        <w:rPr>
          <w:rStyle w:val="Binnenverweis"/>
        </w:rPr>
        <w:t xml:space="preserve">буква г</w:t>
      </w:r>
    </w:p>
    <w:p w14:paraId="05EE06FF" w14:textId="04657484" w:rsidR="00C624D2" w:rsidRPr="00BC7E53" w:rsidRDefault="004928F6" w:rsidP="00C624D2">
      <w:pPr>
        <w:pStyle w:val="Text"/>
      </w:pPr>
      <w:r>
        <w:rPr>
          <w:rStyle w:val="Marker"/>
          <w:color w:val="auto"/>
        </w:rPr>
        <w:t xml:space="preserve">Редакционно последващо изменение.</w:t>
      </w:r>
    </w:p>
    <w:p w14:paraId="16DA3B3D" w14:textId="369DEF3F" w:rsidR="000C1B0B" w:rsidRPr="00BC7E53" w:rsidRDefault="000C1B0B" w:rsidP="000C1B0B">
      <w:pPr>
        <w:pStyle w:val="VerweisBegrndung"/>
      </w:pPr>
      <w:r>
        <w:t xml:space="preserve">Относно </w:t>
      </w:r>
      <w:r>
        <w:rPr>
          <w:rStyle w:val="Binnenverweis"/>
        </w:rPr>
        <w:t xml:space="preserve">буква д</w:t>
      </w:r>
    </w:p>
    <w:p w14:paraId="5B420D38" w14:textId="10885ABA" w:rsidR="000C1B0B" w:rsidRPr="00BC7E53" w:rsidRDefault="00F433C2" w:rsidP="000C1B0B">
      <w:pPr>
        <w:pStyle w:val="Text"/>
      </w:pPr>
      <w:r>
        <w:rPr>
          <w:rStyle w:val="Marker"/>
          <w:color w:val="auto"/>
        </w:rPr>
        <w:t xml:space="preserve">Поради освобождаването от използването на измервателни уреди за отработени газове, вече не е необходимо определянето на период на калибриране.</w:t>
      </w:r>
      <w:r>
        <w:rPr>
          <w:rStyle w:val="Marker"/>
          <w:color w:val="auto"/>
        </w:rPr>
        <w:t xml:space="preserve"> </w:t>
      </w:r>
    </w:p>
    <w:p w14:paraId="2DED99D6" w14:textId="0EC52DD5" w:rsidR="004301F1" w:rsidRPr="00BC7E53" w:rsidRDefault="004301F1" w:rsidP="004301F1">
      <w:pPr>
        <w:pStyle w:val="VerweisBegrndung"/>
      </w:pPr>
      <w:r>
        <w:t xml:space="preserve">Относно </w:t>
      </w:r>
      <w:r>
        <w:rPr>
          <w:rStyle w:val="Binnenverweis"/>
        </w:rPr>
        <w:t xml:space="preserve">буква е</w:t>
      </w:r>
    </w:p>
    <w:p w14:paraId="0F33805C" w14:textId="77777777" w:rsidR="004301F1" w:rsidRPr="00BC7E53" w:rsidRDefault="00C84FD9" w:rsidP="004301F1">
      <w:pPr>
        <w:pStyle w:val="Text"/>
      </w:pPr>
      <w:r>
        <w:rPr>
          <w:rStyle w:val="Marker"/>
          <w:color w:val="auto"/>
        </w:rPr>
        <w:t xml:space="preserve">Редакционно последващо изменение.</w:t>
      </w:r>
    </w:p>
    <w:p w14:paraId="238AA23B" w14:textId="560333B3" w:rsidR="002C0021" w:rsidRPr="00BC7E53" w:rsidRDefault="002C0021" w:rsidP="002C0021">
      <w:pPr>
        <w:pStyle w:val="VerweisBegrndung"/>
      </w:pPr>
      <w:r>
        <w:t xml:space="preserve">Относно </w:t>
      </w:r>
      <w:r>
        <w:rPr>
          <w:rStyle w:val="Binnenverweis"/>
        </w:rPr>
        <w:t xml:space="preserve">член 2</w:t>
      </w:r>
      <w:r>
        <w:t xml:space="preserve"> (Влизане в сила)</w:t>
      </w:r>
    </w:p>
    <w:p w14:paraId="187E6656" w14:textId="0EEE18E3" w:rsidR="00FC0C31" w:rsidRPr="00BC7E53" w:rsidRDefault="000E6D51" w:rsidP="002C0021">
      <w:pPr>
        <w:pStyle w:val="Text"/>
      </w:pPr>
      <w:r>
        <w:t xml:space="preserve">Разпоредбата урежда влизането в сила на тази наредба.</w:t>
      </w:r>
      <w:r>
        <w:t xml:space="preserve"> </w:t>
      </w:r>
      <w:r>
        <w:t xml:space="preserve">За да се създаде правна сигурност в енергийния сектор и да се отмени двойното изпитване на измервателните уреди на отработените газове, наредбата следва да влезе в сила веднага след обнародването ѝ.</w:t>
      </w:r>
    </w:p>
    <w:sectPr w:rsidR="00FC0C31" w:rsidRPr="00BC7E53" w:rsidSect="00764D01">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E3D41" w14:textId="77777777" w:rsidR="0042046C" w:rsidRDefault="0042046C" w:rsidP="005D1540">
      <w:pPr>
        <w:spacing w:before="0" w:after="0"/>
      </w:pPr>
      <w:r>
        <w:separator/>
      </w:r>
    </w:p>
  </w:endnote>
  <w:endnote w:type="continuationSeparator" w:id="0">
    <w:p w14:paraId="4C9BB9F3" w14:textId="77777777" w:rsidR="0042046C" w:rsidRDefault="0042046C"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C310F" w14:textId="77777777" w:rsidR="0042046C" w:rsidRDefault="0042046C" w:rsidP="005D1540">
      <w:pPr>
        <w:spacing w:before="0" w:after="0"/>
      </w:pPr>
      <w:r>
        <w:separator/>
      </w:r>
    </w:p>
  </w:footnote>
  <w:footnote w:type="continuationSeparator" w:id="0">
    <w:p w14:paraId="3ED5FF59" w14:textId="77777777" w:rsidR="0042046C" w:rsidRDefault="0042046C" w:rsidP="005D1540">
      <w:pPr>
        <w:spacing w:before="0" w:after="0"/>
      </w:pPr>
      <w:r>
        <w:continuationSeparator/>
      </w:r>
    </w:p>
  </w:footnote>
  <w:footnote w:id="1">
    <w:p w14:paraId="78F2F9F9" w14:textId="77777777" w:rsidR="0042046C" w:rsidRDefault="0042046C">
      <w:pPr>
        <w:pStyle w:val="FootnoteText"/>
      </w:pPr>
      <w:r>
        <w:rPr>
          <w:rStyle w:val="FootnoteReference"/>
        </w:rPr>
        <w:t xml:space="preserve">*</w:t>
      </w:r>
      <w:r>
        <w:rPr>
          <w:rStyle w:val="FootnoteReference"/>
          <w:vertAlign w:val="baseline"/>
        </w:rPr>
        <w:t xml:space="preserve">)</w:t>
      </w:r>
      <w:r>
        <w:tab/>
      </w:r>
      <w:r>
        <w:t xml:space="preserve"> Нотифициран в съответствие с Директива (ЕС) 2015/1535 на Европейския парламент и на Съвета от 9 септември 2015 година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 (ОВ L 241, 17 септември 2015 г., стр.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D4277" w14:textId="1E6C7FBF" w:rsidR="0042046C" w:rsidRPr="00764D01" w:rsidRDefault="00764D01" w:rsidP="00764D01">
    <w:pPr>
      <w:pStyle w:val="Header"/>
    </w:pPr>
    <w:r>
      <w:tab/>
    </w:r>
    <w:r>
      <w:t xml:space="preserve">- </w:t>
    </w:r>
    <w:r>
      <w:fldChar w:fldCharType="begin"/>
    </w:r>
    <w:r>
      <w:instrText xml:space="preserve"> PAGE  \* MERGEFORMAT </w:instrText>
    </w:r>
    <w:r>
      <w:fldChar w:fldCharType="separate"/>
    </w:r>
    <w:r>
      <w:t>3</w:t>
    </w:r>
    <w:r>
      <w:fldChar w:fldCharType="end"/>
    </w:r>
    <w:r>
      <w:tab/>
    </w:r>
    <w:r>
      <w:rPr>
        <w:sz w:val="18"/>
      </w:rPr>
      <w:t xml:space="preserve">Считано от:</w:t>
    </w:r>
    <w:r>
      <w:rPr>
        <w:sz w:val="18"/>
      </w:rPr>
      <w:t xml:space="preserve"> </w:t>
    </w:r>
    <w:r>
      <w:rPr>
        <w:sz w:val="18"/>
      </w:rPr>
      <w:t xml:space="preserve">29/03/2021 г. 17:46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D8E22" w14:textId="22F7F10B" w:rsidR="0042046C" w:rsidRPr="00764D01" w:rsidRDefault="00764D01" w:rsidP="00764D01">
    <w:pPr>
      <w:pStyle w:val="Header"/>
    </w:pPr>
    <w:r>
      <w:tab/>
    </w:r>
    <w:r>
      <w:tab/>
    </w:r>
    <w:r>
      <w:rPr>
        <w:sz w:val="18"/>
      </w:rPr>
      <w:t xml:space="preserve">Към момента:</w:t>
    </w:r>
    <w:r>
      <w:rPr>
        <w:sz w:val="18"/>
      </w:rPr>
      <w:t xml:space="preserve"> </w:t>
    </w:r>
    <w:r>
      <w:rPr>
        <w:sz w:val="18"/>
      </w:rPr>
      <w:t xml:space="preserve">29/03/2021 г. 17:46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3"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4"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5"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7"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8"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1"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3"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4"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5"/>
  </w:num>
  <w:num w:numId="2">
    <w:abstractNumId w:val="17"/>
  </w:num>
  <w:num w:numId="3">
    <w:abstractNumId w:val="24"/>
  </w:num>
  <w:num w:numId="4">
    <w:abstractNumId w:val="16"/>
  </w:num>
  <w:num w:numId="5">
    <w:abstractNumId w:val="3"/>
  </w:num>
  <w:num w:numId="6">
    <w:abstractNumId w:val="10"/>
  </w:num>
  <w:num w:numId="7">
    <w:abstractNumId w:val="0"/>
  </w:num>
  <w:num w:numId="8">
    <w:abstractNumId w:val="23"/>
  </w:num>
  <w:num w:numId="9">
    <w:abstractNumId w:val="11"/>
  </w:num>
  <w:num w:numId="10">
    <w:abstractNumId w:val="19"/>
  </w:num>
  <w:num w:numId="11">
    <w:abstractNumId w:val="2"/>
  </w:num>
  <w:num w:numId="12">
    <w:abstractNumId w:val="15"/>
  </w:num>
  <w:num w:numId="13">
    <w:abstractNumId w:val="7"/>
  </w:num>
  <w:num w:numId="14">
    <w:abstractNumId w:val="6"/>
  </w:num>
  <w:num w:numId="15">
    <w:abstractNumId w:val="14"/>
  </w:num>
  <w:num w:numId="16">
    <w:abstractNumId w:val="20"/>
  </w:num>
  <w:num w:numId="17">
    <w:abstractNumId w:val="8"/>
  </w:num>
  <w:num w:numId="18">
    <w:abstractNumId w:val="12"/>
  </w:num>
  <w:num w:numId="19">
    <w:abstractNumId w:val="1"/>
  </w:num>
  <w:num w:numId="20">
    <w:abstractNumId w:val="13"/>
  </w:num>
  <w:num w:numId="21">
    <w:abstractNumId w:val="4"/>
  </w:num>
  <w:num w:numId="22">
    <w:abstractNumId w:val="22"/>
  </w:num>
  <w:num w:numId="23">
    <w:abstractNumId w:val="21"/>
  </w:num>
  <w:num w:numId="24">
    <w:abstractNumId w:val="9"/>
  </w:num>
  <w:num w:numId="25">
    <w:abstractNumId w:val="18"/>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dirty" w:grammar="dirty"/>
  <w:attachedTemplate r:id="rId1"/>
  <w:defaultTabStop w:val="720"/>
  <w:autoHyphenation/>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ehlsHistorie_BefehlsZähler" w:val="5"/>
    <w:docVar w:name="BefehlsKontext_SpeichernOOXML_Maximum" w:val="686ms"/>
    <w:docVar w:name="BefehlsKontext_SpeichernOOXML_Schnitt" w:val="668,75ms"/>
    <w:docVar w:name="BMJ" w:val="True"/>
    <w:docVar w:name="CUSTOMER" w:val="8"/>
    <w:docVar w:name="DQCDateTime" w:val="12.01.2021 16:01:24"/>
    <w:docVar w:name="DQCHighlighting" w:val="100"/>
    <w:docVar w:name="DQCPart_Begruendung" w:val="0"/>
    <w:docVar w:name="DQCPart_Dokument" w:val="0"/>
    <w:docVar w:name="DQCPart_Regelungsteil" w:val="0"/>
    <w:docVar w:name="DQCPart_Vorblatt" w:val="0"/>
    <w:docVar w:name="DQCResult_Aenderungsbefehl" w:val="0;9"/>
    <w:docVar w:name="DQCResult_Binnenverweise" w:val="0;0"/>
    <w:docVar w:name="DQCResult_Citations" w:val="0;2"/>
    <w:docVar w:name="DQCResult_EinzelneRegelungsteile" w:val="1;0"/>
    <w:docVar w:name="DQCResult_EmbeddedObjects" w:val="0;0"/>
    <w:docVar w:name="DQCResult_Gliederung" w:val="2;0"/>
    <w:docVar w:name="DQCResult_Marker" w:val="0;0"/>
    <w:docVar w:name="DQCResult_Metadata" w:val="0;0"/>
    <w:docVar w:name="DQCResult_ModifiedCharFormat" w:val="0;1"/>
    <w:docVar w:name="DQCResult_ModifiedMargins" w:val="2;0"/>
    <w:docVar w:name="DQCResult_ModifiedNumbering" w:val="1;0"/>
    <w:docVar w:name="DQCResult_StructureCheck" w:val="0;0"/>
    <w:docVar w:name="DQCResult_SuperfluousWhitespace" w:val="8;0"/>
    <w:docVar w:name="DQCResult_TermsAndDiction" w:val="0;0"/>
    <w:docVar w:name="DQCResult_Verweise" w:val="0;0"/>
    <w:docVar w:name="DQCWithWarnings" w:val="1"/>
    <w:docVar w:name="eNV_0993057247CE4D17B5FBB5C7CEC2CEBD_Struct" w:val="Artikel 1 Nummer 15 Buchstabe e Doppelbuchstabe bb;6;Struktur:1/0/15/5/2;CheckSums:-1/-1/-1/-1/-1;eNV_0993057247CE4D17B5FBB5C7CEC2CEBD_1@@2"/>
    <w:docVar w:name="eNV_0F3A9AB855914636BF180B89CE313666" w:val="Nummer 9"/>
    <w:docVar w:name="eNV_0F3A9AB855914636BF180B89CE313666_Struct" w:val="Artikel 1 Nummer 9;6;Struktur:1/0/9;CheckSums:-1/-1/-1;eNV_0F3A9AB855914636BF180B89CE313666_1@@2"/>
    <w:docVar w:name="eNV_1000CE9469F0451E8F3C9900541F19C9" w:val="Buchstabe f"/>
    <w:docVar w:name="eNV_1000CE9469F0451E8F3C9900541F19C9_Struct" w:val="Artikel 1 Nummer 11 Buchstabe f;6;Struktur:1/0/11/6;CheckSums:-1/-1/-1/-1;eNV_1000CE9469F0451E8F3C9900541F19C9_1@@2"/>
    <w:docVar w:name="eNV_13C193E02BDB4564A676E8E3F34775C6" w:val="Doppelbuchstabe aa"/>
    <w:docVar w:name="eNV_13C193E02BDB4564A676E8E3F34775C6_Struct" w:val="Artikel 1 Nummer 1 Buchstabe a Doppelbuchstabe aa;6;Struktur:1/0/1/1/1;CheckSums:-1/-1/-1/-1/-1;eNV_13C193E02BDB4564A676E8E3F34775C6_1@@2"/>
    <w:docVar w:name="eNV_170E57DCA0BD46B184182A5B8C965E2F_Struct" w:val="Artikel 1 Nummer 15;6;Struktur:1/0/15;CheckSums:-1/-1/-1;eNV_170E57DCA0BD46B184182A5B8C965E2F_1@@2"/>
    <w:docVar w:name="eNV_1C56F9C215C5431F9DFDAB6E452D4B50_Struct" w:val="Artikel 1 Nummer 2;6;Struktur:1/0/2;CheckSums:-1/-1/-1;eNV_1C56F9C215C5431F9DFDAB6E452D4B50_1@@2"/>
    <w:docVar w:name="eNV_1D8F7210251D43B69343D012A8E3CD88_Struct" w:val="Artikel 1 Nummer 6;6;Struktur:1/0/6/0;CheckSums:-1/-1/-1/-1;eNV_1D8F7210251D43B69343D012A8E3CD88_1@@2"/>
    <w:docVar w:name="eNV_1E26C71940C44ADBB68BDA42C32CB365_Struct" w:val="Artikel 1 Nummer 8;6;Struktur:1/0/8;CheckSums:-1/-1/-1;eNV_1E26C71940C44ADBB68BDA42C32CB365_1@@2"/>
    <w:docVar w:name="eNV_2A8F0306CD604812BC3E9A363815D724" w:val="Nummer 8"/>
    <w:docVar w:name="eNV_2A8F0306CD604812BC3E9A363815D724_Struct" w:val="Artikel 1 Nummer 8;6;Struktur:1/0/8;CheckSums:-1/-1/-1;eNV_2A8F0306CD604812BC3E9A363815D724_1@@2"/>
    <w:docVar w:name="eNV_2C52548D016646859CC31D324638BC40" w:val="Buchstabe d"/>
    <w:docVar w:name="eNV_2C52548D016646859CC31D324638BC40_Struct" w:val="Artikel 1 Nummer 11 Buchstabe d;6;Struktur:1/0/11/4;CheckSums:-1/-1/-1/-1;eNV_2C52548D016646859CC31D324638BC40_1@@2"/>
    <w:docVar w:name="eNV_2D67F4E5D122455293E91965DDDA51E6_Struct" w:val="Artikel 1 Nummer 15 Buchstabe e Doppelbuchstabe aa;6;Struktur:1/0/15/5/1;CheckSums:-1/-1/-1/-1/-1;eNV_2D67F4E5D122455293E91965DDDA51E6_1@@2"/>
    <w:docVar w:name="eNV_329AF56EFF5D46F3A3D8B4CEA4EB37B3" w:val="Buchstabe a"/>
    <w:docVar w:name="eNV_329AF56EFF5D46F3A3D8B4CEA4EB37B3_Struct" w:val="Artikel 1 Nummer 1 Buchstabe a;6;Struktur:1/0/1/1;CheckSums:-1/-1/-1/-1;eNV_329AF56EFF5D46F3A3D8B4CEA4EB37B3_1@@2"/>
    <w:docVar w:name="eNV_372F074CCFCF4F5DB3ECB3EBFEE8D979" w:val="Doppelbuchstabe bb"/>
    <w:docVar w:name="eNV_372F074CCFCF4F5DB3ECB3EBFEE8D979_Struct" w:val="Artikel 1 Nummer 6 Buchstabe a Doppelbuchstabe bb;6;Struktur:1/0/6/1/2;CheckSums:-1/-1/-1/-1/-1;eNV_372F074CCFCF4F5DB3ECB3EBFEE8D979_1@@2"/>
    <w:docVar w:name="eNV_3E0A321D789040AD8F083F92A409F284_Struct" w:val="Artikel 1 Nummer 8;6;Struktur:1/0/8;CheckSums:-1/-1/-1;eNV_3E0A321D789040AD8F083F92A409F284_1@@2"/>
    <w:docVar w:name="eNV_45FAE325399A4C98AF9EFF14EDECEEFA" w:val="Nummer 3"/>
    <w:docVar w:name="eNV_45FAE325399A4C98AF9EFF14EDECEEFA_Struct" w:val="Artikel 1 Nummer 3;6;Struktur:1/0/3;CheckSums:-1/-1/-1;eNV_45FAE325399A4C98AF9EFF14EDECEEFA_1@@2"/>
    <w:docVar w:name="eNV_4A6EF43E420B4C36AFCD4D076709CBF2" w:val="Buchstabe a"/>
    <w:docVar w:name="eNV_4A6EF43E420B4C36AFCD4D076709CBF2_Struct" w:val="Artikel 1 Nummer 11 Buchstabe a;6;Struktur:1/0/11/1;CheckSums:-1/-1/-1/-1;eNV_4A6EF43E420B4C36AFCD4D076709CBF2_1@@2"/>
    <w:docVar w:name="eNV_4C21E5DBC98643FF935AB55974AFEB43" w:val="Nummer 10"/>
    <w:docVar w:name="eNV_4C21E5DBC98643FF935AB55974AFEB43_Struct" w:val="Artikel 1 Nummer 10;6;Struktur:1/0/10;CheckSums:-1/-1/-1;eNV_4C21E5DBC98643FF935AB55974AFEB43_1@@2"/>
    <w:docVar w:name="eNV_4CB5BD0614614F3DA7AFAD54A2720C5E_Struct" w:val="Artikel 1 Nummer 1 Buchstabe c;6;Struktur:1/0/1/3;CheckSums:-1/-1/-1/-1;eNV_4CB5BD0614614F3DA7AFAD54A2720C5E_1@@2"/>
    <w:docVar w:name="eNV_4F070D5FF2484E8E92F65A5301117AF8" w:val="Nummer 5"/>
    <w:docVar w:name="eNV_4F070D5FF2484E8E92F65A5301117AF8_Struct" w:val="Artikel 1 Nummer 5;6;Struktur:1/0/5;CheckSums:-1/-1/-1;eNV_4F070D5FF2484E8E92F65A5301117AF8_1@@2"/>
    <w:docVar w:name="eNV_52D5D1B2EB1F425CB02F87B64CB801FB_Struct" w:val="Artikel 1 Nummer 14;6;Struktur:1/0/14;CheckSums:-1/-1/-1;eNV_52D5D1B2EB1F425CB02F87B64CB801FB_1@@2"/>
    <w:docVar w:name="eNV_54A7A53082F148CB86F0AE204F234A34_Struct" w:val="Artikel 1 Nummer 1;6;Struktur:1/0/1;CheckSums:-1/-1/-1;eNV_54A7A53082F148CB86F0AE204F234A34_1@@2"/>
    <w:docVar w:name="eNV_5819ADFC62F744189BD24FE0B0E74B7A" w:val="Buchstabe b"/>
    <w:docVar w:name="eNV_5819ADFC62F744189BD24FE0B0E74B7A_Struct" w:val="Artikel 1 Nummer 6 Buchstabe b;6;Struktur:1/0/6/2;CheckSums:-1/-1/-1/-1;eNV_5819ADFC62F744189BD24FE0B0E74B7A_1@@2"/>
    <w:docVar w:name="eNV_5F3FF24AB6DD42D295C681273A1B849B" w:val="Doppelbuchstabe cc"/>
    <w:docVar w:name="eNV_5F3FF24AB6DD42D295C681273A1B849B_Struct" w:val="Artikel 1 Nummer 1 Buchstabe a Doppelbuchstabe cc;6;Struktur:1/0/1/1/3;CheckSums:-1/-1/-1/-1/-1;eNV_5F3FF24AB6DD42D295C681273A1B849B_1@@2"/>
    <w:docVar w:name="eNV_69FEF8C014F24D73B2F4A7E7E6F110B3_Struct" w:val="Artikel 1 Nummer 8;6;Struktur:1/0/8;CheckSums:-1/-1/-1;eNV_69FEF8C014F24D73B2F4A7E7E6F110B3_1@@2"/>
    <w:docVar w:name="eNV_6A78A3CA6112402D83E834A02DA5D47C" w:val="Nummer 1"/>
    <w:docVar w:name="eNV_6A78A3CA6112402D83E834A02DA5D47C_Struct" w:val="Artikel 1 Nummer 1;6;Struktur:1/0/1;CheckSums:-1/-1/-1;eNV_6A78A3CA6112402D83E834A02DA5D47C_1@@2"/>
    <w:docVar w:name="eNV_6F80D8257DB540C99A86CF7D54373D7A_Struct" w:val="Artikel 1 Nummer 7;6;Struktur:1/0/7;CheckSums:-1/-1/-1;eNV_6F80D8257DB540C99A86CF7D54373D7A_1@@2"/>
    <w:docVar w:name="eNV_7471897D739C46F9858B6243061B6A0D_Struct" w:val="Artikel 1 Nummer 1 Buchstabe a;6;Struktur:1/0/1/1;CheckSums:-1/-1/-1/-1;eNV_7471897D739C46F9858B6243061B6A0D_1@@2"/>
    <w:docVar w:name="eNV_74FC62CB049A4EB19CBEC557021BF330_Struct" w:val="Artikel 1 Nummer 1 Buchstabe b;6;Struktur:1/0/1/2;CheckSums:-1/-1/-1/-1;eNV_74FC62CB049A4EB19CBEC557021BF330_1@@2"/>
    <w:docVar w:name="eNV_7CF28FD50FAB42EB97DB6E21382CC1D9_Struct" w:val="Artikel 1 Nummer 17;6;Struktur:1/0/17;CheckSums:-1/-1/-1;eNV_7CF28FD50FAB42EB97DB6E21382CC1D9_1@@2"/>
    <w:docVar w:name="eNV_7DBF78054FB646298CDD7ABCED6138B8" w:val="Doppelbuchstabe cc"/>
    <w:docVar w:name="eNV_7DBF78054FB646298CDD7ABCED6138B8_Struct" w:val="Artikel 1 Nummer 6 Buchstabe a Doppelbuchstabe cc;6;Struktur:1/0/6/1/3;CheckSums:-1/-1/-1/-1/-1;eNV_7DBF78054FB646298CDD7ABCED6138B8_1@@2"/>
    <w:docVar w:name="eNV_7FCBA5BA05084FA0AA49C3244A49F5FB" w:val="Artikel 1"/>
    <w:docVar w:name="eNV_7FCBA5BA05084FA0AA49C3244A49F5FB_Struct" w:val="Artikel 1;6;Struktur:1;CheckSums:-1;eNV_7FCBA5BA05084FA0AA49C3244A49F5FB_1@@2"/>
    <w:docVar w:name="eNV_80E04446A34E496E8D25367B8785895C" w:val="Doppelbuchstabe aa"/>
    <w:docVar w:name="eNV_80E04446A34E496E8D25367B8785895C_Struct" w:val="Artikel 1 Nummer 6 Buchstabe a Doppelbuchstabe aa;6;Struktur:1/0/6/1/1;CheckSums:-1/-1/-1/-1/-1;eNV_80E04446A34E496E8D25367B8785895C_1@@2"/>
    <w:docVar w:name="eNV_84C32E230EA24FA6B1EB69AA3D30D09C_Struct" w:val="Artikel 1 Nummer 6;6;Struktur:1/0/6;CheckSums:-1/-1/-1;eNV_84C32E230EA24FA6B1EB69AA3D30D09C_1@@2"/>
    <w:docVar w:name="eNV_8B3A08D3E05947258D4AC8DE623DBCE3" w:val="Buchstabe b"/>
    <w:docVar w:name="eNV_8B3A08D3E05947258D4AC8DE623DBCE3_Struct" w:val="Artikel 1 Nummer 3 Buchstabe b;6;Struktur:1/0/3/2;CheckSums:-1/-1/-1/-1;eNV_8B3A08D3E05947258D4AC8DE623DBCE3_1@@2"/>
    <w:docVar w:name="eNV_8D25388BD7FD46D5BEC05E99F5369BF5" w:val="Doppelbuchstabe bb"/>
    <w:docVar w:name="eNV_8D25388BD7FD46D5BEC05E99F5369BF5_Struct" w:val="Artikel 1 Nummer 1 Buchstabe a Doppelbuchstabe bb;6;Struktur:1/0/1/1/2;CheckSums:-1/-1/-1/-1/-1;eNV_8D25388BD7FD46D5BEC05E99F5369BF5_1@@2"/>
    <w:docVar w:name="eNV_8D7491F068C044F794F08A8C9BF0BC9F" w:val="Buchstabe b"/>
    <w:docVar w:name="eNV_8D7491F068C044F794F08A8C9BF0BC9F_Struct" w:val="Artikel 1 Nummer 11 Buchstabe b;6;Struktur:1/0/11/2;CheckSums:-1/-1/-1/-1;eNV_8D7491F068C044F794F08A8C9BF0BC9F_1@@2"/>
    <w:docVar w:name="eNV_8EE792AA917D4EC7A8D082ABDCAA48C0_Struct" w:val="Artikel 1 Nummer 10 Buchstabe e;6;Struktur:1/0/10/5;CheckSums:-1/-1/-1/-1;eNV_8EE792AA917D4EC7A8D082ABDCAA48C0_1@@2"/>
    <w:docVar w:name="eNV_8FFF51C41F404A4EB638643A489A6157_Struct" w:val="Artikel 1 Nummer 13;6;Struktur:1/0/13;CheckSums:-1/-1/-1;eNV_8FFF51C41F404A4EB638643A489A6157_1@@2"/>
    <w:docVar w:name="eNV_940CC8D269164DCE8BA13138ACB9000F" w:val="Nummer 2"/>
    <w:docVar w:name="eNV_940CC8D269164DCE8BA13138ACB9000F_Struct" w:val="Artikel 1 Nummer 2;6;Struktur:1/0/2;CheckSums:-1/-1/-1;eNV_940CC8D269164DCE8BA13138ACB9000F_1@@2"/>
    <w:docVar w:name="eNV_97BE01694E414D6CAD47717F29000947" w:val="Buchstabe c"/>
    <w:docVar w:name="eNV_97BE01694E414D6CAD47717F29000947_Struct" w:val="Artikel 1 Nummer 11 Buchstabe c;6;Struktur:1/0/11/3;CheckSums:-1/-1/-1/-1;eNV_97BE01694E414D6CAD47717F29000947_1@@2"/>
    <w:docVar w:name="eNV_9B38BEE43A404DE1A37D5FB7A856AED7" w:val="Artikel 2"/>
    <w:docVar w:name="eNV_9B38BEE43A404DE1A37D5FB7A856AED7_Struct" w:val="Artikel 2;6;Struktur:2;CheckSums:-1;eNV_9B38BEE43A404DE1A37D5FB7A856AED7_1@@2"/>
    <w:docVar w:name="eNV_9DE5380EEF0B45049AA01B45559C7841" w:val="Doppelbuchstabe aa"/>
    <w:docVar w:name="eNV_9DE5380EEF0B45049AA01B45559C7841_Struct" w:val="Artikel 1 Nummer 3 Buchstabe a Doppelbuchstabe aa;6;Struktur:1/0/3/1/1;CheckSums:-1/-1/-1/-1/-1;eNV_9DE5380EEF0B45049AA01B45559C7841_1@@2"/>
    <w:docVar w:name="eNV_B4277A36FE064CF0A7A9C2FBAC6C9B60_Struct" w:val="Artikel 2;6;Struktur:2;CheckSums:-1;eNV_B4277A36FE064CF0A7A9C2FBAC6C9B60_1@@2"/>
    <w:docVar w:name="eNV_BC72D476F2B7429CBFF98582CD55A171_Struct" w:val="Artikel 1 Nummer 3 Buchstabe b;6;Struktur:1/0/3/2;CheckSums:-1/-1/-1/-1;eNV_BC72D476F2B7429CBFF98582CD55A171_1@@2"/>
    <w:docVar w:name="eNV_BDF4E1C8870340678D72CCE33AFFD072" w:val="Dreifachbuchstabe bbb"/>
    <w:docVar w:name="eNV_BDF4E1C8870340678D72CCE33AFFD072_Struct" w:val="Artikel 1 Nummer 1 Buchstabe a Doppelbuchstabe cc Dreifachbuchstabe bbb;6;Struktur:1/0/1/1/3/2;CheckSums:-1/-1/-1/-1/-1/-1;eNV_BDF4E1C8870340678D72CCE33AFFD072_1@@2"/>
    <w:docVar w:name="eNV_C447975989E143ECBEFED3CB51031B3B_Struct" w:val="Artikel 1;6;Struktur:1;CheckSums:-1;eNV_C447975989E143ECBEFED3CB51031B3B_1@@2"/>
    <w:docVar w:name="eNV_D2DEB8EFF96A46E597364C6523291208_Struct" w:val="Artikel 1 Nummer 8;6;Struktur:1/0/8/0;CheckSums:-1/-1/-1/-1;eNV_D2DEB8EFF96A46E597364C6523291208_1@@2"/>
    <w:docVar w:name="eNV_D3C0493D08B34957985A0E319F350BA2_Struct" w:val="Artikel 1 Nummer 10;6;Struktur:1/0/10;CheckSums:-1/-1/-1;eNV_D3C0493D08B34957985A0E319F350BA2_1@@2"/>
    <w:docVar w:name="eNV_D52BF2A40E7C4C6DB901909F4E62E94E" w:val="Nummer 6"/>
    <w:docVar w:name="eNV_D52BF2A40E7C4C6DB901909F4E62E94E_Struct" w:val="Artikel 1 Nummer 6;6;Struktur:1/0/6;CheckSums:-1/-1/-1;eNV_D52BF2A40E7C4C6DB901909F4E62E94E_1@@2"/>
    <w:docVar w:name="eNV_D880881A9E264ED3B39E0DEB5A857D95" w:val="Buchstabe e"/>
    <w:docVar w:name="eNV_D880881A9E264ED3B39E0DEB5A857D95_Struct" w:val="Artikel 1 Nummer 11 Buchstabe e;6;Struktur:1/0/11/5;CheckSums:-1/-1/-1/-1;eNV_D880881A9E264ED3B39E0DEB5A857D95_1@@2"/>
    <w:docVar w:name="eNV_D977AD98F2B24F37A89A4E2A50579302" w:val="Nummer 4"/>
    <w:docVar w:name="eNV_D977AD98F2B24F37A89A4E2A50579302_Struct" w:val="Artikel 1 Nummer 4;6;Struktur:1/0/4;CheckSums:-1/-1/-1;eNV_D977AD98F2B24F37A89A4E2A50579302_1@@2"/>
    <w:docVar w:name="eNV_DDE98624096B41C287B3A78A9AE8FE4C" w:val="Doppelbuchstabe bb"/>
    <w:docVar w:name="eNV_DDE98624096B41C287B3A78A9AE8FE4C_Struct" w:val="Artikel 1 Nummer 3 Buchstabe a Doppelbuchstabe bb;6;Struktur:1/0/3/1/2;CheckSums:-1/-1/-1/-1/-1;eNV_DDE98624096B41C287B3A78A9AE8FE4C_1@@2"/>
    <w:docVar w:name="eNV_E0110D1E2E83421D9DD177C24C30D984_Struct" w:val="Artikel 1 Nummer 8 Buchstabe f;6;Struktur:1/0/8/6;CheckSums:-1/-1/-1/-1;eNV_E0110D1E2E83421D9DD177C24C30D984_1@@2"/>
    <w:docVar w:name="eNV_E31BB918D88E4CFABF8D0521888412CE" w:val="Nummer 11"/>
    <w:docVar w:name="eNV_E31BB918D88E4CFABF8D0521888412CE_Struct" w:val="Artikel 1 Nummer 11;6;Struktur:1/0/11;CheckSums:-1/-1/-1;eNV_E31BB918D88E4CFABF8D0521888412CE_1@@2"/>
    <w:docVar w:name="eNV_E78041FA4A604DF99279B0F366F0FF99" w:val="Nummer 7"/>
    <w:docVar w:name="eNV_E78041FA4A604DF99279B0F366F0FF99_Struct" w:val="Artikel 1 Nummer 7;6;Struktur:1/0/7;CheckSums:-1/-1/-1;eNV_E78041FA4A604DF99279B0F366F0FF99_1@@2"/>
    <w:docVar w:name="eNV_E859D17DBE8E4A29BB47E8D8F89E71A3" w:val="Buchstabe a"/>
    <w:docVar w:name="eNV_E859D17DBE8E4A29BB47E8D8F89E71A3_Struct" w:val="Artikel 1 Nummer 3 Buchstabe a;6;Struktur:1/0/3/1;CheckSums:-1/-1/-1/-1;eNV_E859D17DBE8E4A29BB47E8D8F89E71A3_1@@2"/>
    <w:docVar w:name="eNV_E8B5BC1DB7034866AF8C59B6F459C02F" w:val="Dreifachbuchstabe aaa"/>
    <w:docVar w:name="eNV_E8B5BC1DB7034866AF8C59B6F459C02F_Struct" w:val="Artikel 1 Nummer 1 Buchstabe a Doppelbuchstabe cc Dreifachbuchstabe aaa;6;Struktur:1/0/1/1/3/1;CheckSums:-1/-1/-1/-1/-1/-1;eNV_E8B5BC1DB7034866AF8C59B6F459C02F_1@@2"/>
    <w:docVar w:name="eNV_E9794D281EF84234BF441E5484947AA4" w:val="Buchstabe a"/>
    <w:docVar w:name="eNV_E9794D281EF84234BF441E5484947AA4_Struct" w:val="Artikel 1 Nummer 6 Buchstabe a;6;Struktur:1/0/6/1;CheckSums:-1/-1/-1/-1;eNV_E9794D281EF84234BF441E5484947AA4_1@@2"/>
    <w:docVar w:name="eNV_EF92F71B010A43BEB2704ABA63446C79_Struct" w:val="Artikel 1 Nummer 6;6;Struktur:1/0/6;CheckSums:-1/-1/-1;eNV_EF92F71B010A43BEB2704ABA63446C79_1@@2"/>
    <w:docVar w:name="eNV_FD7FA4F10C134DFF98B25D274FACEB68" w:val="Buchstabe b"/>
    <w:docVar w:name="eNV_FD7FA4F10C134DFF98B25D274FACEB68_Struct" w:val="Artikel 1 Nummer 1 Buchstabe b;6;Struktur:1/0/1/2;CheckSums:-1/-1/-1/-1;eNV_FD7FA4F10C134DFF98B25D274FACEB68_1@@2"/>
    <w:docVar w:name="LW_DocType" w:val="AENDER"/>
    <w:docVar w:name="LWCons_Langue" w:val="DE"/>
  </w:docVars>
  <w:rsids>
    <w:rsidRoot w:val="00FC0C31"/>
    <w:rsid w:val="00030F23"/>
    <w:rsid w:val="00042CA2"/>
    <w:rsid w:val="00054596"/>
    <w:rsid w:val="0006245E"/>
    <w:rsid w:val="0007105D"/>
    <w:rsid w:val="00075A75"/>
    <w:rsid w:val="00077134"/>
    <w:rsid w:val="000779F9"/>
    <w:rsid w:val="00082E3D"/>
    <w:rsid w:val="000A2EE2"/>
    <w:rsid w:val="000B5F8E"/>
    <w:rsid w:val="000C1B0B"/>
    <w:rsid w:val="000C611F"/>
    <w:rsid w:val="000C740A"/>
    <w:rsid w:val="000D489C"/>
    <w:rsid w:val="000D6FEC"/>
    <w:rsid w:val="000E03A2"/>
    <w:rsid w:val="000E1EC9"/>
    <w:rsid w:val="000E6D51"/>
    <w:rsid w:val="001001B1"/>
    <w:rsid w:val="00102A91"/>
    <w:rsid w:val="00104FC8"/>
    <w:rsid w:val="001205F9"/>
    <w:rsid w:val="00137B34"/>
    <w:rsid w:val="00140EE7"/>
    <w:rsid w:val="00142161"/>
    <w:rsid w:val="00142A15"/>
    <w:rsid w:val="00142A91"/>
    <w:rsid w:val="001434A8"/>
    <w:rsid w:val="00144BAB"/>
    <w:rsid w:val="00172A2B"/>
    <w:rsid w:val="00181011"/>
    <w:rsid w:val="001942BB"/>
    <w:rsid w:val="001B2639"/>
    <w:rsid w:val="001C01EA"/>
    <w:rsid w:val="001E5784"/>
    <w:rsid w:val="001E7A1A"/>
    <w:rsid w:val="001F1DE7"/>
    <w:rsid w:val="001F5937"/>
    <w:rsid w:val="002130DC"/>
    <w:rsid w:val="002139BB"/>
    <w:rsid w:val="002147D8"/>
    <w:rsid w:val="00216E4A"/>
    <w:rsid w:val="0022582F"/>
    <w:rsid w:val="002279A7"/>
    <w:rsid w:val="00232A42"/>
    <w:rsid w:val="0023569E"/>
    <w:rsid w:val="0023589C"/>
    <w:rsid w:val="00237BB1"/>
    <w:rsid w:val="00254CF9"/>
    <w:rsid w:val="00262345"/>
    <w:rsid w:val="00270C3D"/>
    <w:rsid w:val="0027329E"/>
    <w:rsid w:val="00274328"/>
    <w:rsid w:val="002827A2"/>
    <w:rsid w:val="002B49F8"/>
    <w:rsid w:val="002C0021"/>
    <w:rsid w:val="002C5B9D"/>
    <w:rsid w:val="002D2F67"/>
    <w:rsid w:val="002D5C84"/>
    <w:rsid w:val="002E7588"/>
    <w:rsid w:val="002F29D2"/>
    <w:rsid w:val="0030020A"/>
    <w:rsid w:val="00303270"/>
    <w:rsid w:val="00315B4E"/>
    <w:rsid w:val="00331B9B"/>
    <w:rsid w:val="00334210"/>
    <w:rsid w:val="00341763"/>
    <w:rsid w:val="00351B86"/>
    <w:rsid w:val="00365691"/>
    <w:rsid w:val="00373B0B"/>
    <w:rsid w:val="00374523"/>
    <w:rsid w:val="00387077"/>
    <w:rsid w:val="00387B80"/>
    <w:rsid w:val="00393234"/>
    <w:rsid w:val="003B21B5"/>
    <w:rsid w:val="003C12AF"/>
    <w:rsid w:val="003F15A6"/>
    <w:rsid w:val="00405528"/>
    <w:rsid w:val="00410462"/>
    <w:rsid w:val="00411628"/>
    <w:rsid w:val="00412373"/>
    <w:rsid w:val="00417EB6"/>
    <w:rsid w:val="0042046C"/>
    <w:rsid w:val="00423F67"/>
    <w:rsid w:val="004301F1"/>
    <w:rsid w:val="00451505"/>
    <w:rsid w:val="004538A7"/>
    <w:rsid w:val="00456835"/>
    <w:rsid w:val="004608B6"/>
    <w:rsid w:val="004630D3"/>
    <w:rsid w:val="004634A5"/>
    <w:rsid w:val="0048088E"/>
    <w:rsid w:val="00481D73"/>
    <w:rsid w:val="00486D7E"/>
    <w:rsid w:val="004928F6"/>
    <w:rsid w:val="00496DD7"/>
    <w:rsid w:val="004A00EF"/>
    <w:rsid w:val="004A3E76"/>
    <w:rsid w:val="004A5E63"/>
    <w:rsid w:val="004A6848"/>
    <w:rsid w:val="004B2BF3"/>
    <w:rsid w:val="004D34D1"/>
    <w:rsid w:val="004E55CF"/>
    <w:rsid w:val="004F6142"/>
    <w:rsid w:val="005022FB"/>
    <w:rsid w:val="00524F6E"/>
    <w:rsid w:val="00534C20"/>
    <w:rsid w:val="00534D6C"/>
    <w:rsid w:val="005361A1"/>
    <w:rsid w:val="00540D00"/>
    <w:rsid w:val="00554277"/>
    <w:rsid w:val="005546ED"/>
    <w:rsid w:val="00565944"/>
    <w:rsid w:val="00565CC3"/>
    <w:rsid w:val="00567F84"/>
    <w:rsid w:val="00570542"/>
    <w:rsid w:val="005715A3"/>
    <w:rsid w:val="00571653"/>
    <w:rsid w:val="00595281"/>
    <w:rsid w:val="005A1648"/>
    <w:rsid w:val="005B096D"/>
    <w:rsid w:val="005D1540"/>
    <w:rsid w:val="005E3258"/>
    <w:rsid w:val="005E583D"/>
    <w:rsid w:val="005F1F4C"/>
    <w:rsid w:val="006021C1"/>
    <w:rsid w:val="00612183"/>
    <w:rsid w:val="00620198"/>
    <w:rsid w:val="00622ABF"/>
    <w:rsid w:val="0063272D"/>
    <w:rsid w:val="006368FA"/>
    <w:rsid w:val="0064675B"/>
    <w:rsid w:val="00654A6B"/>
    <w:rsid w:val="0066486F"/>
    <w:rsid w:val="006676F3"/>
    <w:rsid w:val="00696DFC"/>
    <w:rsid w:val="006A0848"/>
    <w:rsid w:val="006A34ED"/>
    <w:rsid w:val="006B6D87"/>
    <w:rsid w:val="006F3E54"/>
    <w:rsid w:val="007016D4"/>
    <w:rsid w:val="00711586"/>
    <w:rsid w:val="007131AB"/>
    <w:rsid w:val="00730289"/>
    <w:rsid w:val="00730C05"/>
    <w:rsid w:val="00740E59"/>
    <w:rsid w:val="00742A40"/>
    <w:rsid w:val="0075373A"/>
    <w:rsid w:val="007565E9"/>
    <w:rsid w:val="00756D8C"/>
    <w:rsid w:val="007574F0"/>
    <w:rsid w:val="00764392"/>
    <w:rsid w:val="00764D01"/>
    <w:rsid w:val="00766090"/>
    <w:rsid w:val="00783D00"/>
    <w:rsid w:val="0078533C"/>
    <w:rsid w:val="007D4190"/>
    <w:rsid w:val="007E05BA"/>
    <w:rsid w:val="007E65F6"/>
    <w:rsid w:val="007F0F88"/>
    <w:rsid w:val="007F131C"/>
    <w:rsid w:val="008219E4"/>
    <w:rsid w:val="0082691B"/>
    <w:rsid w:val="00835263"/>
    <w:rsid w:val="0083594F"/>
    <w:rsid w:val="00864CD0"/>
    <w:rsid w:val="00871685"/>
    <w:rsid w:val="00874872"/>
    <w:rsid w:val="008750B8"/>
    <w:rsid w:val="0088206B"/>
    <w:rsid w:val="008955D6"/>
    <w:rsid w:val="008A702F"/>
    <w:rsid w:val="008B0008"/>
    <w:rsid w:val="008C667B"/>
    <w:rsid w:val="008D0803"/>
    <w:rsid w:val="008D33AE"/>
    <w:rsid w:val="008D42DF"/>
    <w:rsid w:val="008D4A10"/>
    <w:rsid w:val="008E5F96"/>
    <w:rsid w:val="008F0AB6"/>
    <w:rsid w:val="008F0F15"/>
    <w:rsid w:val="008F23F4"/>
    <w:rsid w:val="009002F9"/>
    <w:rsid w:val="00921700"/>
    <w:rsid w:val="009360CD"/>
    <w:rsid w:val="00937FF2"/>
    <w:rsid w:val="00942827"/>
    <w:rsid w:val="00945342"/>
    <w:rsid w:val="00950944"/>
    <w:rsid w:val="00952922"/>
    <w:rsid w:val="009547EC"/>
    <w:rsid w:val="00955D73"/>
    <w:rsid w:val="00961F9A"/>
    <w:rsid w:val="0096248B"/>
    <w:rsid w:val="009761AE"/>
    <w:rsid w:val="009779A8"/>
    <w:rsid w:val="00985EC5"/>
    <w:rsid w:val="0098689C"/>
    <w:rsid w:val="009A389D"/>
    <w:rsid w:val="009B0440"/>
    <w:rsid w:val="009B6338"/>
    <w:rsid w:val="009B7A54"/>
    <w:rsid w:val="009C7052"/>
    <w:rsid w:val="009D42DC"/>
    <w:rsid w:val="009D76DA"/>
    <w:rsid w:val="009E0DF9"/>
    <w:rsid w:val="009E3EEA"/>
    <w:rsid w:val="00A005DE"/>
    <w:rsid w:val="00A130A4"/>
    <w:rsid w:val="00A147E3"/>
    <w:rsid w:val="00A4690C"/>
    <w:rsid w:val="00A46E65"/>
    <w:rsid w:val="00A512AB"/>
    <w:rsid w:val="00A52E90"/>
    <w:rsid w:val="00A54ABA"/>
    <w:rsid w:val="00A55B8E"/>
    <w:rsid w:val="00A60E6E"/>
    <w:rsid w:val="00A64130"/>
    <w:rsid w:val="00A673DF"/>
    <w:rsid w:val="00A715DD"/>
    <w:rsid w:val="00A741E7"/>
    <w:rsid w:val="00A82C90"/>
    <w:rsid w:val="00AA4D0B"/>
    <w:rsid w:val="00AA4D32"/>
    <w:rsid w:val="00AB4883"/>
    <w:rsid w:val="00AC00C7"/>
    <w:rsid w:val="00AC225F"/>
    <w:rsid w:val="00AC60C8"/>
    <w:rsid w:val="00AD1FDC"/>
    <w:rsid w:val="00AE2035"/>
    <w:rsid w:val="00AE3D74"/>
    <w:rsid w:val="00B02876"/>
    <w:rsid w:val="00B031F4"/>
    <w:rsid w:val="00B15C9E"/>
    <w:rsid w:val="00B3340D"/>
    <w:rsid w:val="00B33A4D"/>
    <w:rsid w:val="00B34C9F"/>
    <w:rsid w:val="00B46910"/>
    <w:rsid w:val="00B47526"/>
    <w:rsid w:val="00B476CA"/>
    <w:rsid w:val="00B60FB4"/>
    <w:rsid w:val="00B73FB5"/>
    <w:rsid w:val="00B90CE2"/>
    <w:rsid w:val="00B939FA"/>
    <w:rsid w:val="00BA2149"/>
    <w:rsid w:val="00BA3CC9"/>
    <w:rsid w:val="00BB4E4B"/>
    <w:rsid w:val="00BC477E"/>
    <w:rsid w:val="00BC7E53"/>
    <w:rsid w:val="00BD63A8"/>
    <w:rsid w:val="00C0026C"/>
    <w:rsid w:val="00C22B1A"/>
    <w:rsid w:val="00C40192"/>
    <w:rsid w:val="00C40C8A"/>
    <w:rsid w:val="00C418B8"/>
    <w:rsid w:val="00C53862"/>
    <w:rsid w:val="00C553DC"/>
    <w:rsid w:val="00C553F0"/>
    <w:rsid w:val="00C5663D"/>
    <w:rsid w:val="00C624D2"/>
    <w:rsid w:val="00C62F7C"/>
    <w:rsid w:val="00C67EC6"/>
    <w:rsid w:val="00C77FCC"/>
    <w:rsid w:val="00C80645"/>
    <w:rsid w:val="00C81678"/>
    <w:rsid w:val="00C84FD9"/>
    <w:rsid w:val="00C91BE5"/>
    <w:rsid w:val="00CA4ACF"/>
    <w:rsid w:val="00CA6CF8"/>
    <w:rsid w:val="00CB1D35"/>
    <w:rsid w:val="00CB5C59"/>
    <w:rsid w:val="00CC0D52"/>
    <w:rsid w:val="00CF1C39"/>
    <w:rsid w:val="00CF1D3A"/>
    <w:rsid w:val="00CF50D2"/>
    <w:rsid w:val="00D073F2"/>
    <w:rsid w:val="00D07EEC"/>
    <w:rsid w:val="00D17627"/>
    <w:rsid w:val="00D21290"/>
    <w:rsid w:val="00D25271"/>
    <w:rsid w:val="00D3782A"/>
    <w:rsid w:val="00D40855"/>
    <w:rsid w:val="00D42BF5"/>
    <w:rsid w:val="00D527C5"/>
    <w:rsid w:val="00D53965"/>
    <w:rsid w:val="00D564D8"/>
    <w:rsid w:val="00D60640"/>
    <w:rsid w:val="00D75218"/>
    <w:rsid w:val="00D84E72"/>
    <w:rsid w:val="00D91BCD"/>
    <w:rsid w:val="00D9425E"/>
    <w:rsid w:val="00DD0DFB"/>
    <w:rsid w:val="00DD38CC"/>
    <w:rsid w:val="00DE25A1"/>
    <w:rsid w:val="00DE3C71"/>
    <w:rsid w:val="00DE45C3"/>
    <w:rsid w:val="00DE6028"/>
    <w:rsid w:val="00DF77AF"/>
    <w:rsid w:val="00E02521"/>
    <w:rsid w:val="00E07A89"/>
    <w:rsid w:val="00E1121F"/>
    <w:rsid w:val="00E11559"/>
    <w:rsid w:val="00E32FA8"/>
    <w:rsid w:val="00E421FD"/>
    <w:rsid w:val="00E45428"/>
    <w:rsid w:val="00E54315"/>
    <w:rsid w:val="00E54F23"/>
    <w:rsid w:val="00E608F2"/>
    <w:rsid w:val="00E70E96"/>
    <w:rsid w:val="00E858F5"/>
    <w:rsid w:val="00E93DFB"/>
    <w:rsid w:val="00E95627"/>
    <w:rsid w:val="00E96505"/>
    <w:rsid w:val="00ED245D"/>
    <w:rsid w:val="00EE481A"/>
    <w:rsid w:val="00EF3686"/>
    <w:rsid w:val="00EF4F40"/>
    <w:rsid w:val="00F03FFB"/>
    <w:rsid w:val="00F07F19"/>
    <w:rsid w:val="00F12294"/>
    <w:rsid w:val="00F16333"/>
    <w:rsid w:val="00F25606"/>
    <w:rsid w:val="00F323C2"/>
    <w:rsid w:val="00F433C2"/>
    <w:rsid w:val="00F4684E"/>
    <w:rsid w:val="00F553AB"/>
    <w:rsid w:val="00F57CD9"/>
    <w:rsid w:val="00F67E6C"/>
    <w:rsid w:val="00F738EE"/>
    <w:rsid w:val="00F76388"/>
    <w:rsid w:val="00F85A2D"/>
    <w:rsid w:val="00F973D0"/>
    <w:rsid w:val="00F97CB3"/>
    <w:rsid w:val="00FA0E98"/>
    <w:rsid w:val="00FA1EB2"/>
    <w:rsid w:val="00FA2539"/>
    <w:rsid w:val="00FA3436"/>
    <w:rsid w:val="00FA6788"/>
    <w:rsid w:val="00FB6CE4"/>
    <w:rsid w:val="00FB74D4"/>
    <w:rsid w:val="00FC0C31"/>
    <w:rsid w:val="00FC227A"/>
    <w:rsid w:val="00FD022D"/>
    <w:rsid w:val="00FD44FE"/>
    <w:rsid w:val="00FE0A0B"/>
    <w:rsid w:val="00FE3D15"/>
    <w:rsid w:val="00FE3DBE"/>
    <w:rsid w:val="00FE5A6D"/>
    <w:rsid w:val="00FF43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9EDC"/>
  <w15:docId w15:val="{F93751E0-1E5A-45AB-9BE0-EDF8A100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1"/>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1"/>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1"/>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1"/>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C0C31"/>
    <w:rPr>
      <w:color w:val="0000FF"/>
      <w:u w:val="single"/>
    </w:rPr>
  </w:style>
  <w:style w:type="paragraph" w:styleId="CommentText">
    <w:name w:val="annotation text"/>
    <w:basedOn w:val="Normal"/>
    <w:link w:val="CommentTextChar"/>
    <w:uiPriority w:val="99"/>
    <w:semiHidden/>
    <w:unhideWhenUsed/>
    <w:rsid w:val="002C0021"/>
    <w:rPr>
      <w:sz w:val="20"/>
      <w:szCs w:val="20"/>
    </w:rPr>
  </w:style>
  <w:style w:type="character" w:customStyle="1" w:styleId="CommentTextChar">
    <w:name w:val="Comment Text Char"/>
    <w:basedOn w:val="DefaultParagraphFont"/>
    <w:link w:val="CommentText"/>
    <w:uiPriority w:val="99"/>
    <w:semiHidden/>
    <w:rsid w:val="002C002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C0021"/>
    <w:rPr>
      <w:b/>
      <w:bCs/>
    </w:rPr>
  </w:style>
  <w:style w:type="character" w:customStyle="1" w:styleId="CommentSubjectChar">
    <w:name w:val="Comment Subject Char"/>
    <w:basedOn w:val="CommentTextChar"/>
    <w:link w:val="CommentSubject"/>
    <w:uiPriority w:val="99"/>
    <w:semiHidden/>
    <w:rsid w:val="002C0021"/>
    <w:rPr>
      <w:rFonts w:ascii="Arial" w:hAnsi="Arial" w:cs="Arial"/>
      <w:b/>
      <w:bCs/>
      <w:sz w:val="20"/>
      <w:szCs w:val="20"/>
    </w:rPr>
  </w:style>
  <w:style w:type="character" w:styleId="CommentReference">
    <w:name w:val="annotation reference"/>
    <w:basedOn w:val="DefaultParagraphFont"/>
    <w:uiPriority w:val="99"/>
    <w:semiHidden/>
    <w:unhideWhenUsed/>
    <w:rsid w:val="00783D00"/>
    <w:rPr>
      <w:sz w:val="16"/>
      <w:szCs w:val="16"/>
    </w:rPr>
  </w:style>
  <w:style w:type="paragraph" w:styleId="BalloonText">
    <w:name w:val="Balloon Text"/>
    <w:basedOn w:val="Normal"/>
    <w:link w:val="BalloonTextChar"/>
    <w:uiPriority w:val="99"/>
    <w:semiHidden/>
    <w:unhideWhenUsed/>
    <w:rsid w:val="00783D0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D00"/>
    <w:rPr>
      <w:rFonts w:ascii="Tahoma" w:hAnsi="Tahoma" w:cs="Tahoma"/>
      <w:sz w:val="16"/>
      <w:szCs w:val="16"/>
    </w:rPr>
  </w:style>
  <w:style w:type="paragraph" w:styleId="Revision">
    <w:name w:val="Revision"/>
    <w:hidden/>
    <w:uiPriority w:val="99"/>
    <w:semiHidden/>
    <w:rsid w:val="00783D00"/>
    <w:pPr>
      <w:spacing w:after="0" w:line="240" w:lineRule="auto"/>
    </w:pPr>
    <w:rPr>
      <w:rFonts w:ascii="Arial" w:hAnsi="Arial" w:cs="Arial"/>
    </w:rPr>
  </w:style>
  <w:style w:type="paragraph" w:customStyle="1" w:styleId="Formatvorlage1">
    <w:name w:val="Formatvorlage1"/>
    <w:basedOn w:val="RevisionAnlageBezeichner"/>
    <w:qFormat/>
    <w:rsid w:val="00E96505"/>
  </w:style>
  <w:style w:type="paragraph" w:styleId="PlainText">
    <w:name w:val="Plain Text"/>
    <w:basedOn w:val="Normal"/>
    <w:link w:val="PlainTextChar"/>
    <w:uiPriority w:val="99"/>
    <w:unhideWhenUsed/>
    <w:rsid w:val="009B7A54"/>
    <w:pPr>
      <w:spacing w:before="0" w:after="0"/>
      <w:jc w:val="left"/>
    </w:pPr>
    <w:rPr>
      <w:rFonts w:cstheme="minorBidi"/>
      <w:szCs w:val="21"/>
    </w:rPr>
  </w:style>
  <w:style w:type="character" w:customStyle="1" w:styleId="PlainTextChar">
    <w:name w:val="Plain Text Char"/>
    <w:basedOn w:val="DefaultParagraphFont"/>
    <w:link w:val="PlainText"/>
    <w:uiPriority w:val="99"/>
    <w:rsid w:val="009B7A54"/>
    <w:rPr>
      <w:rFonts w:ascii="Arial" w:hAnsi="Arial"/>
      <w:szCs w:val="21"/>
    </w:r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7"/>
      </w:numPr>
      <w:spacing w:before="60" w:after="60"/>
    </w:pPr>
    <w:rPr>
      <w:sz w:val="18"/>
    </w:rPr>
  </w:style>
  <w:style w:type="paragraph" w:customStyle="1" w:styleId="TabelleListe">
    <w:name w:val="Tabelle Liste"/>
    <w:basedOn w:val="Normal"/>
    <w:rsid w:val="00A147E3"/>
    <w:pPr>
      <w:numPr>
        <w:numId w:val="8"/>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6"/>
      </w:numPr>
      <w:tabs>
        <w:tab w:val="left" w:pos="0"/>
      </w:tabs>
    </w:pPr>
  </w:style>
  <w:style w:type="paragraph" w:customStyle="1" w:styleId="ListeFolgeabsatzStufe1">
    <w:name w:val="Liste Folgeabsatz (Stufe 1)"/>
    <w:basedOn w:val="Normal"/>
    <w:rsid w:val="00A147E3"/>
    <w:pPr>
      <w:numPr>
        <w:ilvl w:val="1"/>
        <w:numId w:val="6"/>
      </w:numPr>
    </w:pPr>
  </w:style>
  <w:style w:type="paragraph" w:customStyle="1" w:styleId="ListeStufe2">
    <w:name w:val="Liste (Stufe 2)"/>
    <w:basedOn w:val="Normal"/>
    <w:rsid w:val="00A147E3"/>
    <w:pPr>
      <w:numPr>
        <w:ilvl w:val="2"/>
        <w:numId w:val="6"/>
      </w:numPr>
    </w:pPr>
  </w:style>
  <w:style w:type="paragraph" w:customStyle="1" w:styleId="ListeFolgeabsatzStufe2">
    <w:name w:val="Liste Folgeabsatz (Stufe 2)"/>
    <w:basedOn w:val="Normal"/>
    <w:rsid w:val="00A147E3"/>
    <w:pPr>
      <w:numPr>
        <w:ilvl w:val="3"/>
        <w:numId w:val="6"/>
      </w:numPr>
    </w:pPr>
  </w:style>
  <w:style w:type="paragraph" w:customStyle="1" w:styleId="ListeStufe3">
    <w:name w:val="Liste (Stufe 3)"/>
    <w:basedOn w:val="Normal"/>
    <w:rsid w:val="00A147E3"/>
    <w:pPr>
      <w:numPr>
        <w:ilvl w:val="4"/>
        <w:numId w:val="6"/>
      </w:numPr>
    </w:pPr>
  </w:style>
  <w:style w:type="paragraph" w:customStyle="1" w:styleId="ListeFolgeabsatzStufe3">
    <w:name w:val="Liste Folgeabsatz (Stufe 3)"/>
    <w:basedOn w:val="Normal"/>
    <w:rsid w:val="00A147E3"/>
    <w:pPr>
      <w:numPr>
        <w:ilvl w:val="5"/>
        <w:numId w:val="6"/>
      </w:numPr>
    </w:pPr>
  </w:style>
  <w:style w:type="paragraph" w:customStyle="1" w:styleId="ListeStufe4">
    <w:name w:val="Liste (Stufe 4)"/>
    <w:basedOn w:val="Normal"/>
    <w:rsid w:val="00A147E3"/>
    <w:pPr>
      <w:numPr>
        <w:ilvl w:val="6"/>
        <w:numId w:val="6"/>
      </w:numPr>
    </w:pPr>
  </w:style>
  <w:style w:type="paragraph" w:customStyle="1" w:styleId="ListeFolgeabsatzStufe4">
    <w:name w:val="Liste Folgeabsatz (Stufe 4)"/>
    <w:basedOn w:val="Normal"/>
    <w:rsid w:val="00A147E3"/>
    <w:pPr>
      <w:numPr>
        <w:ilvl w:val="7"/>
        <w:numId w:val="6"/>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1"/>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2"/>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3"/>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4"/>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5"/>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1"/>
      </w:numPr>
      <w:outlineLvl w:val="5"/>
    </w:pPr>
  </w:style>
  <w:style w:type="paragraph" w:customStyle="1" w:styleId="NummerierungStufe2">
    <w:name w:val="Nummerierung (Stufe 2)"/>
    <w:basedOn w:val="Normal"/>
    <w:rsid w:val="00A147E3"/>
    <w:pPr>
      <w:numPr>
        <w:ilvl w:val="4"/>
        <w:numId w:val="21"/>
      </w:numPr>
    </w:pPr>
  </w:style>
  <w:style w:type="paragraph" w:customStyle="1" w:styleId="NummerierungStufe3">
    <w:name w:val="Nummerierung (Stufe 3)"/>
    <w:basedOn w:val="Normal"/>
    <w:rsid w:val="00A147E3"/>
    <w:pPr>
      <w:numPr>
        <w:ilvl w:val="5"/>
        <w:numId w:val="21"/>
      </w:numPr>
    </w:pPr>
  </w:style>
  <w:style w:type="paragraph" w:customStyle="1" w:styleId="NummerierungStufe4">
    <w:name w:val="Nummerierung (Stufe 4)"/>
    <w:basedOn w:val="Normal"/>
    <w:rsid w:val="00A147E3"/>
    <w:pPr>
      <w:numPr>
        <w:ilvl w:val="6"/>
        <w:numId w:val="21"/>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9"/>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0"/>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2"/>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1"/>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1"/>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3"/>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24"/>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23"/>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24"/>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23"/>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24"/>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23"/>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24"/>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23"/>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24"/>
      </w:numPr>
      <w:spacing w:after="240"/>
      <w:jc w:val="center"/>
      <w:outlineLvl w:val="2"/>
    </w:pPr>
  </w:style>
  <w:style w:type="paragraph" w:customStyle="1" w:styleId="TitelBezeichner">
    <w:name w:val="Titel Bezeichner"/>
    <w:basedOn w:val="Normal"/>
    <w:next w:val="Titelberschrift"/>
    <w:rsid w:val="00A147E3"/>
    <w:pPr>
      <w:keepNext/>
      <w:numPr>
        <w:ilvl w:val="5"/>
        <w:numId w:val="23"/>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24"/>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23"/>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24"/>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25"/>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25"/>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12"/>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2"/>
      </w:numPr>
    </w:pPr>
    <w:rPr>
      <w:color w:val="800000"/>
    </w:rPr>
  </w:style>
  <w:style w:type="paragraph" w:customStyle="1" w:styleId="RevisionNummerierungStufe2">
    <w:name w:val="Revision Nummerierung (Stufe 2)"/>
    <w:basedOn w:val="Normal"/>
    <w:rsid w:val="00A147E3"/>
    <w:pPr>
      <w:numPr>
        <w:ilvl w:val="4"/>
        <w:numId w:val="12"/>
      </w:numPr>
    </w:pPr>
    <w:rPr>
      <w:color w:val="800000"/>
    </w:rPr>
  </w:style>
  <w:style w:type="paragraph" w:customStyle="1" w:styleId="RevisionNummerierungStufe3">
    <w:name w:val="Revision Nummerierung (Stufe 3)"/>
    <w:basedOn w:val="Normal"/>
    <w:rsid w:val="00A147E3"/>
    <w:pPr>
      <w:numPr>
        <w:ilvl w:val="5"/>
        <w:numId w:val="12"/>
      </w:numPr>
    </w:pPr>
    <w:rPr>
      <w:color w:val="800000"/>
    </w:rPr>
  </w:style>
  <w:style w:type="paragraph" w:customStyle="1" w:styleId="RevisionNummerierungStufe4">
    <w:name w:val="Revision Nummerierung (Stufe 4)"/>
    <w:basedOn w:val="Normal"/>
    <w:rsid w:val="00A147E3"/>
    <w:pPr>
      <w:numPr>
        <w:ilvl w:val="6"/>
        <w:numId w:val="12"/>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2"/>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12"/>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19"/>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3"/>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3"/>
      </w:numPr>
    </w:pPr>
    <w:rPr>
      <w:color w:val="800000"/>
    </w:rPr>
  </w:style>
  <w:style w:type="paragraph" w:customStyle="1" w:styleId="RevisionListeStufe2">
    <w:name w:val="Revision Liste (Stufe 2)"/>
    <w:basedOn w:val="Normal"/>
    <w:rsid w:val="00A147E3"/>
    <w:pPr>
      <w:numPr>
        <w:ilvl w:val="2"/>
        <w:numId w:val="13"/>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3"/>
      </w:numPr>
    </w:pPr>
    <w:rPr>
      <w:color w:val="800000"/>
    </w:rPr>
  </w:style>
  <w:style w:type="paragraph" w:customStyle="1" w:styleId="RevisionListeStufe3">
    <w:name w:val="Revision Liste (Stufe 3)"/>
    <w:basedOn w:val="Normal"/>
    <w:rsid w:val="00A147E3"/>
    <w:pPr>
      <w:numPr>
        <w:ilvl w:val="4"/>
        <w:numId w:val="13"/>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3"/>
      </w:numPr>
    </w:pPr>
    <w:rPr>
      <w:color w:val="800000"/>
    </w:rPr>
  </w:style>
  <w:style w:type="paragraph" w:customStyle="1" w:styleId="RevisionListeStufe4">
    <w:name w:val="Revision Liste (Stufe 4)"/>
    <w:basedOn w:val="Normal"/>
    <w:rsid w:val="00A147E3"/>
    <w:pPr>
      <w:numPr>
        <w:ilvl w:val="6"/>
        <w:numId w:val="13"/>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3"/>
      </w:numPr>
    </w:pPr>
    <w:rPr>
      <w:color w:val="800000"/>
    </w:rPr>
  </w:style>
  <w:style w:type="paragraph" w:customStyle="1" w:styleId="RevisionAufzhlungStufe1">
    <w:name w:val="Revision Aufzählung (Stufe 1)"/>
    <w:basedOn w:val="Normal"/>
    <w:rsid w:val="00A147E3"/>
    <w:pPr>
      <w:numPr>
        <w:numId w:val="14"/>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15"/>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16"/>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17"/>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18"/>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0"/>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1"/>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 w:type="character" w:customStyle="1" w:styleId="NichtaufgelsteErwhnung1">
    <w:name w:val="Nicht aufgelöste Erwähnung1"/>
    <w:basedOn w:val="DefaultParagraphFont"/>
    <w:uiPriority w:val="99"/>
    <w:semiHidden/>
    <w:unhideWhenUsed/>
    <w:rsid w:val="009B0440"/>
    <w:rPr>
      <w:color w:val="605E5C"/>
      <w:shd w:val="clear" w:color="auto" w:fill="E1DFDD"/>
    </w:rPr>
  </w:style>
  <w:style w:type="paragraph" w:customStyle="1" w:styleId="Formatvorlage2">
    <w:name w:val="Formatvorlage2"/>
    <w:basedOn w:val="Normal"/>
    <w:qFormat/>
    <w:rsid w:val="00331B9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091600">
      <w:bodyDiv w:val="1"/>
      <w:marLeft w:val="0"/>
      <w:marRight w:val="0"/>
      <w:marTop w:val="0"/>
      <w:marBottom w:val="0"/>
      <w:divBdr>
        <w:top w:val="none" w:sz="0" w:space="0" w:color="auto"/>
        <w:left w:val="none" w:sz="0" w:space="0" w:color="auto"/>
        <w:bottom w:val="none" w:sz="0" w:space="0" w:color="auto"/>
        <w:right w:val="none" w:sz="0" w:space="0" w:color="auto"/>
      </w:divBdr>
    </w:div>
    <w:div w:id="297535176">
      <w:bodyDiv w:val="1"/>
      <w:marLeft w:val="0"/>
      <w:marRight w:val="0"/>
      <w:marTop w:val="0"/>
      <w:marBottom w:val="0"/>
      <w:divBdr>
        <w:top w:val="none" w:sz="0" w:space="0" w:color="auto"/>
        <w:left w:val="none" w:sz="0" w:space="0" w:color="auto"/>
        <w:bottom w:val="none" w:sz="0" w:space="0" w:color="auto"/>
        <w:right w:val="none" w:sz="0" w:space="0" w:color="auto"/>
      </w:divBdr>
    </w:div>
    <w:div w:id="42908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32698-DE5F-4FC0-83A1-BA62E7865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11</TotalTime>
  <Pages>13</Pages>
  <Words>4546</Words>
  <Characters>25915</Characters>
  <Application>Microsoft Office Word</Application>
  <DocSecurity>0</DocSecurity>
  <Lines>215</Lines>
  <Paragraphs>60</Paragraphs>
  <ScaleCrop>false</ScaleCrop>
  <HeadingPairs>
    <vt:vector size="2" baseType="variant">
      <vt:variant>
        <vt:lpstr>Titel</vt:lpstr>
      </vt:variant>
      <vt:variant>
        <vt:i4>1</vt:i4>
      </vt:variant>
    </vt:vector>
  </HeadingPairs>
  <TitlesOfParts>
    <vt:vector size="1" baseType="lpstr">
      <vt:lpstr/>
    </vt:vector>
  </TitlesOfParts>
  <Company>BMWi, IT-Referat</Company>
  <LinksUpToDate>false</LinksUpToDate>
  <CharactersWithSpaces>30401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Gierschke, Katharina, IVC2</dc:creator>
  <cp:lastModifiedBy>Dimitris Dimitriadis</cp:lastModifiedBy>
  <cp:revision>8</cp:revision>
  <cp:lastPrinted>2021-03-29T13:15:00Z</cp:lastPrinted>
  <dcterms:created xsi:type="dcterms:W3CDTF">2021-04-01T06:05:00Z</dcterms:created>
  <dcterms:modified xsi:type="dcterms:W3CDTF">2021-04-13T11:13:00Z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AENDER/ARTVER</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20191227</vt:lpwstr>
  </property>
  <property fmtid="{D5CDD505-2E9C-101B-9397-08002B2CF9AE}" pid="6" name="Last edited using">
    <vt:lpwstr>LW 5.4, Build 20200526</vt:lpwstr>
  </property>
  <property fmtid="{D5CDD505-2E9C-101B-9397-08002B2CF9AE}" pid="7" name="eNorm-Version Erstellung">
    <vt:lpwstr>4.1.2.1, Bundesregierung, [20191227]</vt:lpwstr>
  </property>
  <property fmtid="{D5CDD505-2E9C-101B-9397-08002B2CF9AE}" pid="8" name="Meta_Initiant">
    <vt:lpwstr>Initiant</vt:lpwstr>
  </property>
  <property fmtid="{D5CDD505-2E9C-101B-9397-08002B2CF9AE}" pid="9" name="Bearbeitungsstand">
    <vt:lpwstr>Bearbeitungsstand: 29.03.2021  17:46 Uhr</vt:lpwstr>
  </property>
  <property fmtid="{D5CDD505-2E9C-101B-9397-08002B2CF9AE}" pid="10" name="eNorm-Version vorherige Bearbeitung">
    <vt:lpwstr>4.1.5 Bundesregierung [20200526]</vt:lpwstr>
  </property>
  <property fmtid="{D5CDD505-2E9C-101B-9397-08002B2CF9AE}" pid="11" name="eNorm-Version letzte Bearbeitung">
    <vt:lpwstr>4.1.5 Bundesregierung [20200526]</vt:lpwstr>
  </property>
  <property fmtid="{D5CDD505-2E9C-101B-9397-08002B2CF9AE}" pid="12" name="DQP-Ergebnis für Version 4">
    <vt:lpwstr>14 Fehler, 12 Warnungen</vt:lpwstr>
  </property>
  <property fmtid="{D5CDD505-2E9C-101B-9397-08002B2CF9AE}" pid="13" name="eNorm-Version letzte DQP">
    <vt:lpwstr>4.1.5, Bundesregierung, [20200526]</vt:lpwstr>
  </property>
  <property fmtid="{D5CDD505-2E9C-101B-9397-08002B2CF9AE}" pid="14" name="Meta_Bezeichnung">
    <vt:lpwstr>Dritte Verordnung zur Änderung der Mess- und Eichverordnung</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Artikelverordnung</vt:lpwstr>
  </property>
  <property fmtid="{D5CDD505-2E9C-101B-9397-08002B2CF9AE}" pid="18" name="Meta_Federführung">
    <vt:lpwstr/>
  </property>
  <property fmtid="{D5CDD505-2E9C-101B-9397-08002B2CF9AE}" pid="19" name="Meta_Umsetzung von EU-Recht">
    <vt:lpwstr>otifiziert nach der Richtlinie (EU) 2015/1535 des Europäischen Parlaments und des Rates vom 9. September 2015 über ein Informationsverfahren auf dem Gebiet der technischen Vorschriften und der Vorschriften für die Dienste der Informationsgesellschaft (ABl</vt:lpwstr>
  </property>
  <property fmtid="{D5CDD505-2E9C-101B-9397-08002B2CF9AE}" pid="20" name="Meta_Umsetzung von EU-Recht_2">
    <vt:lpwstr>. L 241 vom 17.9.2015, S. 1).</vt:lpwstr>
  </property>
  <property fmtid="{D5CDD505-2E9C-101B-9397-08002B2CF9AE}" pid="21" name="Meta_Anlagen">
    <vt:lpwstr/>
  </property>
</Properties>
</file>