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Regolamento dell’Agenzia per i prodotti farmaceutici sui medicinali per uso umano importati in parallelo;</w:t>
      </w:r>
    </w:p>
    <w:p w14:paraId="246EEEEE" w14:textId="6CA454AB" w:rsidR="00BB03EE" w:rsidRDefault="0086714A" w:rsidP="0086714A">
      <w:pPr>
        <w:pStyle w:val="HSLF-FS-Beslutsinfo"/>
      </w:pPr>
      <w:r>
        <w:t>adottato in data XX xx 2021.</w:t>
      </w:r>
    </w:p>
    <w:p w14:paraId="4E241320" w14:textId="54548C3E" w:rsidR="004F4CCF" w:rsidRDefault="00433373" w:rsidP="0086714A">
      <w:pPr>
        <w:pStyle w:val="HSLF-FS-Brdtext"/>
      </w:pPr>
      <w:r>
        <w:t>In virtù del capitolo 9, § 11 dell'ordinanza sui medicinali (2015:458), l'agenzia dei prodotti farmaceutici stabilisce</w:t>
      </w:r>
      <w:r w:rsidR="00943E19">
        <w:rPr>
          <w:rStyle w:val="FootnoteReference"/>
        </w:rPr>
        <w:footnoteReference w:id="1"/>
      </w:r>
      <w:r>
        <w:t xml:space="preserve"> quanto segue.</w:t>
      </w:r>
    </w:p>
    <w:p w14:paraId="40282447" w14:textId="1A63E6DC" w:rsidR="004315EF" w:rsidRPr="003C3708" w:rsidRDefault="004315EF" w:rsidP="003C3708">
      <w:pPr>
        <w:pStyle w:val="HSLF-FS-Rubrik-2"/>
      </w:pPr>
      <w:r>
        <w:t>Ambito di applicazione</w:t>
      </w:r>
    </w:p>
    <w:p w14:paraId="43B4D568" w14:textId="33FF8A54" w:rsidR="003C3708" w:rsidRPr="003C3708" w:rsidRDefault="00ED6DD8" w:rsidP="003C3708">
      <w:pPr>
        <w:pStyle w:val="HSLF-FS-Brdtext"/>
        <w:rPr>
          <w:sz w:val="24"/>
          <w:szCs w:val="24"/>
        </w:rPr>
      </w:pPr>
      <w:r>
        <w:rPr>
          <w:b/>
        </w:rPr>
        <w:t>§ 1</w:t>
      </w:r>
      <w:r>
        <w:t xml:space="preserve"> Il presente regolamento si applica all'ingresso di un medicinale per uso umano importato in parallelo. </w:t>
      </w:r>
    </w:p>
    <w:p w14:paraId="0F413F36" w14:textId="73CF5F55" w:rsidR="003C3708" w:rsidRPr="00BE016C" w:rsidRDefault="003C3708" w:rsidP="00BE016C">
      <w:pPr>
        <w:pStyle w:val="HSLF-FS-Brdtextindragfrstaraden"/>
      </w:pPr>
      <w:r>
        <w:t>Tale regolamento non si applica ai medicinali per uso umano per i quali la domanda di autorizzazione è stata riesaminata la norma del regolamento (CE) n. 726/2004 del Parlamento europeo e del Consiglio, del 31 marzo 2004, che istituisce procedure comunitarie per l'autorizzazione e la sorveglianza dei medicinali per uso umano e veterinario, e che istituisce l'agenzia europea per i medicinali.</w:t>
      </w:r>
    </w:p>
    <w:p w14:paraId="4A80A3E8" w14:textId="02D1B0F7" w:rsidR="003C3708" w:rsidRPr="003C3708" w:rsidRDefault="003C3708" w:rsidP="00C96192">
      <w:pPr>
        <w:pStyle w:val="HSLF-FS-Rubrik-2"/>
        <w:rPr>
          <w:bCs/>
        </w:rPr>
      </w:pPr>
      <w:r>
        <w:t>Definizioni</w:t>
      </w:r>
    </w:p>
    <w:p w14:paraId="0A72EFEB" w14:textId="5E3C0889" w:rsidR="00940C6F" w:rsidRDefault="00940C6F" w:rsidP="003C3708">
      <w:pPr>
        <w:pStyle w:val="HSLF-FS-Brdtextindragfrstaraden"/>
        <w:ind w:firstLine="0"/>
      </w:pPr>
      <w:r>
        <w:rPr>
          <w:b/>
        </w:rPr>
        <w:t>§ 2</w:t>
      </w:r>
      <w:r>
        <w:t xml:space="preserve"> I termini e i concetti utilizzati nella legge sui medicinali</w:t>
      </w:r>
    </w:p>
    <w:p w14:paraId="04DC6BA2" w14:textId="77777777" w:rsidR="00940C6F" w:rsidRDefault="00940C6F" w:rsidP="003C3708">
      <w:pPr>
        <w:pStyle w:val="HSLF-FS-Brdtextindragfrstaraden"/>
        <w:ind w:firstLine="0"/>
      </w:pPr>
      <w:r>
        <w:t xml:space="preserve">(2015:315) hanno lo stesso significato nel presente regolamento. </w:t>
      </w:r>
    </w:p>
    <w:p w14:paraId="1D091889" w14:textId="083F2529" w:rsidR="003C3708" w:rsidRPr="00BE016C" w:rsidRDefault="00940C6F" w:rsidP="00BE016C">
      <w:pPr>
        <w:pStyle w:val="HSLF-FS-Brdtextindragfrstaraden"/>
      </w:pPr>
      <w:r>
        <w:t>Ai fini del presente regolamento, si applicano le seguenti definizioni:</w:t>
      </w:r>
    </w:p>
    <w:p w14:paraId="4386FD47" w14:textId="64D64BCA" w:rsidR="00940C6F" w:rsidRPr="00BE016C" w:rsidRDefault="00940C6F" w:rsidP="007C2C81">
      <w:pPr>
        <w:pStyle w:val="HSLF-FS-Brdtextindragfrstaraden"/>
      </w:pPr>
      <w:r>
        <w:rPr>
          <w:i/>
        </w:rPr>
        <w:t>importazione parallela</w:t>
      </w:r>
      <w:r>
        <w:t xml:space="preserve"> entrata in Svezia da un Paese dello Spazio economico europeo (SEE) di un medicinale per uso umano autorizzato alla vendita in Svezia e nel paese di uscita, ma l'entrata è gestita da un </w:t>
      </w:r>
      <w:r>
        <w:lastRenderedPageBreak/>
        <w:t>ente diverso dal produttore o dal titolare dell'autorizzazione all'immissione in commercio,</w:t>
      </w:r>
    </w:p>
    <w:p w14:paraId="19F16786" w14:textId="6540C502" w:rsidR="00940C6F" w:rsidRPr="00BE016C" w:rsidRDefault="00940C6F" w:rsidP="007C2C81">
      <w:pPr>
        <w:pStyle w:val="HSLF-FS-Brdtextindragfrstaraden"/>
      </w:pPr>
      <w:r>
        <w:rPr>
          <w:i/>
        </w:rPr>
        <w:t xml:space="preserve">importatore parallelo </w:t>
      </w:r>
      <w:r>
        <w:t xml:space="preserve">il titolare dell'autorizzazione all'immissione in commercio di un medicinale per uso umano importato parallelamente, </w:t>
      </w:r>
    </w:p>
    <w:p w14:paraId="4A759F7F" w14:textId="2F131841" w:rsidR="00F34CB6" w:rsidRPr="00BE016C" w:rsidRDefault="00940C6F" w:rsidP="007C2C81">
      <w:pPr>
        <w:pStyle w:val="HSLF-FS-Brdtextindragfrstaraden"/>
      </w:pPr>
      <w:r>
        <w:rPr>
          <w:i/>
        </w:rPr>
        <w:t>medicinale per uso umano importato direttamente</w:t>
      </w:r>
      <w:r>
        <w:t xml:space="preserve"> il medicinale a cui il medicinale per uso umano importato parallelamente si riferisce nella domanda. </w:t>
      </w:r>
    </w:p>
    <w:p w14:paraId="5F711D83" w14:textId="64AA579B" w:rsidR="00FA0F3C" w:rsidRDefault="00646823" w:rsidP="00FA0F3C">
      <w:pPr>
        <w:pStyle w:val="HSLF-FS-Rubrik-2"/>
      </w:pPr>
      <w:r>
        <w:t>Autorizzazione</w:t>
      </w:r>
    </w:p>
    <w:p w14:paraId="3C655A84" w14:textId="3F878C50" w:rsidR="007732D0" w:rsidRPr="007732D0" w:rsidRDefault="00C445C5" w:rsidP="007732D0">
      <w:pPr>
        <w:pStyle w:val="HSLF-FS-Brdtext"/>
      </w:pPr>
      <w:r>
        <w:rPr>
          <w:b/>
        </w:rPr>
        <w:t xml:space="preserve">§ 3 </w:t>
      </w:r>
      <w:r>
        <w:t xml:space="preserve">Un medicinale per uso umano importato parallelamente non può essere commercializzato fino al rilascio dell'autorizzazione. </w:t>
      </w:r>
    </w:p>
    <w:p w14:paraId="51E8069F" w14:textId="6EC36889" w:rsidR="00646823" w:rsidRDefault="00C445C5" w:rsidP="00BE016C">
      <w:pPr>
        <w:pStyle w:val="HSLF-FS-Brdtextindragfrstaraden"/>
      </w:pPr>
      <w:r>
        <w:t xml:space="preserve">Un'autorizzazione all'immissione in commercio per un medicinale di importazione parallela per uso umano è valida per cinque anni. Dopo la domanda, l'autorizzazione può essere prorogata a tempo indeterminato. A tale domanda si applica quanto indicato nella domanda di rinnovo di cui al capitolo 4, § 17 della legge sui medicinali (2015:315).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Per ottenere l'autorizzazione all'immissione in commercio di medicinali per uso umano importati parallelamente, devono essere soddisfatte le seguenti condizioni: </w:t>
      </w:r>
    </w:p>
    <w:p w14:paraId="78F2E1FC" w14:textId="11663A88" w:rsidR="00D8693F" w:rsidRDefault="007C2C81" w:rsidP="007C2C81">
      <w:pPr>
        <w:pStyle w:val="HSLF-FS-Brdtextindragfrstaraden"/>
      </w:pPr>
      <w:r>
        <w:t>1. il medicinale per uso umano importato direttamente è già autorizzato alla commercializzazione in Svezia quando l'agenzia dei prodotti farmaceutici riceve la domanda,</w:t>
      </w:r>
    </w:p>
    <w:p w14:paraId="6F54A6D9" w14:textId="772D8B99" w:rsidR="00D8693F" w:rsidRDefault="007C2C81" w:rsidP="007C2C81">
      <w:pPr>
        <w:pStyle w:val="HSLF-FS-Brdtextindragfrstaraden"/>
      </w:pPr>
      <w:r>
        <w:t xml:space="preserve">2. il medicinale per uso umano importato parallelamente ha l'autorizzazione alla commercializzazione nel Paese di uscita, </w:t>
      </w:r>
    </w:p>
    <w:p w14:paraId="7CAAA569" w14:textId="069A8D5A" w:rsidR="00D8693F" w:rsidRDefault="007C2C81" w:rsidP="007C2C81">
      <w:pPr>
        <w:pStyle w:val="HSLF-FS-Brdtextindragfrstaraden"/>
      </w:pPr>
      <w:r>
        <w:t xml:space="preserve">3. il Paese di uscita è uno Stato membro del SEE, e </w:t>
      </w:r>
    </w:p>
    <w:p w14:paraId="1E03DBE1" w14:textId="558CD31C" w:rsidR="00D57B04" w:rsidRDefault="007C2C81" w:rsidP="007C2C81">
      <w:pPr>
        <w:pStyle w:val="HSLF-FS-Brdtextindragfrstaraden"/>
      </w:pPr>
      <w:r>
        <w:t>4. il medicinale per uso umano importato parallelamente è sufficientemente simile al medicinale per uso umano importato direttamente.</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Una domanda di autorizzazione all'immissione in commercio per i medicinali per uso umano importati parallelamente deve includere: </w:t>
      </w:r>
    </w:p>
    <w:p w14:paraId="44DA9400" w14:textId="1FC51AA4" w:rsidR="00993A39" w:rsidRDefault="007C2C81" w:rsidP="007C2C81">
      <w:pPr>
        <w:pStyle w:val="HSLF-FS-Brdtextindragfrstaraden"/>
      </w:pPr>
      <w:r>
        <w:t xml:space="preserve">1. le informazioni e la documentazione specificate nell'allegato del regolamento, </w:t>
      </w:r>
    </w:p>
    <w:p w14:paraId="419C2964" w14:textId="77A3603F" w:rsidR="00D8693F" w:rsidRPr="00993A39" w:rsidRDefault="007C2C81" w:rsidP="007C2C81">
      <w:pPr>
        <w:pStyle w:val="HSLF-FS-Brdtextindragfrstaraden"/>
      </w:pPr>
      <w:r>
        <w:t xml:space="preserve">2. una proposta di etichettatura degli imballaggi primari, </w:t>
      </w:r>
    </w:p>
    <w:p w14:paraId="7C0BA453" w14:textId="560BF230" w:rsidR="00D8693F" w:rsidRPr="00993A39" w:rsidRDefault="007C2C81" w:rsidP="007C2C81">
      <w:pPr>
        <w:pStyle w:val="HSLF-FS-Brdtextindragfrstaraden"/>
      </w:pPr>
      <w:r>
        <w:t xml:space="preserve">3. il foglietto illustrativo proposto, e </w:t>
      </w:r>
    </w:p>
    <w:p w14:paraId="0CFEA5D0" w14:textId="209D1807" w:rsidR="00BE016C" w:rsidRDefault="007C2C81" w:rsidP="007C2C81">
      <w:pPr>
        <w:pStyle w:val="HSLF-FS-Brdtextindragfrstaraden"/>
      </w:pPr>
      <w:r>
        <w:t xml:space="preserve">4. una copia di tutti gli imballaggi e le dimensioni degli imballaggi, provenienti dal Paese di uscita, destinati all'ingresso in Svezia. </w:t>
      </w:r>
    </w:p>
    <w:p w14:paraId="096B4409" w14:textId="6ECA526F" w:rsidR="00993A39" w:rsidRDefault="00D8693F" w:rsidP="00BE016C">
      <w:pPr>
        <w:pStyle w:val="HSLF-FS-Brdtextindragfrstaraden"/>
      </w:pPr>
      <w:r>
        <w:t xml:space="preserve">Sono richieste domande separate per ciascun Paese di uscita. </w:t>
      </w:r>
    </w:p>
    <w:p w14:paraId="26E87D79" w14:textId="76BBD1B2" w:rsidR="00D8693F" w:rsidRPr="00993A39" w:rsidRDefault="00D8693F" w:rsidP="00BE016C">
      <w:pPr>
        <w:pStyle w:val="HSLF-FS-Brdtextindragfrstaraden"/>
      </w:pPr>
      <w:r>
        <w:t xml:space="preserve">L'agenzia dei prodotti farmaceutici esamina le domande di autorizzazione all'immissione in commercio per i medicinali per uso </w:t>
      </w:r>
      <w:r>
        <w:lastRenderedPageBreak/>
        <w:t xml:space="preserve">umano importati parallelamente dopo il pagamento della tassa di domanda. </w:t>
      </w:r>
    </w:p>
    <w:p w14:paraId="18053560" w14:textId="5EF14C14" w:rsidR="00993A39" w:rsidRPr="00993A39" w:rsidRDefault="00993A39" w:rsidP="00993A39">
      <w:pPr>
        <w:pStyle w:val="HSLF-FS-Rubrik-2"/>
      </w:pPr>
      <w:r>
        <w:t>Domanda per i prodotti biologici per uso umano</w:t>
      </w:r>
    </w:p>
    <w:p w14:paraId="7D23B598" w14:textId="2162C899" w:rsidR="00D8693F" w:rsidRDefault="00993A39" w:rsidP="00993A39">
      <w:pPr>
        <w:pStyle w:val="HSLF-FS-Brdtext"/>
      </w:pPr>
      <w:r>
        <w:rPr>
          <w:b/>
        </w:rPr>
        <w:t xml:space="preserve">§ 6 </w:t>
      </w:r>
      <w:r>
        <w:t>Oltre a quanto specificato al § 5, la concessione dell'autorizzazione all'immissione in commercio di medicinali per uso umano importati parallelamente fabbricati con sangue o plasma umano richiede la documentazione relativa alle materie di partenza, alla tracciabilità e ai sistemi di segnalazione di eventi gravi relativi a potenziali rischi di contagio. Tale documentazione può essere richiesta anche quando la domanda riguarda altri prodotti biologici per uso umano.</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I documenti di domanda di cui ai §§ 5 e 6 devono essere redatti in svedese o in inglese.</w:t>
      </w:r>
    </w:p>
    <w:p w14:paraId="1CBA2373" w14:textId="2BEEACD9" w:rsidR="00C96192" w:rsidRPr="00C96192" w:rsidRDefault="00C96192" w:rsidP="00C96192">
      <w:pPr>
        <w:pStyle w:val="HSLF-FS-Rubrik-2"/>
      </w:pPr>
      <w:r>
        <w:t xml:space="preserve">Notifica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Chi intende importare parallelamente un medicinale per uso umano deve notificare la propria intenzione al titolare dell'autorizzazione all'immissione in commercio del medicinale per uso umano importato direttamente. La notifica avviene prima che il medicinale per uso umano importato parallelamente sia commercializzato in Svezia.</w:t>
      </w:r>
    </w:p>
    <w:p w14:paraId="3BBDD876" w14:textId="1E41FBDB" w:rsidR="00C96192" w:rsidRDefault="00C96192" w:rsidP="00C96192">
      <w:pPr>
        <w:pStyle w:val="HSLF-FS-Rubrik-2"/>
      </w:pPr>
      <w:r>
        <w:t>Notifica specifica per le importazioni parallele da taluni Paesi</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Se l'importatore parallelo intende importare medicinali per uso umano da Bulgaria, Estonia, Croazia, Lettonia, Lituania, Polonia, Romania, Slovacchia, Slovenia, Repubblica Ceca o Ungheria e il medicinale per uso umano importato direttamente è protetto da brevetto o da un certificato protettivo complementare (CPC), il titolare del brevetto o il beneficiario del brevetto o del CPC deve essere informato al più tardi 30 giorni prima che la domanda sia presentata all'agenzia dei prodotti farmaceutici. La notifica ha luogo, a meno che la stessa possibilità di protezione del brevetto o del certificato protettivo complementare fosse prevista per il medicinale per uso umano nel Paese di uscita così come per il medicinale per uso umano importato direttamente al momento della sua domanda di autorizzazione. </w:t>
      </w:r>
    </w:p>
    <w:p w14:paraId="4EBBEDAE" w14:textId="77777777" w:rsidR="00C96192" w:rsidRPr="00C96192" w:rsidRDefault="00C96192" w:rsidP="00C96192">
      <w:pPr>
        <w:pStyle w:val="HSLF-FS-Rubrik-2"/>
      </w:pPr>
      <w:r>
        <w:t xml:space="preserve">Tasse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Le disposizioni relative alle tasse sono consultabili nel regolamento (2010:1167) sulle tasse per il controllo statale dei medicinali.</w:t>
      </w:r>
    </w:p>
    <w:p w14:paraId="5E4625DC" w14:textId="77777777" w:rsidR="008E0BB7" w:rsidRDefault="008E0BB7" w:rsidP="008E0BB7">
      <w:pPr>
        <w:pStyle w:val="HSLF-FS-Rubrik-2"/>
      </w:pPr>
      <w:r>
        <w:lastRenderedPageBreak/>
        <w:t xml:space="preserve">Sintesi delle caratteristiche del prodotto </w:t>
      </w:r>
    </w:p>
    <w:p w14:paraId="4879FB44" w14:textId="69BB98B3" w:rsidR="008E0BB7" w:rsidRDefault="008E0BB7" w:rsidP="003E763F">
      <w:pPr>
        <w:pStyle w:val="HSLF-FS-Brdtextindragfrstaraden"/>
        <w:spacing w:line="240" w:lineRule="auto"/>
        <w:ind w:firstLine="0"/>
      </w:pPr>
      <w:r>
        <w:rPr>
          <w:b/>
        </w:rPr>
        <w:t>§ 11</w:t>
      </w:r>
      <w:r>
        <w:t xml:space="preserve"> La sintesi delle caratteristiche del prodotto per il medicinale per uso umano di importazione diretta è valido, mutatis mutandis, anche per il medicinale per uso umano di importazione parallela. </w:t>
      </w:r>
    </w:p>
    <w:p w14:paraId="0262828E" w14:textId="6DA76E30" w:rsidR="008E0BB7" w:rsidRDefault="008E0BB7" w:rsidP="006828FD">
      <w:pPr>
        <w:pStyle w:val="HSLF-FS-Brdtextindragfrstaraden"/>
      </w:pPr>
      <w:r>
        <w:t xml:space="preserve">Se il medicinale per uso umano importato direttamente non è più autorizzato alla commercializzazione in Svezia ed è privo di una sintesi delle caratteristiche del prodotto, l'importatore parallelo presenterà una domanda per passare a un'altra sintesi adeguata delle caratteristiche del prodotto. </w:t>
      </w:r>
    </w:p>
    <w:p w14:paraId="64CC7F95" w14:textId="4B4B24CF" w:rsidR="00013C90" w:rsidRDefault="008E0BB7" w:rsidP="009C696F">
      <w:pPr>
        <w:pStyle w:val="HSLF-FS-Brdtextindragfrstaraden"/>
      </w:pPr>
      <w:r>
        <w:t>In assenza di una sintesi adeguata delle caratteristiche del prodotto ai sensi del secondo paragrafo, l'importatore parallelo presenta una sintesi delle caratteristiche del prodotto in svedese per il medicinale per uso umano importato parallelamente. Quando viene redatta una sintesi delle caratteristiche del prodotto, essa deve essere formattato secondo [il regolamento dell'agenzia dei prodotti farmaceutici (HSLF-FS 2021:xx) sull'autorizzazione all'immissione in commercio dei medicinali per uso umano].</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Etichettatura e foglietto illustrativo</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L'etichettatura e il nome devono essere formattati secondo il [regolamento dell'Agenzia per i prodotti farmaceutici (HSLF-FS 2021:xx) sull'etichettatura e sui foglietti illustrativi per i medicinali per uso umano]. Va inoltre osservato quanto segue.</w:t>
      </w:r>
    </w:p>
    <w:p w14:paraId="4B08A15A" w14:textId="77777777" w:rsidR="003F4B7D" w:rsidRDefault="003F4B7D" w:rsidP="003F4B7D">
      <w:pPr>
        <w:pStyle w:val="HSLF-FS-Brdtextindragfrstaraden"/>
      </w:pPr>
      <w:r>
        <w:t xml:space="preserve">1. L'imballaggio primario e quello esterno devono recare i nomi e gli indirizzi del fabbricante, dell'importatore parallelo e del riconfezionatore. Al posto del nome e dell'indirizzo del fabbricante, può essere indicato un nome pertinente. </w:t>
      </w:r>
    </w:p>
    <w:p w14:paraId="40E0DA30" w14:textId="0F35B829" w:rsidR="00FB7D99" w:rsidRDefault="003F4B7D" w:rsidP="003F4B7D">
      <w:pPr>
        <w:pStyle w:val="HSLF-FS-Brdtextindragfrstaraden"/>
      </w:pPr>
      <w:r>
        <w:t xml:space="preserve">2. Se il medicinale per uso umano importato parallelamente si discosta in qualche modo dal medicinale per uso umano importato direttamente, l'imballaggio esterno deve essere etichettato con un testo corrispondente. </w:t>
      </w:r>
    </w:p>
    <w:p w14:paraId="476EACF4" w14:textId="7E57E8A4" w:rsidR="00FB7D99" w:rsidRDefault="008E0BB7" w:rsidP="006828FD">
      <w:pPr>
        <w:pStyle w:val="HSLF-FS-Brdtextindragfrstaraden"/>
      </w:pPr>
      <w:r>
        <w:t xml:space="preserve">Ad eccezione del punto 1 del primo comma, il confezionamento primario sotto forma di blister e di altri imballaggi immediati di piccole dimensioni può recare soltanto le informazioni di cui ai §§ 3–4 [HSLF-FS 2021:xx] e il nome dell'importatore parallelo. </w:t>
      </w:r>
    </w:p>
    <w:p w14:paraId="48B7FB75" w14:textId="6CEE253F" w:rsidR="008E0BB7" w:rsidRPr="00FB7D99" w:rsidRDefault="008E0BB7" w:rsidP="006828FD">
      <w:pPr>
        <w:pStyle w:val="HSLF-FS-Brdtextindragfrstaraden"/>
      </w:pPr>
      <w:r>
        <w:t>L'imballaggio può riportare un testo in una lingua straniera se il contenuto del testo non è in conflitto con quello riportato sull'etichetta in svedese.</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Il foglietto illustrativo deve essere formattato secondo il [regolamento dell'Agenzia per i prodotti farmaceutici (HSLF-FS 2021:xx) sull'etichettatura e sui foglietti illustrativi per i medicinali per uso umano]. Il contenuto del foglietto illustrativo segue il foglietto </w:t>
      </w:r>
      <w:r>
        <w:lastRenderedPageBreak/>
        <w:t xml:space="preserve">illustrativo del medicinale per uso umano di importazione diretta, ma è adattato al medicinale per uso umano di importazione parallela. </w:t>
      </w:r>
    </w:p>
    <w:p w14:paraId="320F43CC" w14:textId="18B3DC58" w:rsidR="008E0BB7" w:rsidRDefault="00FB7D99" w:rsidP="00290C54">
      <w:pPr>
        <w:pStyle w:val="HSLF-FS-Brdtextindragfrstaraden"/>
        <w:rPr>
          <w:b/>
          <w:sz w:val="23"/>
          <w:szCs w:val="23"/>
        </w:rPr>
      </w:pPr>
      <w:r>
        <w:t>Oltre al nome e all'indirizzo del fabbricante, sul foglio illustrativo figurano anche i nomi e gli indirizzi dell'importatore parallelo e del riconfezionatore. Al posto del nome e dell'indirizzo del fabbricante, può essere indicato un nome pertinente.</w:t>
      </w:r>
    </w:p>
    <w:p w14:paraId="2AAFFEDA" w14:textId="7B80763D" w:rsidR="00FB7D99" w:rsidRPr="00FB7D99" w:rsidRDefault="00290C54" w:rsidP="000A25FC">
      <w:pPr>
        <w:pStyle w:val="HSLF-FS-Rubrik-2"/>
      </w:pPr>
      <w:r>
        <w:t xml:space="preserve">La denominazione del medicinale per uso umano </w:t>
      </w:r>
    </w:p>
    <w:p w14:paraId="7D3512EF" w14:textId="6DC83553" w:rsidR="008E0BB7" w:rsidRDefault="00FB7D99" w:rsidP="003E763F">
      <w:pPr>
        <w:pStyle w:val="HSLF-FS-Brdtextindragfrstaraden"/>
        <w:spacing w:line="240" w:lineRule="auto"/>
        <w:ind w:firstLine="0"/>
        <w:rPr>
          <w:b/>
          <w:sz w:val="23"/>
          <w:szCs w:val="23"/>
        </w:rPr>
      </w:pPr>
      <w:r>
        <w:rPr>
          <w:b/>
        </w:rPr>
        <w:t>§ 14</w:t>
      </w:r>
      <w:r>
        <w:t xml:space="preserve"> Oltre a quanto stabilito per la denominazione del medicinale per uso umano nel § 1 [regolamento dell'Agenzia per i prodotti farmaceutici (HSLF-FS 2021:xx) sull'etichettatura e il foglietto illustrativo dei medicinali per uso umano] il medicinale per uso umano importato parallelamente può avere la stessa denominazione del medicinale per uso umano importato direttamente. </w:t>
      </w:r>
    </w:p>
    <w:p w14:paraId="794E867C" w14:textId="77777777" w:rsidR="000A25FC" w:rsidRPr="000A25FC" w:rsidRDefault="000A25FC" w:rsidP="000A25FC">
      <w:pPr>
        <w:pStyle w:val="HSLF-FS-Rubrik-2"/>
      </w:pPr>
      <w:r>
        <w:t xml:space="preserve">Durata di conservazione e stoccaggio </w:t>
      </w:r>
    </w:p>
    <w:p w14:paraId="0710B930" w14:textId="7F9BD9E7" w:rsidR="000A25FC" w:rsidRDefault="000A25FC" w:rsidP="003E763F">
      <w:pPr>
        <w:pStyle w:val="HSLF-FS-Brdtextindragfrstaraden"/>
        <w:spacing w:line="240" w:lineRule="auto"/>
        <w:ind w:firstLine="0"/>
      </w:pPr>
      <w:r>
        <w:rPr>
          <w:b/>
        </w:rPr>
        <w:t>§ 15</w:t>
      </w:r>
      <w:r>
        <w:t xml:space="preserve"> Un medicinale per uso umano importato parallelamente deve avere la stessa durata di conservazione che il medicinale per uso umano ha nel Paese di uscita, a meno che le condizioni del singolo caso non impongano diversamente. La durata di conservazione è indicata per le confezioni non aperte e, se del caso, per le confezioni aperte. Se il medicinale per uso umano deve essere completato dalle farmacie, deve essere sempre indicata la durata di conservazione per l'imballaggio aperto. </w:t>
      </w:r>
    </w:p>
    <w:p w14:paraId="44C7A83A" w14:textId="67503CB7" w:rsidR="000A25FC" w:rsidRPr="00290C54" w:rsidRDefault="000A25FC" w:rsidP="00290C54">
      <w:pPr>
        <w:pStyle w:val="HSLF-FS-Brdtextindragfrstaraden"/>
      </w:pPr>
      <w:r>
        <w:t xml:space="preserve">Nei casi in cui un imballaggio secondario viene aperto durante il riconfezionamento e ciò influisce sulla stabilità del medicinale per uso umano, la durata di conservazione nel nuovo imballaggio deve essere documentata e dichiarata. </w:t>
      </w:r>
    </w:p>
    <w:p w14:paraId="249CDA8A" w14:textId="377748F5" w:rsidR="008E0BB7" w:rsidRPr="00290C54" w:rsidRDefault="000A25FC" w:rsidP="00290C54">
      <w:pPr>
        <w:pStyle w:val="HSLF-FS-Brdtextindragfrstaraden"/>
      </w:pPr>
      <w:r>
        <w:t>Il medicinale per uso umano importato parallelamente deve avere le stesse istruzioni di conservazione del medicinale per uso umano importato direttamente, a meno che le condizioni del singolo caso non impongano diversamente.</w:t>
      </w:r>
    </w:p>
    <w:p w14:paraId="7DE657BA" w14:textId="77777777" w:rsidR="000A25FC" w:rsidRDefault="000A25FC" w:rsidP="000A25FC">
      <w:pPr>
        <w:pStyle w:val="HSLF-FS-Rubrik-2"/>
      </w:pPr>
      <w:r>
        <w:t xml:space="preserve">Segnalazione degli effetti collaterali </w:t>
      </w:r>
    </w:p>
    <w:p w14:paraId="104B7DFF" w14:textId="024946B8" w:rsidR="000A25FC" w:rsidRDefault="000A25FC" w:rsidP="003E763F">
      <w:pPr>
        <w:pStyle w:val="HSLF-FS-Brdtextindragfrstaraden"/>
        <w:spacing w:line="240" w:lineRule="auto"/>
        <w:ind w:firstLine="0"/>
      </w:pPr>
      <w:r>
        <w:rPr>
          <w:b/>
        </w:rPr>
        <w:t>§ 16</w:t>
      </w:r>
      <w:r>
        <w:t xml:space="preserve"> L'importatore parallelo riferisce tutti i sospetti effetti collaterali relativi al medicinale per uso umano importato parallelamente all'ente con autorizzazione all'immissione in commercio in Svezia per il medicinale per uso umano importato direttamente. </w:t>
      </w:r>
    </w:p>
    <w:p w14:paraId="24B618C9" w14:textId="4D8E993E" w:rsidR="008F3292" w:rsidRPr="00290C54" w:rsidRDefault="000A25FC" w:rsidP="00290C54">
      <w:pPr>
        <w:pStyle w:val="HSLF-FS-Brdtextindragfrstaraden"/>
      </w:pPr>
      <w:r>
        <w:t xml:space="preserve">La segnalazione degli effetti collaterali viene invece inviata all'ente con autorizzazione all'immissione in commercio nel Paese di uscita per il medicinale per uso umano se </w:t>
      </w:r>
    </w:p>
    <w:p w14:paraId="4371C89C" w14:textId="0C7F327B" w:rsidR="000A25FC" w:rsidRDefault="003F4B7D" w:rsidP="003F4B7D">
      <w:pPr>
        <w:pStyle w:val="HSLF-FS-Brdtextindragfrstaraden"/>
      </w:pPr>
      <w:r>
        <w:t xml:space="preserve">– l’ente con autorizzazione all'immissione in commercio per il medicinale per uso umano importato direttamente non dispone anche </w:t>
      </w:r>
      <w:r>
        <w:lastRenderedPageBreak/>
        <w:t xml:space="preserve">dell'autorizzazione all'immissione in commercio nel paese di uscita per il medicinale per uso umano, oppure </w:t>
      </w:r>
    </w:p>
    <w:p w14:paraId="06143F8F" w14:textId="06C05CA6" w:rsidR="000A25FC" w:rsidRDefault="003F4B7D" w:rsidP="003F4B7D">
      <w:pPr>
        <w:pStyle w:val="HSLF-FS-Brdtextindragfrstaraden"/>
      </w:pPr>
      <w:r>
        <w:t xml:space="preserve">– il medicinale per uso umano importato direttamente non è più autorizzato alla commercializzazione in Svezia. </w:t>
      </w:r>
    </w:p>
    <w:p w14:paraId="24DE6638" w14:textId="24E9A8A4" w:rsidR="000A25FC" w:rsidRDefault="000A25FC" w:rsidP="00290C54">
      <w:pPr>
        <w:pStyle w:val="HSLF-FS-Brdtextindragfrstaraden"/>
      </w:pPr>
      <w:r>
        <w:t xml:space="preserve">I sospetti effetti collaterali devono essere segnalati quanto prima dopo che l'importatore parallelo è stato informato di tali informazioni. Entro sette giorni deve essere inviata una relazione sugli effetti collaterali a un destinatario in Svezia. Una relazione sugli effetti collaterali a un destinatario in un altro Paese deve essere tradotta in inglese, o in un'altra lingua che il destinatario comprende, e inviata entro dieci giorni. Se il destinatario della relazione sugli effetti collaterali richiede informazioni supplementari, l'importatore parallelo è tenuto a fornirle in ogni caso. </w:t>
      </w:r>
    </w:p>
    <w:p w14:paraId="5C8B5B90" w14:textId="26F662AA" w:rsidR="008F3292" w:rsidRDefault="008F3292" w:rsidP="008F3292">
      <w:pPr>
        <w:pStyle w:val="HSLF-FS-Rubrik-2"/>
      </w:pPr>
      <w:r>
        <w:t xml:space="preserve">Autorizzazione alla produzione e buone pratiche di fabbricazione </w:t>
      </w:r>
    </w:p>
    <w:p w14:paraId="0F97AC9B" w14:textId="11B01259" w:rsidR="006E4323" w:rsidRPr="007C0355" w:rsidRDefault="008F3292" w:rsidP="003E763F">
      <w:pPr>
        <w:pStyle w:val="HSLF-FS-Brdtextindragfrstaraden"/>
        <w:spacing w:line="240" w:lineRule="auto"/>
        <w:ind w:firstLine="0"/>
      </w:pPr>
      <w:r>
        <w:rPr>
          <w:b/>
        </w:rPr>
        <w:t>§ 17</w:t>
      </w:r>
      <w:r>
        <w:t xml:space="preserve"> Il riconfezionamento o la rietichettatura richiedono un'autorizzazione speciale di fabbricazione rilasciata in uno Stato dello Spazio economico europeo. Le disposizioni in merito si trovano nel [regolamento dell'Agenzia per i prodotti farmaceutici (HSLF-FS 2021:xx) sull'autorizzazione alla fabbricazione e all'importazione di medicinali]. </w:t>
      </w:r>
    </w:p>
    <w:p w14:paraId="02B2FF9E" w14:textId="55E1DF14" w:rsidR="008F3292" w:rsidRDefault="008F3292" w:rsidP="006E4323">
      <w:pPr>
        <w:pStyle w:val="HSLF-FS-Brdtextindragfrstaraden"/>
      </w:pPr>
      <w:r>
        <w:t xml:space="preserve">Il riconfezionamento e la rietichettatura devono essere effettuati in conformità ai regolamenti dell'Agenzia per i prodotti farmaceutici (LVFS 2004:6) sulle buone pratiche di fabbricazione e tali da non alterare la natura originale del medicinale per uso umano. </w:t>
      </w:r>
    </w:p>
    <w:p w14:paraId="0A73CF5B" w14:textId="77777777" w:rsidR="008F3292" w:rsidRDefault="008F3292" w:rsidP="008F3292">
      <w:pPr>
        <w:pStyle w:val="HSLF-FS-Rubrik-2"/>
      </w:pPr>
      <w:r>
        <w:t xml:space="preserve">Commercio all'ingrosso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Ai sensi del capitolo 3, § 1 della legge (2009:366) sulla commercializzazione dei medicinali, il commercio all'ingrosso di medicinali può essere effettuato solo da coloro che ne sono autorizzati. Ulteriori disposizioni si trovano nel [regolamento dell'Agenzia per i prodotti farmaceutici (HSLF-FS 2021:xx) sul commercio all'ingrosso di medicinali]. </w:t>
      </w:r>
    </w:p>
    <w:p w14:paraId="360AECBE" w14:textId="0C72E25D" w:rsidR="007123B4" w:rsidRPr="007123B4" w:rsidRDefault="009316D3" w:rsidP="007123B4">
      <w:pPr>
        <w:pStyle w:val="HSLF-FS-Rubrik-2"/>
      </w:pPr>
      <w:r>
        <w:t xml:space="preserve">Medicinali narcotici per uso umano </w:t>
      </w:r>
    </w:p>
    <w:p w14:paraId="4031F41B" w14:textId="10107744" w:rsidR="007123B4" w:rsidRDefault="007123B4" w:rsidP="007123B4">
      <w:pPr>
        <w:pStyle w:val="HSLF-FS-Brdtext"/>
      </w:pPr>
      <w:r>
        <w:rPr>
          <w:b/>
        </w:rPr>
        <w:t>§ 19</w:t>
      </w:r>
      <w:r>
        <w:t xml:space="preserve"> Il regolamento dell'Agenzia per i prodotti farmaceutici (LVFS 2011:9) sul controllo degli stupefacenti contiene disposizioni sulla gestione dei medicinali narcotici.</w:t>
      </w:r>
    </w:p>
    <w:p w14:paraId="17F65349" w14:textId="2066661A" w:rsidR="007123B4" w:rsidRDefault="007123B4" w:rsidP="007123B4">
      <w:pPr>
        <w:pStyle w:val="HSLF-FS-Rubrik-2"/>
      </w:pPr>
      <w:r>
        <w:lastRenderedPageBreak/>
        <w:t xml:space="preserve">Vendita di vaccini ed emoderivati per uso umano importati parallelamente </w:t>
      </w:r>
    </w:p>
    <w:p w14:paraId="2AFF90DC" w14:textId="54B5CB77" w:rsidR="008F3292" w:rsidRPr="007123B4" w:rsidRDefault="007123B4" w:rsidP="007123B4">
      <w:pPr>
        <w:pStyle w:val="HSLF-FS-Brdtextindragfrstaraden"/>
        <w:ind w:firstLine="0"/>
      </w:pPr>
      <w:r>
        <w:rPr>
          <w:b/>
        </w:rPr>
        <w:t>§ 20</w:t>
      </w:r>
      <w:r>
        <w:t xml:space="preserve"> Il regolamento dell'Agenzia per i prodotti farmaceutici (HSLF-FS 2015:14) sulla commercializzazione dei lotti di produzione di vaccini ed emoderivati per uso umano contengono disposizioni sui lotti di produzione di vaccini ed emoderivati per uso umano che devono essere venduti sul mercato svedese. </w:t>
      </w:r>
    </w:p>
    <w:p w14:paraId="2CA1CC04" w14:textId="7FD4BDCA" w:rsidR="007123B4" w:rsidRDefault="007123B4" w:rsidP="007123B4">
      <w:pPr>
        <w:pStyle w:val="HSLF-FS-Rubrik-2"/>
      </w:pPr>
      <w:r>
        <w:t>Modifiche e revoche</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L'importatore parallelo deve rimanere informato di qualsiasi modifica del medicinale per uso umano approvato nel Paese di uscita o del medicinale per uso umano importato direttamente che possa essere rilevante per l'autorizzazione all'immissione in commercio del medicinale per uso umano importato in parallelamente. L'importatore parallelo è tenuto a informare di tali modifiche l'Agenzia per i prodotti farmaceutici.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L'importatore parallelo richiede le necessarie modifiche all'autorizzazione all'immissione in commercio del medicinale per uso umano importato parallelamente. </w:t>
      </w:r>
    </w:p>
    <w:p w14:paraId="4910B7CC" w14:textId="6F5BCDE4" w:rsidR="007123B4" w:rsidRDefault="007123B4" w:rsidP="007123B4">
      <w:pPr>
        <w:pStyle w:val="HSLF-FS-Brdtextindragfrstaraden"/>
      </w:pPr>
      <w:r>
        <w:t xml:space="preserve">In caso di modifiche significative dell'autorizzazione nel Paese di uscita, il medicinale per uso umano importato parallelamente modificato non può essere venduto fino a quando le modifiche corrispondenti non siano state autorizzate dall'Agenzia per i prodotti farmaceutici.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Se l'autorizzazione all'immissione in commercio del medicinale importato parallelamente per uso umano nel Paese di uscita o del medicinale importato direttamente per uso umano in Svezia viene revocata per motivi di qualità, effetto o sicurezza, viene revocata anche l'autorizzazione all'immissione in commercio del medicinale per uso umano importato parallelamente. </w:t>
      </w:r>
    </w:p>
    <w:p w14:paraId="1F883E64" w14:textId="518B5776" w:rsidR="007123B4" w:rsidRDefault="0091535B" w:rsidP="007C0355">
      <w:pPr>
        <w:pStyle w:val="HSLF-FS-Brdtextindragfrstaraden"/>
      </w:pPr>
      <w:r>
        <w:t xml:space="preserve">Un'autorizzazione all'immissione in commercio per i medicinali per uso umano importati parallelamente può essere revocata ai sensi del capitolo 11, § 2 della legge sui prodotti medicinali (2015:315) anche in casi diversi da quelli indicati nel primo paragrafo. </w:t>
      </w:r>
    </w:p>
    <w:p w14:paraId="55C307F2" w14:textId="77777777" w:rsidR="007E61A7" w:rsidRDefault="007E61A7" w:rsidP="007E61A7">
      <w:pPr>
        <w:pStyle w:val="HSLF-FS-Rubrik-2"/>
      </w:pPr>
      <w:r>
        <w:t xml:space="preserve">Deroghe </w:t>
      </w:r>
    </w:p>
    <w:p w14:paraId="089664DD" w14:textId="02B58EA2" w:rsidR="00153F3E" w:rsidRDefault="007E61A7" w:rsidP="003E763F">
      <w:pPr>
        <w:pStyle w:val="HSLF-FS-Brdtextindragfrstaraden"/>
        <w:spacing w:line="240" w:lineRule="auto"/>
        <w:ind w:firstLine="0"/>
      </w:pPr>
      <w:r>
        <w:rPr>
          <w:b/>
        </w:rPr>
        <w:t>§ 24</w:t>
      </w:r>
      <w:r>
        <w:t xml:space="preserve"> L’Agenzia per i prodotti farmaceutici può, in presenza di motivi particolari, rilasciare un'esenzione (deroga) dalle disposizioni del presente regolamento. Le esenzioni non possono tuttavia essere concesse se ciò comporterebbe l'inosservanza degli obblighi della Svezia ai sensi del diritto dell'UE.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Il presente regolamento entra in vigore il 28 gennaio 2022.</w:t>
      </w:r>
    </w:p>
    <w:p w14:paraId="33DB6D78" w14:textId="77777777" w:rsidR="00735042" w:rsidRDefault="00735042" w:rsidP="00735042">
      <w:pPr>
        <w:pStyle w:val="HSLF-FS-Brdtextindragfrstaraden"/>
      </w:pPr>
      <w:r>
        <w:t>2. Il regolamento abroga il regolamento dell'Agenzia per i prodotti farmaceutici (LVFS 2012:19) sui medicinali importati parallelamente.</w:t>
      </w:r>
    </w:p>
    <w:p w14:paraId="0EAC64C7" w14:textId="4D1C2588" w:rsidR="00420658" w:rsidRPr="00420658" w:rsidRDefault="00735042" w:rsidP="00735042">
      <w:pPr>
        <w:pStyle w:val="HSLF-FS-Brdtextindragfrstaraden"/>
      </w:pPr>
      <w:r>
        <w:t>3. Le autorizzazioni rilasciate in virtù del regolamento dell'Agenzia per i prodotti farmaceutici (LVFS 2012:19) sui medicinali importati parallelamente sono valide come autorizzazioni in conformità ai nuovi regolamenti.</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Agenzia per i prodotti farmaceutici</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Allegato</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Le domande di autorizzazione all'immissione in commercio di medicinali per uso umano importati in parallelo devono essere accompagnate dalle informazioni e dalla documentazione seguenti: </w:t>
      </w:r>
    </w:p>
    <w:p w14:paraId="514029D8" w14:textId="09560852" w:rsidR="007E61A7" w:rsidRDefault="00F11B34" w:rsidP="00F11B34">
      <w:pPr>
        <w:pStyle w:val="HSLF-FS-Brdtextindragfrstaraden"/>
      </w:pPr>
      <w:r>
        <w:t xml:space="preserve">1. il nome o la denominazione commerciale del richiedente e l'indirizzo postale, nonché le informazioni di contatto di una persona di riferimento designata per la domanda. </w:t>
      </w:r>
    </w:p>
    <w:p w14:paraId="78C7D29E" w14:textId="45857F42" w:rsidR="007E61A7" w:rsidRDefault="00F11B34" w:rsidP="00F11B34">
      <w:pPr>
        <w:pStyle w:val="HSLF-FS-Brdtextindragfrstaraden"/>
      </w:pPr>
      <w:r>
        <w:t xml:space="preserve">2. Il nome e indirizzo postale dei rappresentanti locali. </w:t>
      </w:r>
    </w:p>
    <w:p w14:paraId="6E6F4A97" w14:textId="6CCF807F" w:rsidR="007E61A7" w:rsidRDefault="00F11B34" w:rsidP="00F11B34">
      <w:pPr>
        <w:pStyle w:val="HSLF-FS-Brdtextindragfrstaraden"/>
      </w:pPr>
      <w:r>
        <w:t xml:space="preserve">3. La denominazione del medicinale per uso umano, la forma farmaceutica, il dosaggio e le vie di somministrazione. </w:t>
      </w:r>
    </w:p>
    <w:p w14:paraId="55C449F3" w14:textId="57258547" w:rsidR="007E61A7" w:rsidRDefault="00F11B34" w:rsidP="00F11B34">
      <w:pPr>
        <w:pStyle w:val="HSLF-FS-Brdtextindragfrstaraden"/>
      </w:pPr>
      <w:r>
        <w:t xml:space="preserve">4. Il Paese SEE dal quale il medicinale per uso umano uscirà. </w:t>
      </w:r>
    </w:p>
    <w:p w14:paraId="085E440B" w14:textId="39BE4E98" w:rsidR="007E61A7" w:rsidRDefault="00F11B34" w:rsidP="00F11B34">
      <w:pPr>
        <w:pStyle w:val="HSLF-FS-Brdtextindragfrstaraden"/>
      </w:pPr>
      <w:r>
        <w:t xml:space="preserve">5. Informazioni sul fatto che la notifica ai sensi del § 8 del regolamento è stata fornita o sarà fornita. </w:t>
      </w:r>
    </w:p>
    <w:p w14:paraId="75DF96D8" w14:textId="03425D6C" w:rsidR="007E61A7" w:rsidRDefault="00F11B34" w:rsidP="00F11B34">
      <w:pPr>
        <w:pStyle w:val="HSLF-FS-Brdtextindragfrstaraden"/>
      </w:pPr>
      <w:r>
        <w:t xml:space="preserve">6. Informazioni sul fatto che la notifica a norma del § 9 del regolamento avrà luogo e se tale notifica ha già avuto luogo. </w:t>
      </w:r>
    </w:p>
    <w:p w14:paraId="3BDB4718" w14:textId="71F61822" w:rsidR="007E61A7" w:rsidRDefault="00F11B34" w:rsidP="00F11B34">
      <w:pPr>
        <w:pStyle w:val="HSLF-FS-Brdtextindragfrstaraden"/>
      </w:pPr>
      <w:r>
        <w:t xml:space="preserve">7. Il nome, la forma farmaceutica e il dosaggio del medicinale per uso umano nel Paese di uscita e il numero dell'autorizzazione all'immissione in commercio nel Paese di uscita. </w:t>
      </w:r>
    </w:p>
    <w:p w14:paraId="3E0A7832" w14:textId="2EC413BE" w:rsidR="007E61A7" w:rsidRDefault="00F11B34" w:rsidP="00F11B34">
      <w:pPr>
        <w:pStyle w:val="HSLF-FS-Brdtextindragfrstaraden"/>
      </w:pPr>
      <w:r>
        <w:t xml:space="preserve">8. Il nome e l'indirizzo del titolare dell'autorizzazione all'immissione in commercio nel Paese di uscita e le informazioni corrispondenti per il fabbricante. </w:t>
      </w:r>
    </w:p>
    <w:p w14:paraId="714DF124" w14:textId="5C59A4CB" w:rsidR="007E61A7" w:rsidRDefault="00F11B34" w:rsidP="00F11B34">
      <w:pPr>
        <w:pStyle w:val="HSLF-FS-Brdtextindragfrstaraden"/>
      </w:pPr>
      <w:r>
        <w:t xml:space="preserve">9. Il nome, la forma farmaceutica, il dosaggio e il numero di autorizzazione all'immissione in commercio del medicinale per uso umano importato direttamente. </w:t>
      </w:r>
    </w:p>
    <w:p w14:paraId="7BBE27A8" w14:textId="53BFAAF9" w:rsidR="007E61A7" w:rsidRDefault="00F11B34" w:rsidP="00F11B34">
      <w:pPr>
        <w:pStyle w:val="HSLF-FS-Brdtextindragfrstaraden"/>
      </w:pPr>
      <w:r>
        <w:t xml:space="preserve">10. Il nome e l'indirizzo del titolare dell'autorizzazione all'immissione in commercio del medicinale per uso umano importato direttamente. </w:t>
      </w:r>
    </w:p>
    <w:p w14:paraId="4546F84D" w14:textId="1045E18F" w:rsidR="007E61A7" w:rsidRDefault="00F11B34" w:rsidP="00F11B34">
      <w:pPr>
        <w:pStyle w:val="HSLF-FS-Brdtextindragfrstaraden"/>
      </w:pPr>
      <w:r>
        <w:t xml:space="preserve">11. La descrizione delle differenze tra il medicinale per uso umano importato direttamente e il medicinale per uso umano importato parallelamente. </w:t>
      </w:r>
    </w:p>
    <w:p w14:paraId="64BE3E65" w14:textId="77DB415E" w:rsidR="007E61A7" w:rsidRDefault="00F11B34" w:rsidP="00F11B34">
      <w:pPr>
        <w:pStyle w:val="HSLF-FS-Brdtextindragfrstaraden"/>
      </w:pPr>
      <w:r>
        <w:t xml:space="preserve">12. Una descrizione dettagliata delle modalità di rietichettatura o riconfezionamento del medicinale per uso umano. </w:t>
      </w:r>
    </w:p>
    <w:p w14:paraId="6DAFAC5B" w14:textId="6A68B83B" w:rsidR="007E61A7" w:rsidRDefault="00F11B34" w:rsidP="00F11B34">
      <w:pPr>
        <w:pStyle w:val="HSLF-FS-Brdtextindragfrstaraden"/>
      </w:pPr>
      <w:r>
        <w:t xml:space="preserve">13. Le informazioni sulle istruzioni e sui controlli di qualità per il ricevimento, lo stoccaggio, il riconfezionamento, il rilascio e il trasporto dei medicinali per uso umano importati parallelamente e i sistemi di richiamo. </w:t>
      </w:r>
    </w:p>
    <w:p w14:paraId="5F99D126" w14:textId="472C485B" w:rsidR="00642B0F" w:rsidRDefault="00F11B34" w:rsidP="00F11B34">
      <w:pPr>
        <w:pStyle w:val="HSLF-FS-Brdtextindragfrstaraden"/>
      </w:pPr>
      <w:r>
        <w:t xml:space="preserve">14. Il nome, l’indirizzo e l’autorizzazione di produzione e, se del caso, l’accordo scritto per l'azienda o le aziende che effettuano il riconfezionamento/la rietichettatura. </w:t>
      </w:r>
    </w:p>
    <w:p w14:paraId="42B81F88" w14:textId="6A3D8C3C" w:rsidR="00642B0F" w:rsidRDefault="00F11B34" w:rsidP="00F11B34">
      <w:pPr>
        <w:pStyle w:val="HSLF-FS-Brdtextindragfrstaraden"/>
      </w:pPr>
      <w:r>
        <w:t xml:space="preserve">15. Le informazioni sull'imballaggio del medicinale per uso umano importato parallelamente, sotto forma di dimensioni dell'imballaggio e dell'imballaggio/contenitori farmaceutici. </w:t>
      </w:r>
    </w:p>
    <w:p w14:paraId="0E3D4B52" w14:textId="2275E4B1" w:rsidR="007E61A7" w:rsidRPr="007E61A7" w:rsidRDefault="00F11B34" w:rsidP="00F11B34">
      <w:pPr>
        <w:pStyle w:val="HSLF-FS-Brdtextindragfrstaraden"/>
      </w:pPr>
      <w:r>
        <w:t xml:space="preserve">16. Durata di conservazione (per imballaggi non aperti e aperti) e, se del caso, durata di conservazione dopo il completamento del </w:t>
      </w:r>
      <w:r>
        <w:lastRenderedPageBreak/>
        <w:t>medicinale per uso umano importato parallelamente e istruzioni corrispondenti per la conservazione del medicinale per uso umano importato parallelamente.</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L’HSLF-FS può essere scaricato o ordinato tramite</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Contatto</w:t>
      </w:r>
      <w:r>
        <w:br/>
        <w:t>Xxxxxxxxxxx</w:t>
      </w:r>
      <w:r>
        <w:br/>
        <w:t>Indirizzo</w:t>
      </w:r>
      <w:r>
        <w:br/>
        <w:t>Telefono: xx xxxxxxxxx Fax: xx xxxxxxxxx</w:t>
      </w:r>
    </w:p>
    <w:p w14:paraId="2548EFCB" w14:textId="77777777" w:rsidR="00673671" w:rsidRPr="00964D75" w:rsidRDefault="00673671" w:rsidP="00B9475C">
      <w:pPr>
        <w:pStyle w:val="HSLF-FS-Kontaktinformation"/>
      </w:pPr>
      <w:r>
        <w:t>E-mail: xxxxxxxx@xxxxxxx.xx</w:t>
      </w:r>
    </w:p>
    <w:p w14:paraId="7A240DDE" w14:textId="77777777" w:rsidR="00E44C93" w:rsidRPr="00964D75" w:rsidRDefault="00673671" w:rsidP="00B9475C">
      <w:pPr>
        <w:pStyle w:val="HSLF-FS-Kontaktinformation"/>
      </w:pPr>
      <w:r>
        <w:t>Internet: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Sito di stampa: Tipografia e anno di pubblicazione</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6854F" w14:textId="77777777" w:rsidR="004B10A9" w:rsidRDefault="004B10A9" w:rsidP="00290019">
      <w:r>
        <w:separator/>
      </w:r>
    </w:p>
  </w:endnote>
  <w:endnote w:type="continuationSeparator" w:id="0">
    <w:p w14:paraId="1D665A1C" w14:textId="77777777" w:rsidR="004B10A9" w:rsidRDefault="004B10A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F358" w14:textId="77777777" w:rsidR="004B10A9" w:rsidRDefault="004B10A9" w:rsidP="00290019">
      <w:r>
        <w:separator/>
      </w:r>
    </w:p>
  </w:footnote>
  <w:footnote w:type="continuationSeparator" w:id="0">
    <w:p w14:paraId="01AAD558" w14:textId="77777777" w:rsidR="004B10A9" w:rsidRDefault="004B10A9" w:rsidP="00290019">
      <w:r>
        <w:continuationSeparator/>
      </w:r>
    </w:p>
  </w:footnote>
  <w:footnote w:id="1">
    <w:p w14:paraId="4A95157E" w14:textId="4193E473" w:rsidR="00943E19" w:rsidRDefault="00943E19" w:rsidP="00A97DE9">
      <w:pPr>
        <w:pStyle w:val="FootnoteText"/>
      </w:pPr>
      <w:r>
        <w:rPr>
          <w:rStyle w:val="FootnoteReference"/>
        </w:rPr>
        <w:footnoteRef/>
      </w:r>
      <w:r>
        <w:t xml:space="preserve"> La notifica è stata presentata conformemente alla direttiva (UE) </w:t>
      </w:r>
      <w:r w:rsidR="00A97DE9">
        <w:t xml:space="preserve">2015/1535 del Parlamento europeo e del Consiglio, del 9 settembre 2015, che istituisce una procedura d'informazione nel settore delle regolamentazioni tecniche e delle norme sui servizi della Società dell'informazione.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4B10A9">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GETTO"/>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4B10A9"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GETTO"/>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4B10A9"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GETTO"/>
          <w10:wrap anchorx="margin" anchory="margin"/>
        </v:shape>
      </w:pict>
    </w:r>
    <w:r w:rsidR="00964D75">
      <w:t xml:space="preserve">Codice </w:t>
    </w:r>
    <w:r w:rsidR="00964D75">
      <w:t>comune degli statuti in materia di sanità, assistenza medica, servizi sociali, medicinali, salute pubblica, ecc.</w:t>
    </w:r>
  </w:p>
  <w:p w14:paraId="1EDBB6C7" w14:textId="41581B14" w:rsidR="00DB331A" w:rsidRPr="00964D75" w:rsidRDefault="00287009"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0215B08F">
              <wp:simplePos x="0" y="0"/>
              <wp:positionH relativeFrom="column">
                <wp:posOffset>3810</wp:posOffset>
              </wp:positionH>
              <wp:positionV relativeFrom="paragraph">
                <wp:posOffset>596550</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771D6"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6.95pt" to="374.1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37FB3FC6">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Pubblicato il xx luglio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Pubblicato il xx luglio 20xx</w:t>
                    </w:r>
                  </w:p>
                </w:txbxContent>
              </v:textbox>
            </v:shape>
          </w:pict>
        </mc:Fallback>
      </mc:AlternateContent>
    </w:r>
    <w:r w:rsidR="004D7ACB">
      <w:t xml:space="preserve">ISSN </w:t>
    </w:r>
    <w:r w:rsidR="004D7ACB">
      <w:rPr>
        <w:sz w:val="16"/>
      </w:rPr>
      <w:t>xxx-xxxx, numero articolo xxxxxxxx</w:t>
    </w:r>
    <w:r w:rsidR="004D7ACB">
      <w:rPr>
        <w:sz w:val="16"/>
      </w:rPr>
      <w:br/>
      <w:t>Editore: Responsabile del dipartimento giuridico – Pär Ödman, Consiglio nazionale della salute e del benessere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87009"/>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B10A9"/>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7</TotalTime>
  <Pages>1</Pages>
  <Words>2696</Words>
  <Characters>15369</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