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LT-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APLINKOS IR ENERGETIKOS MINISTERIJA</w:t>
      </w:r>
    </w:p>
    <w:p w14:paraId="01BC347A" w14:textId="2CC34D95" w:rsidR="00BA3582" w:rsidRPr="00A03BA9" w:rsidRDefault="00BA3582" w:rsidP="00BA3582">
      <w:pPr>
        <w:spacing w:after="100" w:afterAutospacing="1"/>
        <w:jc w:val="both"/>
      </w:pPr>
      <w:r>
        <w:t>Remdamasis Tvaraus atliekų tvarkymo įstatymo (Kroatijos Respublikos oficialieji leidiniai Nr. 94/13, 73/17, 14/19 ir Nr. 98/19) 53 straipsnio 3 dalimi aplinkos ir energetikos ministras priima šias taisykles:</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PAKUOČIŲ IR PAKUOČIŲ ATLIEKŲ TAISYKLES IŠ DALIES KEIČIANČIOS TAISYKLĖS</w:t>
      </w:r>
    </w:p>
    <w:p w14:paraId="3845F143" w14:textId="77777777" w:rsidR="00F62EE7" w:rsidRPr="00783EFC" w:rsidRDefault="00F62EE7" w:rsidP="00F57C66">
      <w:pPr>
        <w:spacing w:before="240" w:after="360"/>
        <w:jc w:val="center"/>
        <w:rPr>
          <w:b/>
          <w:bCs/>
        </w:rPr>
      </w:pPr>
      <w:r>
        <w:rPr>
          <w:b/>
          <w:bCs/>
        </w:rPr>
        <w:t>1 straipsnis</w:t>
      </w:r>
    </w:p>
    <w:p w14:paraId="6E4559B9" w14:textId="2BF378AC" w:rsidR="00806824" w:rsidRPr="00A03BA9" w:rsidRDefault="00F62EE7" w:rsidP="00F57C66">
      <w:pPr>
        <w:spacing w:after="240"/>
        <w:jc w:val="both"/>
      </w:pPr>
      <w:r>
        <w:t>Pakuočių ir pakuočių atliekų taisyklių (Kroatijos Respublikos oficialieji leidiniai Nr. 88/15, Nr. 78/16, Nr. 116/17) 4 straipsnio 1 dalies 7 punkte išbraukiamas 1 papunktis.</w:t>
      </w:r>
    </w:p>
    <w:p w14:paraId="75900BDC" w14:textId="76BE1670" w:rsidR="000F530C" w:rsidRPr="00A03BA9" w:rsidRDefault="000E085C" w:rsidP="000F530C">
      <w:pPr>
        <w:spacing w:after="240"/>
        <w:jc w:val="both"/>
      </w:pPr>
      <w:r>
        <w:t>9 papunktis iš dalies keičiamas taip:</w:t>
      </w:r>
    </w:p>
    <w:p w14:paraId="3223E84A" w14:textId="77777777" w:rsidR="000F530C" w:rsidRPr="00A03BA9" w:rsidRDefault="00C93959" w:rsidP="000F530C">
      <w:pPr>
        <w:spacing w:after="240"/>
        <w:jc w:val="both"/>
      </w:pPr>
      <w:r>
        <w:t xml:space="preserve">„– </w:t>
      </w:r>
      <w:r>
        <w:rPr>
          <w:i/>
          <w:iCs/>
        </w:rPr>
        <w:t>Gamintojas</w:t>
      </w:r>
      <w:r>
        <w:t> – gamintojas ir importuotojas, juridinis arba fizinis asmuo – amatininkas ar fizinis asmuo, kuris kuria, gamina, perdirba, tvarko, parduoda, pristato ar importuoja ir pateikia Kroatijos rinkai produktus, supakuotus į pakuotes“.</w:t>
      </w:r>
    </w:p>
    <w:p w14:paraId="269331FB" w14:textId="77777777" w:rsidR="001612B6" w:rsidRPr="00A03BA9" w:rsidRDefault="002269CE" w:rsidP="00786C7B">
      <w:pPr>
        <w:jc w:val="both"/>
      </w:pPr>
      <w:r>
        <w:t>18 punktas iš dalies keičiamas taip:</w:t>
      </w:r>
    </w:p>
    <w:p w14:paraId="77F12E84" w14:textId="77777777" w:rsidR="001612B6" w:rsidRPr="00A03BA9" w:rsidRDefault="001612B6" w:rsidP="00786C7B">
      <w:pPr>
        <w:jc w:val="both"/>
      </w:pPr>
    </w:p>
    <w:p w14:paraId="7A9270F7" w14:textId="192508EC" w:rsidR="00786C7B" w:rsidRPr="00A03BA9" w:rsidRDefault="005220BB" w:rsidP="00786C7B">
      <w:pPr>
        <w:jc w:val="both"/>
      </w:pPr>
      <w:r>
        <w:t xml:space="preserve">„– </w:t>
      </w:r>
      <w:r>
        <w:rPr>
          <w:rStyle w:val="kurziv"/>
          <w:i/>
          <w:bdr w:val="none" w:sz="0" w:space="0" w:color="auto" w:frame="1"/>
        </w:rPr>
        <w:t>Gėrimas</w:t>
      </w:r>
      <w:r>
        <w:t> – alkoholinis gėrimas, nealkoholinis gėrimas, stalo, natūralus mineralinis vanduo ir šaltinio vanduo, vaisių sirupai, vaisių sultys ir nektarai, pienas ir skysti pieno gaminiai, taip pat kiti skysti produktai, pagaminti daugiausia iš vaisių ar kitokių produktų, ir bet kokie kiti priedai, sumaišomi su pagrindiniu skysčiu ir parduodami vientisoje pirminėje pakuotėje“.</w:t>
      </w:r>
    </w:p>
    <w:p w14:paraId="5F04AD0A" w14:textId="77777777" w:rsidR="007B469C" w:rsidRPr="00783EFC" w:rsidRDefault="007B2690" w:rsidP="00DF6E19">
      <w:pPr>
        <w:pStyle w:val="clanak-"/>
        <w:keepNext/>
        <w:spacing w:before="240" w:beforeAutospacing="0" w:after="0" w:afterAutospacing="0"/>
        <w:rPr>
          <w:b/>
          <w:bCs/>
        </w:rPr>
      </w:pPr>
      <w:r>
        <w:rPr>
          <w:b/>
          <w:bCs/>
        </w:rPr>
        <w:t>2 straipsnis</w:t>
      </w:r>
    </w:p>
    <w:p w14:paraId="516F3578" w14:textId="6D2D9FCC" w:rsidR="007B2690" w:rsidRPr="00A03BA9" w:rsidRDefault="007B2690" w:rsidP="00AF7CD5">
      <w:pPr>
        <w:pStyle w:val="clanak-"/>
        <w:spacing w:before="240" w:beforeAutospacing="0" w:after="0" w:afterAutospacing="0"/>
        <w:jc w:val="both"/>
      </w:pPr>
      <w:r>
        <w:t>18 straipsnio 4 dalyje po žodžių „pakuočių atliekos“ išbraukiamas taškas ir įterpiami žodžiai „arba eksportuoja jas perdirbti pagal šias taisykles“.</w:t>
      </w:r>
    </w:p>
    <w:p w14:paraId="32631875" w14:textId="3CD3FBD5" w:rsidR="007B2690" w:rsidRPr="00A03BA9" w:rsidRDefault="007B2690" w:rsidP="007B2690">
      <w:pPr>
        <w:pStyle w:val="clanak-"/>
        <w:spacing w:before="240" w:beforeAutospacing="0" w:after="0" w:afterAutospacing="0"/>
        <w:jc w:val="left"/>
      </w:pPr>
      <w:r>
        <w:t>5 dalyje po žodžio „perdirbėjas“ išbraukiamas kablelis ir įterpiami žodžiai „arba eksportuoja perdirbti“.</w:t>
      </w:r>
    </w:p>
    <w:p w14:paraId="1EAE0E82" w14:textId="77777777" w:rsidR="005577E2" w:rsidRPr="00783EFC" w:rsidRDefault="005577E2" w:rsidP="00DF6E19">
      <w:pPr>
        <w:pStyle w:val="clanak-"/>
        <w:keepNext/>
        <w:spacing w:before="240" w:beforeAutospacing="0" w:after="0" w:afterAutospacing="0"/>
        <w:rPr>
          <w:b/>
          <w:bCs/>
        </w:rPr>
      </w:pPr>
      <w:r>
        <w:rPr>
          <w:b/>
          <w:bCs/>
        </w:rPr>
        <w:t>3 straipsnis</w:t>
      </w:r>
    </w:p>
    <w:p w14:paraId="166F4814" w14:textId="77777777" w:rsidR="005577E2" w:rsidRPr="00A03BA9" w:rsidRDefault="004974CD" w:rsidP="00DF6E19">
      <w:pPr>
        <w:pStyle w:val="clanak-"/>
        <w:keepNext/>
        <w:spacing w:before="240" w:beforeAutospacing="0" w:after="0" w:afterAutospacing="0"/>
        <w:jc w:val="both"/>
      </w:pPr>
      <w:r>
        <w:t>19 straipsnis iš dalies keičiamas taip:</w:t>
      </w:r>
    </w:p>
    <w:p w14:paraId="462CD93E" w14:textId="145654F4" w:rsidR="00DD4754" w:rsidRPr="00A03BA9" w:rsidRDefault="00B81D8E" w:rsidP="00DD4754">
      <w:pPr>
        <w:pStyle w:val="clanak-"/>
        <w:spacing w:before="240"/>
        <w:jc w:val="both"/>
      </w:pPr>
      <w:r>
        <w:t>„1. Fondo ir juridinio ar fizinio asmens – amatininko, turinčio pakuočių atliekų, prašymu surinkėjas perima atskirai surinktas pakuočių atliekas.</w:t>
      </w:r>
    </w:p>
    <w:p w14:paraId="4196FF48" w14:textId="77777777" w:rsidR="00DD4754" w:rsidRPr="00A03BA9" w:rsidRDefault="00DD4754" w:rsidP="00DD4754">
      <w:pPr>
        <w:pStyle w:val="clanak-"/>
        <w:spacing w:before="240"/>
        <w:jc w:val="both"/>
      </w:pPr>
      <w:r>
        <w:t>2. Surinkėjas turi teisę gauti iš Fondo kompensaciją už pakuočių atliekų surinkimo paslaugos išlaidas atsižvelgiant į pakuočių atliekų kiekį, kuris buvo perduotas perdirbėjui, ir už pakuočių atliekų eksporto iš Kroatijos Respublikos išlaidas pagal Fondo ir surinkėjo sutarties sąlygas ir šias taisykles.</w:t>
      </w:r>
    </w:p>
    <w:p w14:paraId="58CC4C3D" w14:textId="77777777" w:rsidR="00DD4754" w:rsidRPr="00A03BA9" w:rsidRDefault="00DD4754" w:rsidP="00DD4754">
      <w:pPr>
        <w:pStyle w:val="clanak-"/>
        <w:spacing w:before="240"/>
        <w:jc w:val="both"/>
      </w:pPr>
      <w:r>
        <w:lastRenderedPageBreak/>
        <w:t>3. Fondas apskaičiuoja šio straipsnio 2 dalyje nurodytų surinkimo paslaugų išlaidas pagal medžiagos rūšį, remdamasis AO4 formos duomenimis ir savo sutartyje su surinkėju nustatytomis vieneto kainomis.</w:t>
      </w:r>
    </w:p>
    <w:p w14:paraId="3095AD42" w14:textId="77777777" w:rsidR="00DD4754" w:rsidRPr="00A03BA9" w:rsidRDefault="00DD4754" w:rsidP="00DD4754">
      <w:pPr>
        <w:pStyle w:val="clanak-"/>
        <w:spacing w:before="240"/>
        <w:jc w:val="both"/>
      </w:pPr>
      <w:r>
        <w:t>4. Viešųjų mišrių komunalinių atliekų surinkimo paslaugų teikėjas perduoda perdirbėjui pakuočių atliekas, kaip perdirbamąsias komunalines atliekas, surinktas su viešąja paslauga susijusioje tarnyboje pagal specialų reglamentą, reglamentuojantį komunalinių atliekų tvarkymą, kuris yra finansuojamas Fondo.</w:t>
      </w:r>
    </w:p>
    <w:p w14:paraId="7924826F" w14:textId="77777777" w:rsidR="00DD4754" w:rsidRPr="00A03BA9" w:rsidRDefault="00DD4754" w:rsidP="00DD4754">
      <w:pPr>
        <w:pStyle w:val="clanak-"/>
        <w:spacing w:before="240"/>
        <w:jc w:val="both"/>
      </w:pPr>
      <w:r>
        <w:t>5. Surinkėjas perima pakuočių atliekų, kaip perdirbamųjų komunalinių atliekų, vežimą iš viešųjų mišrių komunalinių atliekų surinkimo paslaugų teikėjo, kuris atitinka priimtino pakuočių atliekų vežimo specifikaciją, pagal šio straipsnio 8 dalyje nurodytą sutartį.</w:t>
      </w:r>
    </w:p>
    <w:p w14:paraId="08ACC4C7" w14:textId="03F440C1" w:rsidR="00DD4754" w:rsidRPr="00A03BA9" w:rsidRDefault="00DD4754" w:rsidP="00DD4754">
      <w:pPr>
        <w:pStyle w:val="clanak-"/>
        <w:spacing w:before="240"/>
        <w:jc w:val="both"/>
      </w:pPr>
      <w:r>
        <w:t>6. Viešųjų mišrių komunalinių atliekų surinkimo paslaugų teikėjas turi teisę gauti Fondo mokamą kompensaciją už surinkėjui perduotų pakuočių atliekų surinkimą, įskaitant rūšiavimą, pagal kainas ir sąlygas, nustatytas šio straipsnio 8 dalyje nurodytoje sutartyje tarp Fondo ir viešųjų paslaugų teikėjo.</w:t>
      </w:r>
    </w:p>
    <w:p w14:paraId="6705C1DC" w14:textId="4F05D587" w:rsidR="00DD4754" w:rsidRPr="00A03BA9" w:rsidRDefault="00DD4754" w:rsidP="00DD4754">
      <w:pPr>
        <w:pStyle w:val="clanak-"/>
        <w:spacing w:before="240"/>
        <w:jc w:val="both"/>
      </w:pPr>
      <w:r>
        <w:t>7. Fondas apskaičiuoja pakuočių atliekų, kaip perdirbamųjų atliekų, surinkimo iš perdirbamų komunalinių atliekų išlaidas, remdamasis duomenimis, pateiktais Mišrių komunalinių atliekų surinkimo paslaugų teikėjo ataskaitoje apie pakuočių atliekas, surinktas su mišriomis komunalinėmis atliekomis (toliau – AO5 forma), šių taisyklių IX priede ir surinkėjo pažyma apie pakuočių atliekų kiekį, perimtą iš mišrių komunalinių atliekų surinkimo paslaugos teikėjo, kurios pavyzdys pateiktas šių taisyklių X priede (toliau – AO6 forma).</w:t>
      </w:r>
    </w:p>
    <w:p w14:paraId="62EAFE45" w14:textId="574C79B9" w:rsidR="00DD4754" w:rsidRPr="00A03BA9" w:rsidRDefault="00DD4754" w:rsidP="00DF6E19">
      <w:pPr>
        <w:pStyle w:val="clanak-"/>
        <w:keepNext/>
        <w:spacing w:before="240"/>
        <w:jc w:val="both"/>
      </w:pPr>
      <w:r>
        <w:t>8. Šio straipsnio 5 ir 6 dalyse nurodytoje sutartyje nustatoma:</w:t>
      </w:r>
    </w:p>
    <w:p w14:paraId="6C2985BD" w14:textId="77777777" w:rsidR="00DD4754" w:rsidRPr="00A03BA9" w:rsidRDefault="00DD4754" w:rsidP="00DD4754">
      <w:pPr>
        <w:pStyle w:val="clanak-"/>
        <w:spacing w:before="240"/>
        <w:jc w:val="both"/>
      </w:pPr>
      <w:r>
        <w:t>– priimtinų pakuočių atliekų, kurios perduodamos surinkėjui ir kurių surinkimo išlaidas finansuoja Fondas, vežimo specifikacija,</w:t>
      </w:r>
    </w:p>
    <w:p w14:paraId="0FFC9A5A" w14:textId="77777777" w:rsidR="00DD4754" w:rsidRPr="00A03BA9" w:rsidRDefault="00DD4754" w:rsidP="00DD4754">
      <w:pPr>
        <w:pStyle w:val="clanak-"/>
        <w:spacing w:before="240"/>
        <w:jc w:val="both"/>
      </w:pPr>
      <w:r>
        <w:t>– pakuočių atliekų, kaip perdirbamųjų atliekų, surinkimo būdas, įskaitant kartu ir atskirai surenkamų pakuočių atliekų rūšis ir surinkimo dažnumą,</w:t>
      </w:r>
    </w:p>
    <w:p w14:paraId="68BA1761" w14:textId="36691ED9" w:rsidR="00DD4754" w:rsidRPr="00A03BA9" w:rsidRDefault="00DD4754" w:rsidP="00DD4754">
      <w:pPr>
        <w:pStyle w:val="clanak-"/>
        <w:spacing w:before="240"/>
        <w:jc w:val="both"/>
      </w:pPr>
      <w:r>
        <w:t>– pakuočių atliekų, kaip perdirbamųjų atliekų, surinkimo kaina, įskaitant priimtinas surinktų atliekų rūšiavimo išlaidas, ir</w:t>
      </w:r>
    </w:p>
    <w:p w14:paraId="461FD647" w14:textId="77777777" w:rsidR="00DD4754" w:rsidRPr="00A03BA9" w:rsidRDefault="00DD4754" w:rsidP="00DD4754">
      <w:pPr>
        <w:pStyle w:val="clanak-"/>
        <w:spacing w:before="240"/>
        <w:jc w:val="both"/>
      </w:pPr>
      <w:r>
        <w:t>– kiti klausimai, susiję su pakuočių atliekomis, kurios surinktos kaip perdirbamosios atliekos.</w:t>
      </w:r>
    </w:p>
    <w:p w14:paraId="4E6C4D2A" w14:textId="77777777" w:rsidR="00DD4754" w:rsidRPr="00A03BA9" w:rsidRDefault="00DD4754" w:rsidP="00DD4754">
      <w:pPr>
        <w:pStyle w:val="clanak-"/>
        <w:spacing w:before="240"/>
        <w:jc w:val="both"/>
      </w:pPr>
      <w:r>
        <w:t>9. Mišrių komunalinių atliekų surinkimo paslaugos teikėjas tvarko surinkėjui perduotų pakuočių atliekų apskaitą ir iki einamojo mėnesio pabaigos pateikia registrui praėjusio mėnesio ataskaitą, naudodamas AO5 formą.</w:t>
      </w:r>
    </w:p>
    <w:p w14:paraId="2BD92943" w14:textId="77777777" w:rsidR="00DD4754" w:rsidRPr="00A03BA9" w:rsidRDefault="00DD4754" w:rsidP="00DD4754">
      <w:pPr>
        <w:pStyle w:val="clanak-"/>
        <w:spacing w:before="240"/>
        <w:jc w:val="both"/>
      </w:pPr>
      <w:r>
        <w:t>10. Fondas sumoka mišrių komunalinių atliekų surinkimo paslaugos teikėjui šio straipsnio 6 dalyje nurodytą kompensaciją pagal AO5 ir AO6 formų sumas.“</w:t>
      </w:r>
    </w:p>
    <w:p w14:paraId="4510C37C" w14:textId="77777777" w:rsidR="0032391C" w:rsidRPr="00783EFC" w:rsidRDefault="0032391C" w:rsidP="00DF6E19">
      <w:pPr>
        <w:pStyle w:val="clanak-"/>
        <w:keepNext/>
        <w:spacing w:before="240" w:beforeAutospacing="0" w:after="0" w:afterAutospacing="0"/>
        <w:rPr>
          <w:b/>
          <w:bCs/>
        </w:rPr>
      </w:pPr>
      <w:r>
        <w:rPr>
          <w:b/>
          <w:bCs/>
        </w:rPr>
        <w:lastRenderedPageBreak/>
        <w:t>4 straipsnis</w:t>
      </w:r>
    </w:p>
    <w:p w14:paraId="2F284537" w14:textId="77777777" w:rsidR="00623FC9" w:rsidRPr="00A03BA9" w:rsidRDefault="00623FC9" w:rsidP="00DF6E19">
      <w:pPr>
        <w:pStyle w:val="clanak-"/>
        <w:keepNext/>
        <w:spacing w:before="240"/>
        <w:jc w:val="left"/>
      </w:pPr>
      <w:r>
        <w:t>20 straipsnio 3 dalis iš dalies keičiama ir išdėstoma taip:</w:t>
      </w:r>
    </w:p>
    <w:p w14:paraId="36F4084D" w14:textId="77777777" w:rsidR="001356CB" w:rsidRPr="00A03BA9" w:rsidRDefault="00623FC9" w:rsidP="00623FC9">
      <w:pPr>
        <w:pStyle w:val="clanak-"/>
        <w:spacing w:before="240" w:beforeAutospacing="0" w:after="0" w:afterAutospacing="0"/>
        <w:jc w:val="both"/>
      </w:pPr>
      <w:r>
        <w:t>„3. Jei Kroatijos Respublikoje nėra galimybės perdirbti tam tikrų pakuočių atliekų ar pakuočių atliekų perdirbimo likučių, perdirbėjas savo lėšomis iš Kroatijos eksportuoja pakuočių atliekų perdirbimo likučius, surinkėjas eksportuoja tokių pakuočių atliekas iš Kroatijos Respublikos utilizuoti pagal šių taisyklių 20 straipsnio 2 dalyje nurodytą tvarką, o Fondas padengia surinkėjo išlaidas, patirtas eksportuojant tokias pakuočių atliekas, jei eksportuota pagal išankstinį Fondo patvirtinimą, išduotą surinkėjui. Fondas apie išduotus patvirtinimus ir eksporto priežastis praneša ministerijai.“</w:t>
      </w:r>
    </w:p>
    <w:p w14:paraId="4AEF4A17" w14:textId="77777777" w:rsidR="00672ABA" w:rsidRPr="00A03BA9" w:rsidRDefault="00672ABA" w:rsidP="00DF6E19">
      <w:pPr>
        <w:pStyle w:val="clanak-"/>
        <w:keepNext/>
        <w:spacing w:before="240" w:beforeAutospacing="0" w:after="0" w:afterAutospacing="0"/>
        <w:jc w:val="both"/>
      </w:pPr>
      <w:r>
        <w:t>Po 4 dalies pridedamos 5 ir 6 dalys, išdėstomos taip:</w:t>
      </w:r>
    </w:p>
    <w:p w14:paraId="58FA1F35" w14:textId="79D145CB" w:rsidR="00C97A0B" w:rsidRPr="00A03BA9" w:rsidRDefault="00672ABA" w:rsidP="00623FC9">
      <w:pPr>
        <w:pStyle w:val="clanak-"/>
        <w:spacing w:before="240" w:beforeAutospacing="0" w:after="0" w:afterAutospacing="0"/>
        <w:jc w:val="both"/>
      </w:pPr>
      <w:r>
        <w:t>„5. Fondas apskaičiuoja bendrą pakuočių atliekų vertę, t. y. visas pakuočių atliekų perdirbimo išlaidas pagal medžiagų rūšis, remdamasis IX priedo AO5 formos, X priedo AO6 formos ir AO7 formos duomenimis, ir taiko perdirbėjui mokestį už perimtas pakuočių atliekas arba sumoka perdirbėjui perdirbimo išlaidas.</w:t>
      </w:r>
    </w:p>
    <w:p w14:paraId="0E8C1FB4" w14:textId="77777777" w:rsidR="0049475C" w:rsidRPr="00A03BA9" w:rsidRDefault="0049475C" w:rsidP="00623FC9">
      <w:pPr>
        <w:pStyle w:val="clanak-"/>
        <w:spacing w:before="240" w:beforeAutospacing="0" w:after="0" w:afterAutospacing="0"/>
        <w:jc w:val="both"/>
      </w:pPr>
      <w:r>
        <w:t>6. Perimamų pakuočių atliekų kainą ir perdirbėjui mokamą sumą Fondas nustato pagal specialią procedūrą ne ilgesniam kaip vienų metų laikotarpiui, atsižvelgdamas į rinkos kainas, taip pat į pakuočių atliekų utilizavimo ir šalinimo išlaidas.“</w:t>
      </w:r>
    </w:p>
    <w:p w14:paraId="30A90200" w14:textId="77777777" w:rsidR="001356CB" w:rsidRPr="00783EFC" w:rsidRDefault="001356CB" w:rsidP="00DF6E19">
      <w:pPr>
        <w:pStyle w:val="clanak-"/>
        <w:keepNext/>
        <w:spacing w:before="240" w:beforeAutospacing="0" w:after="0" w:afterAutospacing="0"/>
        <w:rPr>
          <w:b/>
          <w:bCs/>
        </w:rPr>
      </w:pPr>
      <w:r>
        <w:rPr>
          <w:b/>
          <w:bCs/>
        </w:rPr>
        <w:t>5 straipsnis</w:t>
      </w:r>
    </w:p>
    <w:p w14:paraId="5EBE8A06" w14:textId="77777777" w:rsidR="001356CB" w:rsidRPr="00A03BA9" w:rsidRDefault="00240B3A" w:rsidP="00DF6E19">
      <w:pPr>
        <w:pStyle w:val="clanak-"/>
        <w:keepNext/>
        <w:spacing w:before="240" w:beforeAutospacing="0" w:after="0" w:afterAutospacing="0"/>
        <w:jc w:val="left"/>
      </w:pPr>
      <w:r>
        <w:t>22 straipsnio 1 ir 2 dalys iš dalies keičiamos ir išdėstomos taip:</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Depozito grąžinimo sistema yra iš PET, aliuminio (Al), geležies (Fe) ir stiklo pagamintų ne mažesnio kaip 0,20 l tūrio vienkartinių pakuočių, skirtų 4 straipsnio 1 dalies 18 punkte nurodytiems gėrimams, depozito grąžinimo sistema, skatinanti atliekų turėtoją atskirti gėrimo pakuočių atliekas nuo kitų atliekų ir pristatyti jas pardavėjui ar perdirbimo vietos valdytojui mainais už depozito sumos grąžinimą.</w:t>
      </w:r>
    </w:p>
    <w:p w14:paraId="518E0C3C" w14:textId="77777777" w:rsidR="00240B3A" w:rsidRPr="00A03BA9" w:rsidRDefault="00240B3A" w:rsidP="00240B3A">
      <w:pPr>
        <w:pStyle w:val="t-9-8"/>
        <w:spacing w:before="0" w:beforeAutospacing="0" w:after="225" w:afterAutospacing="0"/>
        <w:jc w:val="both"/>
        <w:textAlignment w:val="baseline"/>
      </w:pPr>
      <w:r>
        <w:t>2. Grąžinamas depozitas yra grynųjų pinigų suma, kurią į Fondo sąskaitą sumoka gamintojai, tiekiantys rinkai gėrimus, supakuotus į vienkartines PET, aliuminio, geležies ir stiklo pakuotes, kurių tūris ne mažesnis kaip 0,20 l. Gamintojas apmokestina pirkėją depozito suma parduodamas gaminį, o galutinis naudotojas ar vartotojas gali atgauti depozitą iš pardavėjo ar perdirbimo vietos valdytojo grąžindamas jiems gėrimo pakuočių atliekas. Fondas grąžina sumokėtą depozitą pardavėjui arba perdirbimo vietos valdytojui iš gamintojo Fondui sumokėto depozito sumos.“</w:t>
      </w:r>
    </w:p>
    <w:p w14:paraId="51784CF6" w14:textId="77777777" w:rsidR="009A4CFF" w:rsidRPr="00783EFC" w:rsidRDefault="009A4CFF" w:rsidP="00DF6E19">
      <w:pPr>
        <w:pStyle w:val="clanak-"/>
        <w:keepNext/>
        <w:spacing w:before="240" w:beforeAutospacing="0" w:after="0" w:afterAutospacing="0"/>
        <w:rPr>
          <w:b/>
          <w:bCs/>
        </w:rPr>
      </w:pPr>
      <w:r>
        <w:rPr>
          <w:b/>
          <w:bCs/>
        </w:rPr>
        <w:t>6 straipsnis</w:t>
      </w:r>
    </w:p>
    <w:p w14:paraId="0F2D5A2E" w14:textId="487608AF" w:rsidR="009A4CFF" w:rsidRPr="00A03BA9" w:rsidRDefault="009A4CFF" w:rsidP="009A4CFF">
      <w:pPr>
        <w:pStyle w:val="clanak-"/>
        <w:spacing w:before="240" w:beforeAutospacing="0" w:after="0" w:afterAutospacing="0"/>
        <w:jc w:val="both"/>
      </w:pPr>
      <w:r>
        <w:t>24 straipsnio 7 dalyje po žodžio „vartotojai“ įterpiami žodžiai „fiziniai asmenys“.</w:t>
      </w:r>
    </w:p>
    <w:p w14:paraId="59E93DE6" w14:textId="77777777" w:rsidR="00004EFC" w:rsidRPr="00783EFC" w:rsidRDefault="00004EFC" w:rsidP="00DF6E19">
      <w:pPr>
        <w:pStyle w:val="clanak-"/>
        <w:keepNext/>
        <w:spacing w:before="240" w:beforeAutospacing="0" w:after="0" w:afterAutospacing="0"/>
        <w:rPr>
          <w:b/>
          <w:bCs/>
        </w:rPr>
      </w:pPr>
      <w:r>
        <w:rPr>
          <w:b/>
          <w:bCs/>
        </w:rPr>
        <w:t>7 straipsnis</w:t>
      </w:r>
    </w:p>
    <w:p w14:paraId="63F87A51" w14:textId="10A6C900" w:rsidR="00004EFC" w:rsidRPr="00A03BA9" w:rsidRDefault="00004EFC" w:rsidP="00004EFC">
      <w:pPr>
        <w:pStyle w:val="clanak-"/>
        <w:spacing w:before="240" w:beforeAutospacing="0" w:after="0" w:afterAutospacing="0"/>
        <w:jc w:val="both"/>
      </w:pPr>
      <w:r>
        <w:t>32 straipsnyje išbraukiama 1 dalis.</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lastRenderedPageBreak/>
        <w:t>PEREINAMOJO LAIKOTARPIO IR BAIGIAMOSIOS NUOSTATOS</w:t>
      </w:r>
    </w:p>
    <w:p w14:paraId="03993760" w14:textId="77777777" w:rsidR="00443BFB" w:rsidRPr="00783EFC" w:rsidRDefault="00443BFB" w:rsidP="00DF6E19">
      <w:pPr>
        <w:pStyle w:val="clanak-"/>
        <w:keepNext/>
        <w:spacing w:before="240" w:beforeAutospacing="0" w:after="0" w:afterAutospacing="0"/>
        <w:rPr>
          <w:b/>
          <w:bCs/>
        </w:rPr>
      </w:pPr>
      <w:r>
        <w:rPr>
          <w:b/>
          <w:bCs/>
        </w:rPr>
        <w:t>8 straipsnis</w:t>
      </w:r>
    </w:p>
    <w:p w14:paraId="432F30AF" w14:textId="6A9D9E84" w:rsidR="0068096A" w:rsidRDefault="0068096A" w:rsidP="00993CA7">
      <w:pPr>
        <w:pStyle w:val="t-9-8"/>
        <w:jc w:val="both"/>
      </w:pPr>
      <w:r>
        <w:t>Po 32 straipsnio įterpiamas 32.a straipsnis, kuris išdėstomas taip:</w:t>
      </w:r>
    </w:p>
    <w:p w14:paraId="0A1B8E86" w14:textId="496E8210" w:rsidR="0068096A" w:rsidRPr="00DD073C" w:rsidRDefault="0068096A" w:rsidP="0068096A">
      <w:pPr>
        <w:pStyle w:val="clanak-"/>
        <w:keepNext/>
        <w:keepLines/>
        <w:spacing w:before="240" w:beforeAutospacing="0" w:after="0" w:afterAutospacing="0"/>
        <w:rPr>
          <w:b/>
        </w:rPr>
      </w:pPr>
      <w:r>
        <w:rPr>
          <w:b/>
        </w:rPr>
        <w:t>32.a straipsnis</w:t>
      </w:r>
    </w:p>
    <w:p w14:paraId="5E37632D" w14:textId="1D0435D9" w:rsidR="0068096A" w:rsidRPr="00DD073C" w:rsidRDefault="00231DC8" w:rsidP="0068096A">
      <w:pPr>
        <w:pStyle w:val="clanak-"/>
        <w:spacing w:before="240" w:beforeAutospacing="0" w:after="0" w:afterAutospacing="0"/>
        <w:jc w:val="both"/>
      </w:pPr>
      <w:r>
        <w:t>Kol nebus baigtas viešas kvietimas pasirinkti naudingiausią pakuočių atliekų surinkimo paslaugų teikimo programą pagal įstatymą ir šių taisyklių nuostatas, pakuočių atliekų tvarkymą atliks asmenys, su kuriais Fondas jau yra sudaręs sutartį rinkti pakuočių atliekas ir vykdyti centrų veiklą atitinkamose sutartyse nurodytu būdu ir sąlygomis, atsižvelgiant į 25 straipsnio 7, 8, 9 ir 10 dalyse nurodytus mokesčius ir pakuočių atliekų perėmimo kainas, kurios nustatytos pagal Pakuočių ir pakuočių atliekų taisyklių (Kroatijos Respublikos oficialieji leidiniai Nr. 97/05, 115/05, 81/08, 31/09, 156/09, 38/10, 10/11, 81/11, 126/11, 38/13, 86/13) 20 straipsnio 3 dalį.</w:t>
      </w:r>
    </w:p>
    <w:p w14:paraId="71872D99" w14:textId="77777777" w:rsidR="000E42DC" w:rsidRPr="00783EFC" w:rsidRDefault="000E42DC" w:rsidP="00DF6E19">
      <w:pPr>
        <w:pStyle w:val="clanak-"/>
        <w:keepNext/>
        <w:spacing w:before="240" w:beforeAutospacing="0" w:after="0" w:afterAutospacing="0"/>
        <w:rPr>
          <w:b/>
          <w:bCs/>
        </w:rPr>
      </w:pPr>
      <w:r>
        <w:rPr>
          <w:b/>
          <w:bCs/>
        </w:rPr>
        <w:t>9 straipsnis</w:t>
      </w:r>
    </w:p>
    <w:p w14:paraId="69ED4BF4" w14:textId="77777777" w:rsidR="00B75340" w:rsidRPr="00A03BA9" w:rsidRDefault="000E42DC" w:rsidP="00B75340">
      <w:pPr>
        <w:pStyle w:val="t-9-8"/>
        <w:jc w:val="both"/>
      </w:pPr>
      <w:r>
        <w:t>Visose Pakuočių ir pakuočių atliekų taisyklėse (NN Nr. 88/15, Nr. 78/16 ir Nr. 116/17) žodis „agentūra“ pakeičiamas žodžiu „ministerija“, vartojant atitinkamą giminę ir linksnį.</w:t>
      </w:r>
    </w:p>
    <w:p w14:paraId="4F87B5C4" w14:textId="77777777" w:rsidR="00457495" w:rsidRPr="00783EFC" w:rsidRDefault="004F5753" w:rsidP="00DF6E19">
      <w:pPr>
        <w:pStyle w:val="clanak-"/>
        <w:keepNext/>
        <w:spacing w:before="240" w:beforeAutospacing="0" w:after="0" w:afterAutospacing="0"/>
        <w:rPr>
          <w:b/>
          <w:bCs/>
        </w:rPr>
      </w:pPr>
      <w:r>
        <w:rPr>
          <w:b/>
          <w:bCs/>
        </w:rPr>
        <w:t>10 straipsnis</w:t>
      </w:r>
    </w:p>
    <w:p w14:paraId="24551026" w14:textId="77777777" w:rsidR="004F5753" w:rsidRPr="00A03BA9" w:rsidRDefault="004F5753" w:rsidP="007047A2">
      <w:pPr>
        <w:pStyle w:val="clanak-"/>
        <w:spacing w:before="240" w:after="0" w:afterAutospacing="0"/>
        <w:jc w:val="both"/>
      </w:pPr>
      <w:r>
        <w:t>Pakuočių ir pakuočių atliekų taisyklių (NN Nr. 88/15, Nr. 78/16 ir Nr. 116/17) II, VIII, IX, X ir XV priedai pakeičiami I, II, III, IV ir V priedais, pateikiamais šių taisyklių priede, kuris yra neatskiriama jų dalis.</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11 straipsnis</w:t>
      </w:r>
    </w:p>
    <w:p w14:paraId="71800441" w14:textId="2427051E" w:rsidR="004F5753" w:rsidRDefault="00231DC8" w:rsidP="00B778C1">
      <w:pPr>
        <w:pStyle w:val="clanak-"/>
        <w:spacing w:before="240" w:after="0" w:afterAutospacing="0"/>
        <w:jc w:val="both"/>
      </w:pPr>
      <w:r>
        <w:t>Šių taisyklių 1 ir 5 straipsnių nuostatos, pateiktos dalyje, kuri susijusi su pieno ir skystų pieno gaminių pakuotėmis ir pakuotėmis, kurių tūris yra 0,20 l, įsigalioja 2021 m. sausio 1 d.</w:t>
      </w:r>
    </w:p>
    <w:p w14:paraId="24BDE842" w14:textId="6B989A58" w:rsidR="004F0923" w:rsidRPr="003B54ED" w:rsidRDefault="004F0923" w:rsidP="004F0923">
      <w:pPr>
        <w:keepNext/>
        <w:keepLines/>
        <w:spacing w:before="240" w:beforeAutospacing="1"/>
        <w:jc w:val="center"/>
        <w:rPr>
          <w:b/>
        </w:rPr>
      </w:pPr>
      <w:r>
        <w:rPr>
          <w:b/>
        </w:rPr>
        <w:t>12 straipsnis</w:t>
      </w:r>
    </w:p>
    <w:p w14:paraId="249FE26B" w14:textId="4D312471" w:rsidR="004F0923" w:rsidRPr="00A03BA9" w:rsidRDefault="004F0923" w:rsidP="00B778C1">
      <w:pPr>
        <w:pStyle w:val="clanak-"/>
        <w:spacing w:before="240" w:after="0" w:afterAutospacing="0"/>
        <w:jc w:val="both"/>
      </w:pPr>
      <w:r>
        <w:t>Šios taisyklės įsigalioja aštuntą dieną po jų paskelbimo Kroatijos Respublikos oficialiajame leidinyje dienos.</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KLASĖ: 351-01/19-04/03</w:t>
      </w:r>
    </w:p>
    <w:p w14:paraId="322F3AED" w14:textId="4E0A6D3C" w:rsidR="004F5753" w:rsidRPr="00A03BA9" w:rsidRDefault="004F5753" w:rsidP="004F5753">
      <w:pPr>
        <w:pStyle w:val="klasa2"/>
        <w:spacing w:before="0" w:beforeAutospacing="0" w:after="0" w:afterAutospacing="0"/>
        <w:jc w:val="both"/>
      </w:pPr>
      <w:r>
        <w:t>BYLOS NUMERIS: 517-03-2-2-19-28</w:t>
      </w:r>
    </w:p>
    <w:p w14:paraId="58F46991" w14:textId="630D99CA" w:rsidR="004F5753" w:rsidRPr="00A03BA9" w:rsidRDefault="004F5753" w:rsidP="004F5753">
      <w:pPr>
        <w:pStyle w:val="klasa2"/>
        <w:spacing w:before="0" w:beforeAutospacing="0" w:after="0" w:afterAutospacing="0"/>
        <w:jc w:val="both"/>
      </w:pPr>
      <w:r>
        <w:t>Zagrebas, 2020 m. sausio 17 d.</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Ministras</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Dr. Tomislav Ćorić, parašas</w:t>
      </w:r>
    </w:p>
    <w:p w14:paraId="0076E94D" w14:textId="77777777" w:rsidR="00F4485B" w:rsidRPr="00A03BA9" w:rsidRDefault="00F4485B" w:rsidP="00047FEA">
      <w:pPr>
        <w:pStyle w:val="clanak-"/>
        <w:pageBreakBefore/>
        <w:spacing w:before="240" w:beforeAutospacing="0" w:after="0" w:afterAutospacing="0"/>
      </w:pPr>
      <w:r>
        <w:lastRenderedPageBreak/>
        <w:t>I PRIEDAS</w:t>
      </w:r>
    </w:p>
    <w:p w14:paraId="6CE0D569" w14:textId="77777777" w:rsidR="00F4485B" w:rsidRPr="00A03BA9" w:rsidRDefault="00F4485B" w:rsidP="00F4485B">
      <w:pPr>
        <w:spacing w:before="240" w:after="360"/>
        <w:jc w:val="right"/>
        <w:rPr>
          <w:b/>
        </w:rPr>
      </w:pPr>
      <w:r>
        <w:rPr>
          <w:b/>
        </w:rPr>
        <w:t>AO1 forma</w:t>
      </w:r>
    </w:p>
    <w:p w14:paraId="0867FDF5" w14:textId="77777777" w:rsidR="00F4485B" w:rsidRPr="00A03BA9" w:rsidRDefault="00F4485B" w:rsidP="00F4485B">
      <w:pPr>
        <w:jc w:val="center"/>
      </w:pPr>
      <w:r>
        <w:t>VIENKARTINIŲ PAKUOČIŲ RŪŠIŲ IR KIEKIŲ ATASKAITA</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DUOMENYS APIE GAMINTOJĄ, IMPORTUOTOJĄ AR EKSPORTUOTOJĄ</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Apskritimas:</w:t>
            </w:r>
          </w:p>
          <w:p w14:paraId="242F694C" w14:textId="6C6F6A37" w:rsidR="00F4485B" w:rsidRPr="00A03BA9" w:rsidRDefault="00F4485B" w:rsidP="00F4485B">
            <w:pPr>
              <w:rPr>
                <w:rFonts w:cs="Times New Roman"/>
                <w:b/>
                <w:bCs/>
              </w:rPr>
            </w:pPr>
            <w:r>
              <w:rPr>
                <w:b/>
              </w:rPr>
              <w:t>A) PAGAMINTA KROATIJOS RESPUBLIKOJE</w:t>
            </w:r>
          </w:p>
          <w:p w14:paraId="49E75EB4" w14:textId="094AA85C" w:rsidR="00F4485B" w:rsidRPr="00A03BA9" w:rsidRDefault="00F4485B" w:rsidP="00F4485B">
            <w:pPr>
              <w:rPr>
                <w:rFonts w:cs="Times New Roman"/>
                <w:b/>
                <w:bCs/>
              </w:rPr>
            </w:pPr>
            <w:r>
              <w:rPr>
                <w:b/>
              </w:rPr>
              <w:t>B) IMPORTUOTA Į KROATIJOS RESPUBLIKĄ</w:t>
            </w:r>
          </w:p>
          <w:p w14:paraId="4C28EDEA" w14:textId="77777777" w:rsidR="00F4485B" w:rsidRPr="00A03BA9" w:rsidRDefault="00F4485B" w:rsidP="00F4485B">
            <w:pPr>
              <w:rPr>
                <w:rFonts w:cs="Times New Roman"/>
                <w:b/>
                <w:bCs/>
              </w:rPr>
            </w:pPr>
            <w:r>
              <w:rPr>
                <w:b/>
              </w:rPr>
              <w:t>C) EKSPORTAS</w:t>
            </w:r>
          </w:p>
          <w:p w14:paraId="593C11A2" w14:textId="77777777" w:rsidR="00F4485B" w:rsidRPr="00A03BA9" w:rsidRDefault="00F4485B" w:rsidP="00F4485B">
            <w:pPr>
              <w:rPr>
                <w:rFonts w:cs="Times New Roman"/>
                <w:b/>
                <w:bCs/>
              </w:rPr>
            </w:pPr>
            <w:r>
              <w:rPr>
                <w:b/>
              </w:rPr>
              <w:t>D) PAŠALINTA IŠ KROATIJOS RESPUBLIKOS RINKOS</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LAIKOTARPIS:</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Mokėtojo vardas ir pavardė: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Adresas: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Asmuo kontaktams: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 </w:t>
            </w:r>
          </w:p>
        </w:tc>
        <w:tc>
          <w:tcPr>
            <w:tcW w:w="5218" w:type="dxa"/>
            <w:gridSpan w:val="4"/>
            <w:noWrap/>
            <w:hideMark/>
          </w:tcPr>
          <w:p w14:paraId="4DB77FE5" w14:textId="77777777" w:rsidR="00F4485B" w:rsidRPr="00A03BA9" w:rsidRDefault="00F4485B" w:rsidP="00F4485B">
            <w:pPr>
              <w:rPr>
                <w:rFonts w:cs="Times New Roman"/>
              </w:rPr>
            </w:pPr>
            <w:r>
              <w:t>Faks.:</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El. paštas: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(nacionalinis veiklos klasifikatorius):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(ASMENS ID NR.):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DUOMENYS, ĮRAŠOMI GAMINTOJO, ĮSTEIGTO KITOJE ES VALSTYBĖJE NARĖJE ARBA TREČIOJOJE ŠALYJE:</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DUOMENYS APIE GAMINTOJĄ</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Mokėtojo vardas ir pavardė: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Adresas: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 / PVM identifikacinis numeris: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DUOMENYS APIE GAMINTOJO ĮGALIOTĄJĮ ATSTOVĄ KROATIJOS RESPUBLIKOJE</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Įgaliotojo atstovo vardas ir pavardė: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Adresas: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Asmuo kontaktams: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 </w:t>
            </w:r>
          </w:p>
        </w:tc>
        <w:tc>
          <w:tcPr>
            <w:tcW w:w="5218" w:type="dxa"/>
            <w:gridSpan w:val="4"/>
            <w:noWrap/>
            <w:hideMark/>
          </w:tcPr>
          <w:p w14:paraId="744B87F5" w14:textId="77777777" w:rsidR="00F4485B" w:rsidRPr="00A03BA9" w:rsidRDefault="00F4485B" w:rsidP="00F4485B">
            <w:pPr>
              <w:rPr>
                <w:rFonts w:cs="Times New Roman"/>
              </w:rPr>
            </w:pPr>
            <w:r>
              <w:t xml:space="preserve">Faks.: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El. paštas: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(ASMENS ID NR.):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DUOMENYS APIE GĖRIMŲ PAKUOČIŲ, KURIOMS TAIKOMA DEPOZITO GRĄŽINIMO SISTEMA, RŪŠĮ IR KIEKĮ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PRODUKTO GTIN NUMERIS**</w:t>
            </w:r>
          </w:p>
        </w:tc>
        <w:tc>
          <w:tcPr>
            <w:tcW w:w="3755" w:type="dxa"/>
            <w:gridSpan w:val="3"/>
            <w:noWrap/>
            <w:hideMark/>
          </w:tcPr>
          <w:p w14:paraId="515DCADD" w14:textId="77777777" w:rsidR="00F4485B" w:rsidRPr="00A03BA9" w:rsidRDefault="00F4485B" w:rsidP="00DF6E19">
            <w:pPr>
              <w:keepNext/>
              <w:rPr>
                <w:rFonts w:cs="Times New Roman"/>
                <w:b/>
                <w:bCs/>
              </w:rPr>
            </w:pPr>
            <w:r>
              <w:rPr>
                <w:b/>
              </w:rPr>
              <w:t>Kiekis (vnt.)</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DUOMENYS APIE PAKUOTĖS RŪŠĮ IR KIEKĮ (KITOS PAKUOTĖS, IŠSKYRUS NURODYTAS II PUNKTE)</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Pakuotės medžiagos rūšis</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IŠ VISO</w:t>
            </w:r>
          </w:p>
          <w:p w14:paraId="4E92104D" w14:textId="77777777" w:rsidR="00F4485B" w:rsidRPr="00A03BA9" w:rsidRDefault="00F4485B" w:rsidP="00DF6E19">
            <w:pPr>
              <w:keepNext/>
              <w:jc w:val="center"/>
              <w:rPr>
                <w:rFonts w:cs="Times New Roman"/>
                <w:b/>
                <w:bCs/>
              </w:rPr>
            </w:pPr>
            <w:r>
              <w:rPr>
                <w:b/>
              </w:rPr>
              <w:t>(tonos)</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Kiekis</w:t>
            </w:r>
          </w:p>
          <w:p w14:paraId="0A0A2F4A" w14:textId="77777777" w:rsidR="00F4485B" w:rsidRPr="00A03BA9" w:rsidRDefault="00F4485B" w:rsidP="00DF6E19">
            <w:pPr>
              <w:keepNext/>
              <w:jc w:val="center"/>
              <w:rPr>
                <w:rFonts w:cs="Times New Roman"/>
                <w:b/>
                <w:bCs/>
              </w:rPr>
            </w:pPr>
            <w:r>
              <w:rPr>
                <w:b/>
              </w:rPr>
              <w:t>(vnt.)</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PLASTIKAS (PET) – gėrimai, išskyrus pieną ir skystus pieno gaminius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PLASTIKAS (PET) – pienas ir skysti pieno gaminiai – </w:t>
            </w:r>
            <w:r>
              <w:rPr>
                <w:b/>
              </w:rPr>
              <w:lastRenderedPageBreak/>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PLASTIKAS (PET) – kita</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METALAS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METALAS (AL)​– gėrimai, išskyrus pieną ir skystus pieno gaminius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METALAS (AL)​– pienas ir skysti pieno gaminiai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METALAS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METALAS – gėrimai, išskyrus pieną ir skystus pieno gaminius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METALAS – pienas ir skysti pieno gaminiai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POPIERIUS IR (ARBA) KARTONAS</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DAUGIASLUOKSNĖ (SUDĖTINĖ) PAKUOTĖ*</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PLASTIKAS</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STIKLAS</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METALAS</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ALIUMINIS</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GELEŽIS</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TEKSTILĖ</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MEDIENA</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POPIERIUS IR KARTONAS</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DAUGIASLUOKSNĖ (SUDĖTINĖ) PAKUOTĖ – gėrimai, išskyrus pieną ir skystus pieno gaminius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DAUGIASLUOKSNĖ (SUDĖTINĖ) PAKUOTĖ – pienas ir skysti pieno gaminiai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MEDIENA</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TEKSTILĖ</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PLASTIKAS (polimerai)</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PLASTIKAS (polimerai) – gėrimai, išskyrus pieną ir skystus pieno gaminius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PLASTIKAS (polimerai) – pienas ir skysti pieno gaminiai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PLASTIKINIAI MAIŠELIAI, KURIŲ SIENELIŲ STORIS &lt; 15 mikronų</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PLASTIKINIAI MAIŠELIAI, KURIŲ SIENELIŲ STORIS ≥ 15, bet &lt; 50 mikronų</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PLASTIKINIAI MAIŠELIAI, KURIŲ SIENELIŲ STORIS ≥ 50 mikronų</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STIKLAS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STIKLAS – gėrimai, išskyrus pieną ir skystus pieno gaminius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STIKLAS – pienas ir skysti pieno gaminiai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PAKUOTĖS, UŽTERŠTOS PAVOJINGOSIOMIS MEDŽIAGOMIS</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PLASTIKAS</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STIKLAS</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METALAS</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ALIUMINIS</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GELEŽIS</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TEKSTILĖ</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lastRenderedPageBreak/>
              <w:t>MEDIENA</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POPIERIUS IR KARTONAS</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Bendras daugiasluoksnių (sudėtinių) pakuočių kiekis turėtų būti suskirstytas pagal jų sudedamąsias dalis (visų medžiagų suma turėtų būti lygi daugiasluoksnių (sudėtinių) pakuočių kiekiui)</w:t>
            </w:r>
          </w:p>
          <w:p w14:paraId="45D62C5A" w14:textId="43C2F852" w:rsidR="00F4485B" w:rsidRPr="00A03BA9" w:rsidRDefault="00F4485B" w:rsidP="00F4485B">
            <w:pPr>
              <w:jc w:val="both"/>
              <w:rPr>
                <w:rFonts w:cs="Times New Roman"/>
              </w:rPr>
            </w:pPr>
            <w:r>
              <w:t>** GTIN turėtų būti įtrauktas į registrą pirmą kartą pateikiant rinkai naują gėrimą (taisyklių 23 straipsnio 1 dalis).</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Parašas</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Vieta:</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Data:</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Pristatyti (kam):</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Aplinkos apsaugos ir energijos vartojimo efektyvumo fondas, Radnička cesta 80, 10000 Zagrebas</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II PRIEDAS</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AO4 forma</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SURINKTŲ PAKUOČIŲ ATLIEKŲ ATASKAITA</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MĖNUO:</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Dokumento parengimo data ir vieta:</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METAI:</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DUOMENYS APIE SURINKĖJĄ</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Pavadinimas:</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 / faks.:</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Registruotojo biuro adresas:</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(ASMENS ID NR.):</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Asmuo kontaktams:</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El. paštas:</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DUOMENYS APIE DEPOZITO GRĄŽINIMO SISTEMOJE SURINKTAS PAKUOČIŲ ATLIEKAS (PERIMTOS IŠ VARTOTOJŲ RANKINIU BŪDU IR AUTOMATINIAIS ĮRENGINIAIS)</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PARDAVĖJO ARBA PERDIRBIMO VIETOS PAVADINIMAS IR REGISTRUOTOJI BUVEINĖ</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PAKUOČIŲ ATLIEKŲ RŪŠIS</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STIKLAS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 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SKAIČIUS MAIŠAI (-Ų) ARBA KONTEINERIAI (-IŲ)</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SKAIČIUS MAIŠAI (-Ų) ARBA KONTEINERIAI (-IŲ)</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SKAIČIUS MAIŠAI (-Ų) ARBA KONTEINERIAI (-IŲ)</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AUT.</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RANK.</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AUT.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RANK.</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AUT.</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RANK.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AUT.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RANK.</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AUT.</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RANK.</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AUT.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RANK.</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IŠ VISO</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IŠ VISO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DUOMENYS APIE DEPOZITO GRĄŽINIMO SISTEMOJE PRIIMTAS PAKUOČIŲ ATLIEKAS, PATEIKTAS UTILIZUOTI</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PAKUOČIŲ ATLIEKŲ RŪŠIS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UTILIZAVIMO ĮSTAIGOS PAVADINIMAS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PERDUOTA UTILIZAVIMO ĮSTAIGAI</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IŠ VISO SAUGOMA SURINKĖJO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MAIŠŲ ARBA KONTEINERIŲ SKAIČIUS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IŠ VISO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STIKLAS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IŠ VISO STIKLO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ALIUMININĖS IR GELEŽINĖS SKARDINĖS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IŠ VISO AL IR 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lastRenderedPageBreak/>
              <w:t>IV. DUOMENYS APIE PAKUOČIŲ ATLIEKAS, PERIMTAS IŠ MIŠRIŲ KOMUNALINIŲ ATLIEKŲ SURINKIMO PASLAUGŲ TEIKĖJO</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PAKUOČIŲ ATLIEKŲ RŪŠIS</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MIŠRIŲ KOMUNALINIŲ ATLIEKŲ SURINKIMO PASLAUGŲ TEIKĖJO PAVADINIMAS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PERIMTA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UTILIZAVIMO ĮSTAIGOS PAVADINIMAS</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PERDUOTA UTILIZAVIMO ĮSTAIGAI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IŠ VISO SAUGOMA SURINKĖJO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PLASTIKAS</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IŠ VISO PLASTIKO</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STIKLAS</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IŠ VISO STIKLO</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METALAS</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IŠ VISO METALO</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DUOMENYS APIE PAKUOČIŲ ATLIEKAS, SURINKTAS PER SAVO SURINKIMO TINKLĄ</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PAKUOČIŲ ATLIEKŲ RŪŠIS</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SURINKTA</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UTILIZAVIMO ĮSTAIGOS PAVADINIMAS</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PERDUOTA UTILIZAVIMO ĮSTAIGAI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IŠ VISO SAUGOMA SURINKĖJO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PLASTIKAS</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IŠ VISO PLASTIKO</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STIKLAS</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IŠ VISO STIKLO</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METALAS</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IŠ VISO METALO</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TEKSTILĖ</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IŠ VISO TEKSTILĖS</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MEDIENA</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IŠ VISO MEDIENOS</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POPIERIUS IR KARTONAS</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IŠ VISO POPIERIAUS IR KARTONO</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DAUGIASLUOKSNĖS (SUDĖTINĖS)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 xml:space="preserve">IŠ VISO DAUGIASLUOKSNIŲ </w:t>
            </w:r>
            <w:r>
              <w:rPr>
                <w:sz w:val="20"/>
              </w:rPr>
              <w:lastRenderedPageBreak/>
              <w:t>(SUDĖTINIŲ)</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KITOS</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IŠ VISO KITŲ</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DUOMENYS APIE PAKUOČIŲ ATLIEKŲ, UŽTERŠTŲ PAVOJINGOSIOMIS MEDŽIAGOMIS, KIEKĮ</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PAKUOČIŲ ATLIEKŲ RŪŠIS</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SURINKTAS KIEKIS</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UTILIZAVIMO ĮSTAIGOS PAVADINIMAS</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PERDUOTA UTILIZAVIMO ĮSTAIGAI</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IŠ VISO SAUGOMA SURINKĖJO</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PLASTIKAS</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STIKLAS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METALAS</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TEKSTILĖ</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MEDIENA</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POPIERIUS IR KARTONAS</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Už duomenų tikslumą atsakingas asmuo:</w:t>
      </w:r>
    </w:p>
    <w:p w14:paraId="05A75F01" w14:textId="77777777" w:rsidR="006B1B64" w:rsidRPr="00A03BA9" w:rsidRDefault="006B1B64" w:rsidP="006B1B64">
      <w:pPr>
        <w:spacing w:after="60"/>
        <w:ind w:left="-567"/>
        <w:rPr>
          <w:rFonts w:eastAsia="Calibri"/>
          <w:sz w:val="20"/>
          <w:szCs w:val="20"/>
        </w:rPr>
      </w:pPr>
      <w:r>
        <w:rPr>
          <w:sz w:val="20"/>
        </w:rPr>
        <w:t>(Surinkėjas)</w:t>
      </w:r>
    </w:p>
    <w:p w14:paraId="00F45E44" w14:textId="77777777" w:rsidR="006B1B64" w:rsidRPr="00A03BA9" w:rsidRDefault="006B1B64" w:rsidP="006B1B64">
      <w:pPr>
        <w:spacing w:after="60"/>
        <w:ind w:left="-567"/>
        <w:rPr>
          <w:rFonts w:eastAsia="Calibri"/>
          <w:sz w:val="20"/>
          <w:szCs w:val="20"/>
        </w:rPr>
      </w:pPr>
      <w:r>
        <w:rPr>
          <w:sz w:val="20"/>
        </w:rPr>
        <w:t>Vardas ir pavardė</w:t>
      </w:r>
    </w:p>
    <w:p w14:paraId="39D11352" w14:textId="77777777" w:rsidR="006B1B64" w:rsidRPr="00A03BA9" w:rsidRDefault="006B1B64" w:rsidP="006B1B64">
      <w:pPr>
        <w:spacing w:after="120"/>
        <w:ind w:left="-567"/>
        <w:rPr>
          <w:sz w:val="20"/>
          <w:szCs w:val="20"/>
        </w:rPr>
      </w:pPr>
      <w:r>
        <w:rPr>
          <w:sz w:val="20"/>
        </w:rPr>
        <w:t>Atsakingo asmens vardas, pavardė ir parašas</w:t>
      </w:r>
    </w:p>
    <w:p w14:paraId="24DF089C" w14:textId="77777777" w:rsidR="006B1B64" w:rsidRPr="00A03BA9" w:rsidRDefault="006B1B64" w:rsidP="006B1B64">
      <w:pPr>
        <w:ind w:left="-567"/>
        <w:jc w:val="both"/>
        <w:rPr>
          <w:rFonts w:eastAsia="Calibri"/>
          <w:sz w:val="20"/>
          <w:szCs w:val="20"/>
        </w:rPr>
      </w:pPr>
      <w:r>
        <w:rPr>
          <w:b/>
          <w:bCs/>
          <w:sz w:val="20"/>
        </w:rPr>
        <w:t>PRIEDAS</w:t>
      </w:r>
      <w:r>
        <w:rPr>
          <w:sz w:val="20"/>
        </w:rPr>
        <w:t>: pakuočių atliekų kiekių, pateiktų perdirbimo įmonei, įrodymai (patvirtinamojo atliekų lapo kopija arba tarpvalstybinio atliekų judėjimo dokumento ir utilizavimo įmonės svorio deklaravimo dokumento kopija) ir įrodymas, kad eksportas ir eksportuotų pakuočių atliekų perdirbimas buvo atliktas laikantis atitinkamų ES teisės aktų</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Pristatyti (kam):</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Aplinkos apsaugos ir energijos vartojimo efektyvumo fondas, Radnička cesta 80, 10000 Zagrebas</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III PRIEDAS</w:t>
      </w:r>
    </w:p>
    <w:p w14:paraId="19D09A7C" w14:textId="168EE6EF" w:rsidR="003B2305" w:rsidRPr="00A03BA9" w:rsidRDefault="003B2305" w:rsidP="003B2305">
      <w:pPr>
        <w:spacing w:after="120" w:line="276" w:lineRule="auto"/>
        <w:jc w:val="right"/>
        <w:rPr>
          <w:b/>
        </w:rPr>
      </w:pPr>
      <w:r>
        <w:rPr>
          <w:b/>
        </w:rPr>
        <w:t>AO5 forma</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MIŠRIŲ KOMUNALINIŲ ATLIEKŲ SURINKIMO PASLAUGŲ TEIKĖJO ATASKAITA APIE SURINKTAS PAKUOČIŲ ATLIEKAS</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MĖNUO:</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Dokumento parengimo data ir vieta:</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METAI:</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MIŠRIŲ KOMUNALINIŲ ATLIEKŲ SURINKIMO PASLAUGŲ TEIKĖJO DUOMENYS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Pavadinimas:</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 / faks.:</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Registruotojo biuro adresas:</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(ASMENS ID NR.):</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El. paštas:</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Asmuo kontaktams:</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Sritis:</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DUOMENYS APIE ATSKIRAI SURINKTUS PAKUOČIŲ ATLIEKŲ KIEKIUS</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PAKUOČIŲ ATLIEKŲ RŪŠIS</w:t>
            </w:r>
          </w:p>
        </w:tc>
        <w:tc>
          <w:tcPr>
            <w:tcW w:w="2055" w:type="dxa"/>
            <w:gridSpan w:val="3"/>
            <w:vAlign w:val="center"/>
          </w:tcPr>
          <w:p w14:paraId="62BB6E9C" w14:textId="77777777" w:rsidR="003B2305" w:rsidRPr="00A03BA9" w:rsidRDefault="003B2305" w:rsidP="00035963">
            <w:pPr>
              <w:jc w:val="center"/>
              <w:rPr>
                <w:sz w:val="20"/>
                <w:szCs w:val="20"/>
              </w:rPr>
            </w:pPr>
            <w:r>
              <w:rPr>
                <w:sz w:val="20"/>
              </w:rPr>
              <w:t>SURINKTA IR SUKLASIFIKUOTA</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PERDUOTA SURINKĖJUI</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SURINKĖJO PAVADINIMAS</w:t>
            </w:r>
          </w:p>
        </w:tc>
        <w:tc>
          <w:tcPr>
            <w:tcW w:w="1914" w:type="dxa"/>
            <w:gridSpan w:val="2"/>
            <w:vAlign w:val="center"/>
          </w:tcPr>
          <w:p w14:paraId="2FC84107" w14:textId="77777777" w:rsidR="003B2305" w:rsidRPr="00A03BA9" w:rsidRDefault="003B2305" w:rsidP="00035963">
            <w:pPr>
              <w:jc w:val="center"/>
              <w:rPr>
                <w:sz w:val="20"/>
                <w:szCs w:val="20"/>
              </w:rPr>
            </w:pPr>
            <w:r>
              <w:rPr>
                <w:sz w:val="20"/>
              </w:rPr>
              <w:t>IŠ VISO SAUGOMA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PLASTIKAS</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IŠ VISO PLASTIKO</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STIKLAS</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IŠ VISO STIKLO</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METALAS</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IŠ VISO METALO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Už duomenų tikslumą atsakingas asmuo:</w:t>
      </w:r>
    </w:p>
    <w:p w14:paraId="61760D46" w14:textId="77777777" w:rsidR="003B2305" w:rsidRPr="00A03BA9" w:rsidRDefault="003B2305" w:rsidP="003B2305">
      <w:pPr>
        <w:spacing w:after="120"/>
        <w:rPr>
          <w:rFonts w:eastAsia="Calibri"/>
          <w:sz w:val="20"/>
          <w:szCs w:val="20"/>
        </w:rPr>
      </w:pPr>
      <w:r>
        <w:rPr>
          <w:sz w:val="20"/>
        </w:rPr>
        <w:t>(Mišrių komunalinių atliekų surinkimo paslaugos teikėjas)</w:t>
      </w:r>
    </w:p>
    <w:p w14:paraId="08E81598" w14:textId="77777777" w:rsidR="003B2305" w:rsidRPr="00A03BA9" w:rsidRDefault="003B2305" w:rsidP="003B2305">
      <w:pPr>
        <w:spacing w:after="120"/>
        <w:rPr>
          <w:rFonts w:eastAsia="Calibri"/>
          <w:sz w:val="20"/>
          <w:szCs w:val="20"/>
        </w:rPr>
      </w:pPr>
      <w:r>
        <w:rPr>
          <w:sz w:val="20"/>
        </w:rPr>
        <w:t>Vardas ir pavardė</w:t>
      </w:r>
    </w:p>
    <w:p w14:paraId="4A910F8E" w14:textId="77777777" w:rsidR="002958F5" w:rsidRPr="00A03BA9" w:rsidRDefault="003B2305" w:rsidP="003B2305">
      <w:pPr>
        <w:rPr>
          <w:sz w:val="20"/>
          <w:szCs w:val="20"/>
        </w:rPr>
      </w:pPr>
      <w:r>
        <w:rPr>
          <w:sz w:val="20"/>
        </w:rPr>
        <w:t>Atsakingo asmens vardas, pavardė ir parašas</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Pristatyti (kam):</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Aplinkos apsaugos ir energijos vartojimo efektyvumo fondas, Radnička cesta 80, 10000 Zagrebas</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IV PRIEDAS</w:t>
      </w:r>
    </w:p>
    <w:p w14:paraId="32D7C39C" w14:textId="033E1FA4" w:rsidR="002958F5" w:rsidRPr="00A03BA9" w:rsidRDefault="002958F5" w:rsidP="002958F5">
      <w:pPr>
        <w:spacing w:after="240" w:line="276" w:lineRule="auto"/>
        <w:jc w:val="right"/>
        <w:rPr>
          <w:b/>
        </w:rPr>
      </w:pPr>
      <w:r>
        <w:rPr>
          <w:b/>
        </w:rPr>
        <w:t>AO6 forma</w:t>
      </w:r>
    </w:p>
    <w:p w14:paraId="1A77F378" w14:textId="77777777" w:rsidR="002958F5" w:rsidRPr="00A03BA9" w:rsidRDefault="002958F5" w:rsidP="002958F5">
      <w:pPr>
        <w:spacing w:before="120" w:after="120" w:line="276" w:lineRule="auto"/>
        <w:jc w:val="center"/>
      </w:pPr>
      <w:r>
        <w:t>SURINKĖJO PAŽYMA APIE PAKUOČIŲ ATLIEKŲ KIEKIUS, PERIMTUS IŠ MIŠRIŲ KOMUNALINIŲ ATLIEKŲ SURINKIMO PASLAUGŲ TEIKĖJO</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MĖNUO:</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Dokumento parengimo data ir vieta:</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METAI:</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DUOMENYS APIE SURINKĖJĄ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Pavadinimas:</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 / faks.:</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Registruotojo biuro adresas:</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(ASMENS ID NR.):</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El. paštas:</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Asmuo kontaktams:</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Sritis:</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MIŠRIŲ KOMUNALINIŲ ATLIEKŲ SURINKIMO PASLAUGŲ TEIKĖJO DUOMENYS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Pavadinimas:</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 / faks.:</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Registruotojo biuro adresas:</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(ASMENS ID NR.):</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El. paštas:</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Asmuo kontaktams:</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DUOMENYS APIE PERIMAMUS ATSKIRAI SURINKTŲ PAKUOČIŲ ATLIEKŲ KIEKIUS</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PAKUOČIŲ ATLIEKŲ RŪŠIS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KIEKIS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PLASTIKAS</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STIKLAS</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METALAS</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Už duomenų tikslumą atsakingas asmuo:</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Už duomenų tikslumą atsakingas asmuo:</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(Surinkėjas)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(Mišrių komunalinių atliekų surinkimo paslaugos teikėjas)</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Vardas ir pavardė</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Vardas ir pavardė</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Atsakingo asmens vardas, pavardė ir parašas</w:t>
            </w:r>
          </w:p>
        </w:tc>
        <w:tc>
          <w:tcPr>
            <w:tcW w:w="2849" w:type="pct"/>
          </w:tcPr>
          <w:p w14:paraId="1DA838A2" w14:textId="129406E5" w:rsidR="007F4A16" w:rsidRPr="00C21A36" w:rsidRDefault="007F4A16" w:rsidP="007F4A16">
            <w:pPr>
              <w:spacing w:before="240" w:after="20"/>
              <w:rPr>
                <w:bCs/>
              </w:rPr>
            </w:pPr>
            <w:r>
              <w:rPr>
                <w:sz w:val="20"/>
              </w:rPr>
              <w:t>Atsakingo asmens vardas, pavardė ir parašas</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Pristatyti (kam):</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Aplinkos apsaugos ir energijos vartojimo efektyvumo fondas, Radnička cesta 80, 10000 Zagrebas</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V PRIEDAS</w:t>
      </w:r>
    </w:p>
    <w:p w14:paraId="1055ABE0" w14:textId="77777777" w:rsidR="00F4485B" w:rsidRPr="00A03BA9" w:rsidRDefault="00F4485B" w:rsidP="00F4485B">
      <w:pPr>
        <w:jc w:val="right"/>
        <w:rPr>
          <w:b/>
        </w:rPr>
      </w:pPr>
      <w:r>
        <w:rPr>
          <w:b/>
        </w:rPr>
        <w:t>AO10 forma</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VIENKARTINIŲ PAKUOČIŲ RŪŠIŲ IR KIEKIŲ ATASKAITA</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DUOMENYS APIE GAMINTOJĄ, IMPORTUOTOJĄ AR EKSPORTUOTOJĄ</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Apskritimas:</w:t>
            </w:r>
          </w:p>
          <w:p w14:paraId="7D2EBC99" w14:textId="01508EA1" w:rsidR="00F4485B" w:rsidRPr="00A03BA9" w:rsidRDefault="00F4485B" w:rsidP="00F4485B">
            <w:pPr>
              <w:rPr>
                <w:rFonts w:cs="Times New Roman"/>
                <w:b/>
                <w:bCs/>
              </w:rPr>
            </w:pPr>
            <w:r>
              <w:rPr>
                <w:b/>
              </w:rPr>
              <w:t>A) PAGAMINTA KROATIJOS RESPUBLIKOJE</w:t>
            </w:r>
          </w:p>
          <w:p w14:paraId="05062BDA" w14:textId="0A7C64E0" w:rsidR="00F4485B" w:rsidRPr="00A03BA9" w:rsidRDefault="00F4485B" w:rsidP="00F4485B">
            <w:pPr>
              <w:rPr>
                <w:rFonts w:cs="Times New Roman"/>
                <w:b/>
                <w:bCs/>
              </w:rPr>
            </w:pPr>
            <w:r>
              <w:rPr>
                <w:b/>
              </w:rPr>
              <w:t>B) IMPORTUOTA Į KROATIJOS RESPUBLIKĄ</w:t>
            </w:r>
          </w:p>
          <w:p w14:paraId="58CCFDD2" w14:textId="77777777" w:rsidR="00F4485B" w:rsidRPr="00A03BA9" w:rsidRDefault="00F4485B" w:rsidP="00F4485B">
            <w:pPr>
              <w:rPr>
                <w:rFonts w:cs="Times New Roman"/>
                <w:b/>
                <w:bCs/>
              </w:rPr>
            </w:pPr>
            <w:r>
              <w:rPr>
                <w:b/>
              </w:rPr>
              <w:t>C) EKSPORTAS</w:t>
            </w:r>
          </w:p>
          <w:p w14:paraId="4B3240E6" w14:textId="77777777" w:rsidR="00F4485B" w:rsidRPr="00A03BA9" w:rsidRDefault="00F4485B" w:rsidP="00F4485B">
            <w:pPr>
              <w:rPr>
                <w:rFonts w:cs="Times New Roman"/>
                <w:b/>
                <w:bCs/>
              </w:rPr>
            </w:pPr>
            <w:r>
              <w:rPr>
                <w:b/>
              </w:rPr>
              <w:t>D) PAŠALINTA IŠ KROATIJOS RESPUBLIKOS RINKOS</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LAIKOTARPIS:</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Mokėtojo vardas ir pavardė: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Adresas: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Asmuo kontaktams: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w:t>
            </w:r>
          </w:p>
        </w:tc>
        <w:tc>
          <w:tcPr>
            <w:tcW w:w="4500" w:type="dxa"/>
            <w:gridSpan w:val="4"/>
            <w:noWrap/>
            <w:hideMark/>
          </w:tcPr>
          <w:p w14:paraId="5F67A3EB" w14:textId="77777777" w:rsidR="00F4485B" w:rsidRPr="00A03BA9" w:rsidRDefault="00F4485B" w:rsidP="00F4485B">
            <w:pPr>
              <w:rPr>
                <w:rFonts w:cs="Times New Roman"/>
              </w:rPr>
            </w:pPr>
            <w:r>
              <w:t xml:space="preserve">Faks.: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El. paštas: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(nacionalinis veiklos klasifikatorius):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(ASMENS ID NR.):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DUOMENYS, ĮRAŠOMI GAMINTOJO, ĮSTEIGTO KITOJE ES VALSTYBĖJE NARĖJE ARBA TREČIOJOJE ŠALYJE:</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DUOMENYS APIE GAMINTOJĄ</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Mokėtojo vardas ir pavardė: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Adresas: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 / PVM identifikacinis numeris: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DUOMENYS APIE GAMINTOJO ĮGALIOTĄJĮ ATSTOVĄ KROATIJOS RESPUBLIKOJE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Įgaliotojo atstovo vardas ir pavardė: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Adresas: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Asmuo kontaktams: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 </w:t>
            </w:r>
          </w:p>
        </w:tc>
        <w:tc>
          <w:tcPr>
            <w:tcW w:w="4500" w:type="dxa"/>
            <w:gridSpan w:val="4"/>
            <w:noWrap/>
            <w:hideMark/>
          </w:tcPr>
          <w:p w14:paraId="23E6322A" w14:textId="77777777" w:rsidR="00F4485B" w:rsidRPr="00A03BA9" w:rsidRDefault="00F4485B" w:rsidP="00F4485B">
            <w:pPr>
              <w:rPr>
                <w:rFonts w:cs="Times New Roman"/>
              </w:rPr>
            </w:pPr>
            <w:r>
              <w:t xml:space="preserve">Faks.: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El. paštas: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(ASMENS ID NR.):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DUOMENYS APIE PAKUOČIŲ RŪŠIS IR KIEKIUS</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Pakuotės medžiagos rūšis</w:t>
            </w:r>
          </w:p>
          <w:p w14:paraId="551EB431" w14:textId="77777777" w:rsidR="00F4485B" w:rsidRPr="00A03BA9" w:rsidRDefault="00F4485B" w:rsidP="00DF6E19">
            <w:pPr>
              <w:keepNext/>
              <w:rPr>
                <w:rFonts w:cs="Times New Roman"/>
                <w:b/>
                <w:bCs/>
              </w:rPr>
            </w:pPr>
            <w:r>
              <w:rPr>
                <w:b/>
              </w:rPr>
              <w:t>NE IŠ DEPOZITO GRĄŽINIMO SISTEMOS</w:t>
            </w:r>
          </w:p>
        </w:tc>
        <w:tc>
          <w:tcPr>
            <w:tcW w:w="1794" w:type="dxa"/>
            <w:noWrap/>
            <w:hideMark/>
          </w:tcPr>
          <w:p w14:paraId="15F3ACA5" w14:textId="77777777" w:rsidR="00F4485B" w:rsidRPr="00A03BA9" w:rsidRDefault="00F4485B" w:rsidP="00DF6E19">
            <w:pPr>
              <w:keepNext/>
              <w:jc w:val="center"/>
              <w:rPr>
                <w:rFonts w:cs="Times New Roman"/>
                <w:b/>
                <w:bCs/>
              </w:rPr>
            </w:pPr>
            <w:r>
              <w:rPr>
                <w:b/>
              </w:rPr>
              <w:t>IŠ VISO</w:t>
            </w:r>
          </w:p>
          <w:p w14:paraId="4032FE8C" w14:textId="77777777" w:rsidR="00F4485B" w:rsidRPr="00A03BA9" w:rsidRDefault="00F4485B" w:rsidP="00DF6E19">
            <w:pPr>
              <w:keepNext/>
              <w:jc w:val="center"/>
              <w:rPr>
                <w:rFonts w:cs="Times New Roman"/>
                <w:b/>
                <w:bCs/>
              </w:rPr>
            </w:pPr>
            <w:r>
              <w:rPr>
                <w:b/>
              </w:rPr>
              <w:t>(tonos)</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IŠ VISO (vnt.)</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METALAS (PET​– gėrimai, išskyrus pieną ir skystus pieno gaminius)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PLASTIKAS (PET – pienas ir skysti pieno gaminiai)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PLASTIKAS (PET) – kita</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METALAS (AL​– gėrimai, išskyrus pieną ir skystus </w:t>
            </w:r>
            <w:r>
              <w:lastRenderedPageBreak/>
              <w:t xml:space="preserve">pieno gaminius)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METALAS (AL – pienas ir skysti pieno gaminiai)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METALAS (AL) – kita</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METALAS (FE​– gėrimai, išskyrus pieną ir skystus pieno gaminius)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METALAS (FE – pienas ir kiti skysti pieno gaminiai)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METALAS (FE) – kita</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POPIERIUS IR (ARBA) KARTONAS</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DAUGIASLUOKSNĖS (SUDĖTINĖS) PAKUOTĖS  – gėrimai, išskyrus pieną ir skystus pieno gaminius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DAUGIASLUOKSNĖ (SUDĖTINĖ) PAKUOTĖ – pienas ir kiti skysti pieno gaminiai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DAUGIASLUOKSNĖ (SUDĖTINĖ) PAKUOTĖ*</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PLASTIKAS</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STIKLAS</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METALAS</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ALIUMINIS</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GELEŽIS</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TEKSTILĖ</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MEDIENA</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POPIERIUS IR KARTONAS</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MEDIENA</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TEKSTILĖ</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PLASTIKAS (kiti polimerai – gėrimai, išskyrus pieną ir skystus pieno gaminius)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PLASTIKAS (kiti polimerai – gėrimai, pienas ir skysti pieno gaminiai)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PLASTIKAS (kiti polimerai)</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PLASTIKINIAI MAIŠELIAI, KURIŲ SIENELIŲ STORIS &lt; 15 mikronų</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PLASTIKINIAI MAIŠELIAI, KURIŲ SIENELIŲ STORIS ≥ 15, bet &lt; 50 mikronų</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PLASTIKINIAI MAIŠELIAI, KURIŲ SIENELIŲ STORIS ≥ 50 mikronų</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STIKLAS (gėrimai, išskyrus pieną ir skystus pieno gaminius)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STIKLAS (pienas ir skysti pieno gaminiai)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STIKLAS – kita</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Pakuotės, užterštos pavojingosiomis medžiagomis</w:t>
            </w:r>
          </w:p>
        </w:tc>
        <w:tc>
          <w:tcPr>
            <w:tcW w:w="1794" w:type="dxa"/>
            <w:noWrap/>
          </w:tcPr>
          <w:p w14:paraId="72EEDDC4" w14:textId="77777777" w:rsidR="00F4485B" w:rsidRPr="00A03BA9" w:rsidRDefault="00F4485B" w:rsidP="00DF6E19">
            <w:pPr>
              <w:keepNext/>
              <w:jc w:val="center"/>
              <w:rPr>
                <w:rFonts w:cs="Times New Roman"/>
                <w:b/>
                <w:bCs/>
              </w:rPr>
            </w:pPr>
            <w:r>
              <w:rPr>
                <w:b/>
              </w:rPr>
              <w:t>IŠ VISO (tonos)</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PLASTIKAS</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STIKLAS</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METALAS</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ALIUMINIS</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GELEŽIS</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TEKSTILĖ</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lastRenderedPageBreak/>
              <w:t>MEDIENA</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POPIERIUS IR KARTONAS</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Pakavimo medžiagos rūšis DEPOZITO GRĄŽINIMO SISTEMOJE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IŠ VISO</w:t>
            </w:r>
          </w:p>
          <w:p w14:paraId="36488BA4" w14:textId="77777777" w:rsidR="00F4485B" w:rsidRPr="00A03BA9" w:rsidRDefault="00F4485B" w:rsidP="00DF6E19">
            <w:pPr>
              <w:keepNext/>
              <w:jc w:val="center"/>
              <w:rPr>
                <w:rFonts w:cs="Times New Roman"/>
              </w:rPr>
            </w:pPr>
            <w:r>
              <w:rPr>
                <w:b/>
              </w:rPr>
              <w:t>(tonos)</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IŠ VISO</w:t>
            </w:r>
          </w:p>
          <w:p w14:paraId="664CCF80" w14:textId="77777777" w:rsidR="00F4485B" w:rsidRPr="00A03BA9" w:rsidRDefault="00F4485B" w:rsidP="00DF6E19">
            <w:pPr>
              <w:keepNext/>
              <w:jc w:val="center"/>
              <w:rPr>
                <w:rFonts w:cs="Times New Roman"/>
                <w:b/>
              </w:rPr>
            </w:pPr>
            <w:r>
              <w:rPr>
                <w:b/>
              </w:rPr>
              <w:t>(vnt.)</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gėrimai, išskyrus pieną ir skystus pieno gaminius</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pienas ir skysti pieno gaminiai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STIKLAS – gėrimai, išskyrus pieną ir skystus pieno gaminius</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STIKLAS – pienas ir skysti pieno gaminiai</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ALIUMININĖS SKARDINĖS – gėrimai, išskyrus pieną ir skystus pieno gaminius</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ALIUMININĖS SKARDINĖS – pienas ir skysti pieno gaminiai</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GELEŽINĖS SKARDINĖS – gėrimai, išskyrus pieną ir skystus pieno gaminius</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GELEŽINĖS SKARDINĖS – pienas ir skysti pieno gaminiai</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Bendras daugiasluoksnių (sudėtinių) pakuočių kiekis turėtų būti suskirstytas pagal jų sudedamąsias dalis (visų medžiagų suma turėtų būti lygi daugiasluoksnių (sudėtinių) pakuočių kiekiui)</w:t>
            </w:r>
          </w:p>
          <w:p w14:paraId="79FF4B0B" w14:textId="77777777" w:rsidR="00B81334" w:rsidRDefault="00B81334" w:rsidP="00F4485B"/>
          <w:p w14:paraId="56AD5252" w14:textId="77777777" w:rsidR="00B81334" w:rsidRPr="00A03BA9" w:rsidRDefault="00B81334" w:rsidP="00F4485B">
            <w:pPr>
              <w:rPr>
                <w:rFonts w:cs="Times New Roman"/>
              </w:rPr>
            </w:pPr>
            <w:r>
              <w:t>Vieta:</w:t>
            </w:r>
          </w:p>
          <w:p w14:paraId="1DA66735" w14:textId="0F2CC748" w:rsidR="00B81334" w:rsidRPr="00A03BA9" w:rsidRDefault="00B81334" w:rsidP="00F4485B">
            <w:pPr>
              <w:jc w:val="right"/>
              <w:rPr>
                <w:rFonts w:cs="Times New Roman"/>
              </w:rPr>
            </w:pPr>
            <w:r>
              <w:t>Parašas</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bookmarkStart w:id="0" w:name="_GoBack"/>
            <w:bookmarkEnd w:id="0"/>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Pristatyti (kam):</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Aplinkos apsaugos ir energijos vartojimo efektyvumo fondas, Radnička cesta 80, 10000 Zagrebas</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1E19" w14:textId="77777777" w:rsidR="00FE3DE0" w:rsidRDefault="00FE3DE0" w:rsidP="0015270B">
      <w:r>
        <w:separator/>
      </w:r>
    </w:p>
  </w:endnote>
  <w:endnote w:type="continuationSeparator" w:id="0">
    <w:p w14:paraId="0E0D90D4" w14:textId="77777777" w:rsidR="00FE3DE0" w:rsidRDefault="00FE3DE0"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1A934" w14:textId="77777777" w:rsidR="00FE3DE0" w:rsidRDefault="00FE3DE0" w:rsidP="0015270B">
      <w:r>
        <w:separator/>
      </w:r>
    </w:p>
  </w:footnote>
  <w:footnote w:type="continuationSeparator" w:id="0">
    <w:p w14:paraId="7CD43237" w14:textId="77777777" w:rsidR="00FE3DE0" w:rsidRDefault="00FE3DE0"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03B7"/>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298D"/>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3DE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4DAEA71A-9427-4769-A14A-D2813CC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5B5A35-5A61-48AA-890A-5BC7CB65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3174</Words>
  <Characters>18094</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8</cp:revision>
  <cp:lastPrinted>2019-01-02T13:25:00Z</cp:lastPrinted>
  <dcterms:created xsi:type="dcterms:W3CDTF">2020-07-13T10:09:00Z</dcterms:created>
  <dcterms:modified xsi:type="dcterms:W3CDTF">2020-07-21T08:13:00Z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