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959" w:rsidRPr="003A38BA" w:rsidRDefault="006D5959" w:rsidP="006D5959">
      <w:pPr>
        <w:jc w:val="center"/>
        <w:rPr>
          <w:b/>
          <w:sz w:val="32"/>
        </w:rPr>
      </w:pPr>
    </w:p>
    <w:p w:rsidR="006D5959" w:rsidRPr="003A38BA" w:rsidRDefault="006D5959" w:rsidP="006D5959">
      <w:pPr>
        <w:jc w:val="center"/>
        <w:rPr>
          <w:b/>
          <w:sz w:val="32"/>
        </w:rPr>
      </w:pPr>
    </w:p>
    <w:p w:rsidR="001B12A8" w:rsidRPr="00EE13A3" w:rsidRDefault="001B12A8" w:rsidP="001B12A8">
      <w:pPr>
        <w:ind w:left="0" w:firstLine="0"/>
        <w:jc w:val="center"/>
        <w:rPr>
          <w:rFonts w:ascii="Courier New" w:hAnsi="Courier New"/>
          <w:sz w:val="20"/>
        </w:rPr>
      </w:pPr>
      <w:r>
        <w:rPr>
          <w:rFonts w:ascii="Courier New" w:hAnsi="Courier New"/>
          <w:sz w:val="20"/>
        </w:rPr>
        <w:t>1. ------IND- 2017 0262 D-- CS- ------ 20190626 --- --- FINAL</w:t>
      </w:r>
    </w:p>
    <w:p w:rsidR="002A210D" w:rsidRPr="003A38BA" w:rsidRDefault="002A210D" w:rsidP="006D5959">
      <w:pPr>
        <w:jc w:val="center"/>
        <w:rPr>
          <w:b/>
          <w:sz w:val="40"/>
        </w:rPr>
      </w:pPr>
    </w:p>
    <w:p w:rsidR="006D5959" w:rsidRPr="003A38BA" w:rsidRDefault="006D5959" w:rsidP="006D5959">
      <w:pPr>
        <w:rPr>
          <w:b/>
          <w:sz w:val="40"/>
        </w:rPr>
      </w:pPr>
    </w:p>
    <w:p w:rsidR="006D5959" w:rsidRPr="003A38BA" w:rsidRDefault="006D5959" w:rsidP="006D5959">
      <w:pPr>
        <w:rPr>
          <w:b/>
          <w:sz w:val="40"/>
        </w:rPr>
      </w:pPr>
    </w:p>
    <w:p w:rsidR="006D5959" w:rsidRPr="003A38BA" w:rsidRDefault="006D5959" w:rsidP="006D5959">
      <w:pPr>
        <w:rPr>
          <w:b/>
          <w:sz w:val="40"/>
        </w:rPr>
      </w:pPr>
    </w:p>
    <w:p w:rsidR="006D5959" w:rsidRPr="003A38BA" w:rsidRDefault="006D5959" w:rsidP="006D5959">
      <w:pPr>
        <w:jc w:val="center"/>
        <w:rPr>
          <w:sz w:val="40"/>
        </w:rPr>
      </w:pPr>
      <w:r>
        <w:rPr>
          <w:b/>
          <w:sz w:val="40"/>
        </w:rPr>
        <w:t>Technické zkušební podmínky pro systémy značení</w:t>
      </w:r>
    </w:p>
    <w:p w:rsidR="006D5959" w:rsidRPr="003A38BA" w:rsidRDefault="006D5959" w:rsidP="006D5959">
      <w:pPr>
        <w:rPr>
          <w:b/>
          <w:sz w:val="40"/>
        </w:rPr>
      </w:pPr>
    </w:p>
    <w:p w:rsidR="006D5959" w:rsidRPr="003A38BA" w:rsidRDefault="00C32DCC" w:rsidP="006D5959">
      <w:pPr>
        <w:jc w:val="center"/>
        <w:rPr>
          <w:b/>
          <w:sz w:val="40"/>
          <w:szCs w:val="40"/>
        </w:rPr>
      </w:pPr>
      <w:r>
        <w:rPr>
          <w:b/>
          <w:sz w:val="40"/>
          <w:szCs w:val="40"/>
        </w:rPr>
        <w:t xml:space="preserve">TP M </w:t>
      </w:r>
    </w:p>
    <w:p w:rsidR="006D5959" w:rsidRPr="003A38BA" w:rsidRDefault="006D5959" w:rsidP="00B032BC">
      <w:pPr>
        <w:jc w:val="center"/>
        <w:rPr>
          <w:b/>
          <w:sz w:val="40"/>
          <w:szCs w:val="40"/>
        </w:rPr>
      </w:pPr>
    </w:p>
    <w:p w:rsidR="006D5959" w:rsidRPr="003A38BA" w:rsidRDefault="00EB1650" w:rsidP="006D5959">
      <w:pPr>
        <w:jc w:val="center"/>
        <w:rPr>
          <w:sz w:val="36"/>
          <w:szCs w:val="36"/>
        </w:rPr>
      </w:pPr>
      <w:r>
        <w:rPr>
          <w:b/>
          <w:sz w:val="36"/>
          <w:szCs w:val="36"/>
        </w:rPr>
        <w:t>2018</w:t>
      </w: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EB1650" w:rsidRPr="003A38BA" w:rsidRDefault="00EB1650" w:rsidP="00EB1650">
      <w:pPr>
        <w:jc w:val="center"/>
        <w:rPr>
          <w:sz w:val="32"/>
        </w:rPr>
      </w:pPr>
      <w:r>
        <w:rPr>
          <w:sz w:val="32"/>
        </w:rPr>
        <w:t>vypracované Spolkovým ústavem pro silniční komunikace</w:t>
      </w:r>
    </w:p>
    <w:p w:rsidR="006D5959" w:rsidRPr="003A38BA" w:rsidRDefault="00EB1650" w:rsidP="00EB1650">
      <w:pPr>
        <w:jc w:val="center"/>
        <w:rPr>
          <w:sz w:val="32"/>
        </w:rPr>
      </w:pPr>
      <w:r>
        <w:rPr>
          <w:sz w:val="32"/>
        </w:rPr>
        <w:t>Bergisch Gladbach</w:t>
      </w: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6D5959">
      <w:pPr>
        <w:jc w:val="center"/>
        <w:rPr>
          <w:sz w:val="32"/>
        </w:rPr>
      </w:pPr>
      <w:bookmarkStart w:id="0" w:name="_Toc382970342"/>
      <w:bookmarkStart w:id="1" w:name="_Toc382970502"/>
      <w:bookmarkStart w:id="2" w:name="_Toc382971511"/>
    </w:p>
    <w:p w:rsidR="006D5959" w:rsidRPr="003A38BA" w:rsidRDefault="006D5959" w:rsidP="006D5959">
      <w:pPr>
        <w:jc w:val="center"/>
        <w:rPr>
          <w:sz w:val="32"/>
        </w:rPr>
      </w:pPr>
    </w:p>
    <w:p w:rsidR="006D5959" w:rsidRPr="003A38BA" w:rsidRDefault="006D5959" w:rsidP="006D5959">
      <w:pPr>
        <w:jc w:val="center"/>
        <w:rPr>
          <w:sz w:val="32"/>
        </w:rPr>
      </w:pPr>
      <w:bookmarkStart w:id="3" w:name="_GoBack"/>
      <w:bookmarkEnd w:id="3"/>
    </w:p>
    <w:p w:rsidR="006D5959" w:rsidRPr="003A38BA" w:rsidRDefault="006D5959" w:rsidP="006D5959">
      <w:pPr>
        <w:jc w:val="center"/>
        <w:rPr>
          <w:sz w:val="32"/>
        </w:rPr>
      </w:pPr>
    </w:p>
    <w:p w:rsidR="006D5959" w:rsidRPr="003A38BA" w:rsidRDefault="00497E24" w:rsidP="006D5959">
      <w:pPr>
        <w:jc w:val="center"/>
        <w:rPr>
          <w:sz w:val="32"/>
        </w:rPr>
      </w:pPr>
      <w:bookmarkStart w:id="4" w:name="_Toc382970343"/>
      <w:bookmarkStart w:id="5" w:name="_Toc382970503"/>
      <w:bookmarkStart w:id="6" w:name="_Toc382971512"/>
      <w:bookmarkEnd w:id="0"/>
      <w:bookmarkEnd w:id="1"/>
      <w:bookmarkEnd w:id="2"/>
      <w:r>
        <w:rPr>
          <w:sz w:val="32"/>
        </w:rPr>
        <w:t>Vydání 2018</w:t>
      </w:r>
    </w:p>
    <w:p w:rsidR="006D5959" w:rsidRPr="003A38BA" w:rsidRDefault="006D5959" w:rsidP="008C55C5">
      <w:pPr>
        <w:pageBreakBefore/>
        <w:spacing w:before="8400" w:line="300" w:lineRule="exact"/>
        <w:ind w:left="0" w:firstLine="0"/>
        <w:rPr>
          <w:b/>
          <w:sz w:val="24"/>
        </w:rPr>
      </w:pPr>
      <w:r>
        <w:rPr>
          <w:b/>
          <w:sz w:val="24"/>
        </w:rPr>
        <w:lastRenderedPageBreak/>
        <w:t>Úvodní poznámka</w:t>
      </w:r>
      <w:bookmarkEnd w:id="4"/>
      <w:bookmarkEnd w:id="5"/>
      <w:bookmarkEnd w:id="6"/>
    </w:p>
    <w:p w:rsidR="006D5959" w:rsidRPr="003A38BA" w:rsidRDefault="006D5959" w:rsidP="006D5959"/>
    <w:p w:rsidR="006D5959" w:rsidRPr="003A38BA" w:rsidRDefault="00CC1B26" w:rsidP="00CC1B26">
      <w:pPr>
        <w:ind w:left="0" w:firstLine="0"/>
        <w:jc w:val="both"/>
      </w:pPr>
      <w:r>
        <w:t>„Technické zkušební podmínky pro systémy značení“ byly zpracovány Spolkovým ústavem pro silniční dopravu na pověření Spolkového ministerstva dopravy a digitální infrastruktury (BMVI) a odsouhlaseny zeměmi, jakož i zemskými experty na značení. Stanoviska průmyslových subjektů byla pořízena před zveřejněním Německou společností pro studie značení silnic (DSGS e.V.).</w:t>
      </w:r>
    </w:p>
    <w:p w:rsidR="00CC1B26" w:rsidRPr="003A38BA" w:rsidRDefault="003E1828" w:rsidP="004A2F9C">
      <w:pPr>
        <w:ind w:left="0" w:firstLine="0"/>
        <w:jc w:val="both"/>
      </w:pPr>
      <w:r>
        <w:t>Povinnosti vyplývající ze směrnice Evropského parlamentu a Rady (EU) 2015/1535 ze dne 9. září 2015 o postupu při poskytování informací v oblasti norem a technických předpisů a pravidel vztahujících se na služby informační společnosti (Úř. věst. L 241 ze dne 17.9.2015, s. 1) byly dodrženy.</w:t>
      </w:r>
    </w:p>
    <w:p w:rsidR="006D5959" w:rsidRPr="003A38BA" w:rsidRDefault="006D5959" w:rsidP="006D5959">
      <w:pPr>
        <w:jc w:val="center"/>
        <w:rPr>
          <w:b/>
          <w:sz w:val="28"/>
        </w:rPr>
        <w:sectPr w:rsidR="006D5959" w:rsidRPr="003A38BA">
          <w:headerReference w:type="even" r:id="rId8"/>
          <w:headerReference w:type="default" r:id="rId9"/>
          <w:footerReference w:type="even" r:id="rId10"/>
          <w:headerReference w:type="first" r:id="rId11"/>
          <w:footnotePr>
            <w:numRestart w:val="eachSect"/>
          </w:footnotePr>
          <w:pgSz w:w="11907" w:h="16840"/>
          <w:pgMar w:top="1134" w:right="992" w:bottom="1134" w:left="1418" w:header="720" w:footer="720" w:gutter="0"/>
          <w:pgNumType w:fmt="upperRoman" w:start="1"/>
          <w:cols w:space="720"/>
          <w:titlePg/>
        </w:sectPr>
      </w:pPr>
    </w:p>
    <w:sdt>
      <w:sdtPr>
        <w:rPr>
          <w:rFonts w:asciiTheme="minorHAnsi" w:eastAsiaTheme="minorHAnsi" w:hAnsiTheme="minorHAnsi" w:cstheme="minorBidi"/>
          <w:b w:val="0"/>
          <w:bCs w:val="0"/>
          <w:color w:val="auto"/>
          <w:sz w:val="22"/>
          <w:szCs w:val="22"/>
        </w:rPr>
        <w:id w:val="2540518"/>
        <w:docPartObj>
          <w:docPartGallery w:val="Table of Contents"/>
          <w:docPartUnique/>
        </w:docPartObj>
      </w:sdtPr>
      <w:sdtEndPr>
        <w:rPr>
          <w:sz w:val="24"/>
          <w:szCs w:val="24"/>
        </w:rPr>
      </w:sdtEndPr>
      <w:sdtContent>
        <w:p w:rsidR="002100A4" w:rsidRPr="003A38BA" w:rsidRDefault="002100A4">
          <w:pPr>
            <w:pStyle w:val="TOCHeading"/>
          </w:pPr>
          <w:r>
            <w:t>Obsah</w:t>
          </w:r>
        </w:p>
        <w:p w:rsidR="000519AF" w:rsidRDefault="004939B5">
          <w:pPr>
            <w:pStyle w:val="TOC1"/>
            <w:rPr>
              <w:rFonts w:asciiTheme="minorHAnsi" w:eastAsiaTheme="minorEastAsia" w:hAnsiTheme="minorHAnsi" w:cstheme="minorBidi"/>
              <w:b w:val="0"/>
              <w:sz w:val="22"/>
              <w:szCs w:val="22"/>
              <w:lang w:val="en-US" w:eastAsia="en-US"/>
            </w:rPr>
          </w:pPr>
          <w:r w:rsidRPr="003A38BA">
            <w:rPr>
              <w:rFonts w:asciiTheme="minorHAnsi" w:hAnsiTheme="minorHAnsi"/>
              <w:b w:val="0"/>
              <w:sz w:val="24"/>
              <w:szCs w:val="24"/>
            </w:rPr>
            <w:fldChar w:fldCharType="begin"/>
          </w:r>
          <w:r w:rsidR="002100A4" w:rsidRPr="003A38BA">
            <w:rPr>
              <w:rFonts w:asciiTheme="minorHAnsi" w:hAnsiTheme="minorHAnsi"/>
              <w:b w:val="0"/>
              <w:sz w:val="24"/>
              <w:szCs w:val="24"/>
            </w:rPr>
            <w:instrText xml:space="preserve"> TOC \o "1-3" \h \z \u </w:instrText>
          </w:r>
          <w:r w:rsidRPr="003A38BA">
            <w:rPr>
              <w:rFonts w:asciiTheme="minorHAnsi" w:hAnsiTheme="minorHAnsi"/>
              <w:b w:val="0"/>
              <w:sz w:val="24"/>
              <w:szCs w:val="24"/>
            </w:rPr>
            <w:fldChar w:fldCharType="separate"/>
          </w:r>
          <w:hyperlink w:anchor="_Toc12476235" w:history="1">
            <w:r w:rsidR="000519AF" w:rsidRPr="00A84A6D">
              <w:rPr>
                <w:rStyle w:val="Hyperlink"/>
                <w:rFonts w:eastAsiaTheme="majorEastAsia"/>
              </w:rPr>
              <w:t>1.</w:t>
            </w:r>
            <w:r w:rsidR="000519AF">
              <w:rPr>
                <w:rFonts w:asciiTheme="minorHAnsi" w:eastAsiaTheme="minorEastAsia" w:hAnsiTheme="minorHAnsi" w:cstheme="minorBidi"/>
                <w:b w:val="0"/>
                <w:sz w:val="22"/>
                <w:szCs w:val="22"/>
                <w:lang w:val="en-US" w:eastAsia="en-US"/>
              </w:rPr>
              <w:tab/>
            </w:r>
            <w:r w:rsidR="000519AF" w:rsidRPr="00A84A6D">
              <w:rPr>
                <w:rStyle w:val="Hyperlink"/>
                <w:rFonts w:eastAsiaTheme="majorEastAsia"/>
              </w:rPr>
              <w:t>Obecné informace</w:t>
            </w:r>
            <w:r w:rsidR="000519AF">
              <w:rPr>
                <w:webHidden/>
              </w:rPr>
              <w:tab/>
            </w:r>
            <w:r w:rsidR="000519AF">
              <w:rPr>
                <w:webHidden/>
              </w:rPr>
              <w:fldChar w:fldCharType="begin"/>
            </w:r>
            <w:r w:rsidR="000519AF">
              <w:rPr>
                <w:webHidden/>
              </w:rPr>
              <w:instrText xml:space="preserve"> PAGEREF _Toc12476235 \h </w:instrText>
            </w:r>
            <w:r w:rsidR="000519AF">
              <w:rPr>
                <w:webHidden/>
              </w:rPr>
            </w:r>
            <w:r w:rsidR="000519AF">
              <w:rPr>
                <w:webHidden/>
              </w:rPr>
              <w:fldChar w:fldCharType="separate"/>
            </w:r>
            <w:r w:rsidR="000519AF">
              <w:rPr>
                <w:webHidden/>
              </w:rPr>
              <w:t>5</w:t>
            </w:r>
            <w:r w:rsidR="000519AF">
              <w:rPr>
                <w:webHidden/>
              </w:rPr>
              <w:fldChar w:fldCharType="end"/>
            </w:r>
          </w:hyperlink>
        </w:p>
        <w:p w:rsidR="000519AF" w:rsidRDefault="000519AF">
          <w:pPr>
            <w:pStyle w:val="TOC1"/>
            <w:rPr>
              <w:rFonts w:asciiTheme="minorHAnsi" w:eastAsiaTheme="minorEastAsia" w:hAnsiTheme="minorHAnsi" w:cstheme="minorBidi"/>
              <w:b w:val="0"/>
              <w:sz w:val="22"/>
              <w:szCs w:val="22"/>
              <w:lang w:val="en-US" w:eastAsia="en-US"/>
            </w:rPr>
          </w:pPr>
          <w:hyperlink w:anchor="_Toc12476236" w:history="1">
            <w:r w:rsidRPr="00A84A6D">
              <w:rPr>
                <w:rStyle w:val="Hyperlink"/>
                <w:rFonts w:eastAsiaTheme="majorEastAsia"/>
              </w:rPr>
              <w:t>2.</w:t>
            </w:r>
            <w:r>
              <w:rPr>
                <w:rFonts w:asciiTheme="minorHAnsi" w:eastAsiaTheme="minorEastAsia" w:hAnsiTheme="minorHAnsi" w:cstheme="minorBidi"/>
                <w:b w:val="0"/>
                <w:sz w:val="22"/>
                <w:szCs w:val="22"/>
                <w:lang w:val="en-US" w:eastAsia="en-US"/>
              </w:rPr>
              <w:tab/>
            </w:r>
            <w:r w:rsidRPr="00A84A6D">
              <w:rPr>
                <w:rStyle w:val="Hyperlink"/>
                <w:rFonts w:eastAsiaTheme="majorEastAsia"/>
              </w:rPr>
              <w:t>Odkazy na normy</w:t>
            </w:r>
            <w:r>
              <w:rPr>
                <w:webHidden/>
              </w:rPr>
              <w:tab/>
            </w:r>
            <w:r>
              <w:rPr>
                <w:webHidden/>
              </w:rPr>
              <w:fldChar w:fldCharType="begin"/>
            </w:r>
            <w:r>
              <w:rPr>
                <w:webHidden/>
              </w:rPr>
              <w:instrText xml:space="preserve"> PAGEREF _Toc12476236 \h </w:instrText>
            </w:r>
            <w:r>
              <w:rPr>
                <w:webHidden/>
              </w:rPr>
            </w:r>
            <w:r>
              <w:rPr>
                <w:webHidden/>
              </w:rPr>
              <w:fldChar w:fldCharType="separate"/>
            </w:r>
            <w:r>
              <w:rPr>
                <w:webHidden/>
              </w:rPr>
              <w:t>5</w:t>
            </w:r>
            <w:r>
              <w:rPr>
                <w:webHidden/>
              </w:rPr>
              <w:fldChar w:fldCharType="end"/>
            </w:r>
          </w:hyperlink>
        </w:p>
        <w:p w:rsidR="000519AF" w:rsidRDefault="000519AF">
          <w:pPr>
            <w:pStyle w:val="TOC1"/>
            <w:rPr>
              <w:rFonts w:asciiTheme="minorHAnsi" w:eastAsiaTheme="minorEastAsia" w:hAnsiTheme="minorHAnsi" w:cstheme="minorBidi"/>
              <w:b w:val="0"/>
              <w:sz w:val="22"/>
              <w:szCs w:val="22"/>
              <w:lang w:val="en-US" w:eastAsia="en-US"/>
            </w:rPr>
          </w:pPr>
          <w:hyperlink w:anchor="_Toc12476237" w:history="1">
            <w:r w:rsidRPr="00A84A6D">
              <w:rPr>
                <w:rStyle w:val="Hyperlink"/>
                <w:rFonts w:eastAsiaTheme="majorEastAsia"/>
              </w:rPr>
              <w:t>3.</w:t>
            </w:r>
            <w:r>
              <w:rPr>
                <w:rFonts w:asciiTheme="minorHAnsi" w:eastAsiaTheme="minorEastAsia" w:hAnsiTheme="minorHAnsi" w:cstheme="minorBidi"/>
                <w:b w:val="0"/>
                <w:sz w:val="22"/>
                <w:szCs w:val="22"/>
                <w:lang w:val="en-US" w:eastAsia="en-US"/>
              </w:rPr>
              <w:tab/>
            </w:r>
            <w:r w:rsidRPr="00A84A6D">
              <w:rPr>
                <w:rStyle w:val="Hyperlink"/>
                <w:rFonts w:eastAsiaTheme="majorEastAsia"/>
              </w:rPr>
              <w:t>Termíny a definice</w:t>
            </w:r>
            <w:r>
              <w:rPr>
                <w:webHidden/>
              </w:rPr>
              <w:tab/>
            </w:r>
            <w:r>
              <w:rPr>
                <w:webHidden/>
              </w:rPr>
              <w:fldChar w:fldCharType="begin"/>
            </w:r>
            <w:r>
              <w:rPr>
                <w:webHidden/>
              </w:rPr>
              <w:instrText xml:space="preserve"> PAGEREF _Toc12476237 \h </w:instrText>
            </w:r>
            <w:r>
              <w:rPr>
                <w:webHidden/>
              </w:rPr>
            </w:r>
            <w:r>
              <w:rPr>
                <w:webHidden/>
              </w:rPr>
              <w:fldChar w:fldCharType="separate"/>
            </w:r>
            <w:r>
              <w:rPr>
                <w:webHidden/>
              </w:rPr>
              <w:t>5</w:t>
            </w:r>
            <w:r>
              <w:rPr>
                <w:webHidden/>
              </w:rPr>
              <w:fldChar w:fldCharType="end"/>
            </w:r>
          </w:hyperlink>
        </w:p>
        <w:p w:rsidR="000519AF" w:rsidRDefault="000519AF">
          <w:pPr>
            <w:pStyle w:val="TOC1"/>
            <w:rPr>
              <w:rFonts w:asciiTheme="minorHAnsi" w:eastAsiaTheme="minorEastAsia" w:hAnsiTheme="minorHAnsi" w:cstheme="minorBidi"/>
              <w:b w:val="0"/>
              <w:sz w:val="22"/>
              <w:szCs w:val="22"/>
              <w:lang w:val="en-US" w:eastAsia="en-US"/>
            </w:rPr>
          </w:pPr>
          <w:hyperlink w:anchor="_Toc12476238" w:history="1">
            <w:r w:rsidRPr="00A84A6D">
              <w:rPr>
                <w:rStyle w:val="Hyperlink"/>
                <w:rFonts w:eastAsiaTheme="majorEastAsia"/>
              </w:rPr>
              <w:t>4.</w:t>
            </w:r>
            <w:r>
              <w:rPr>
                <w:rFonts w:asciiTheme="minorHAnsi" w:eastAsiaTheme="minorEastAsia" w:hAnsiTheme="minorHAnsi" w:cstheme="minorBidi"/>
                <w:b w:val="0"/>
                <w:sz w:val="22"/>
                <w:szCs w:val="22"/>
                <w:lang w:val="en-US" w:eastAsia="en-US"/>
              </w:rPr>
              <w:tab/>
            </w:r>
            <w:r w:rsidRPr="00A84A6D">
              <w:rPr>
                <w:rStyle w:val="Hyperlink"/>
                <w:rFonts w:eastAsiaTheme="majorEastAsia"/>
              </w:rPr>
              <w:t>Zátěžové zkoušky systémů značení</w:t>
            </w:r>
            <w:r>
              <w:rPr>
                <w:webHidden/>
              </w:rPr>
              <w:tab/>
            </w:r>
            <w:r>
              <w:rPr>
                <w:webHidden/>
              </w:rPr>
              <w:fldChar w:fldCharType="begin"/>
            </w:r>
            <w:r>
              <w:rPr>
                <w:webHidden/>
              </w:rPr>
              <w:instrText xml:space="preserve"> PAGEREF _Toc12476238 \h </w:instrText>
            </w:r>
            <w:r>
              <w:rPr>
                <w:webHidden/>
              </w:rPr>
            </w:r>
            <w:r>
              <w:rPr>
                <w:webHidden/>
              </w:rPr>
              <w:fldChar w:fldCharType="separate"/>
            </w:r>
            <w:r>
              <w:rPr>
                <w:webHidden/>
              </w:rPr>
              <w:t>6</w:t>
            </w:r>
            <w:r>
              <w:rPr>
                <w:webHidden/>
              </w:rPr>
              <w:fldChar w:fldCharType="end"/>
            </w:r>
          </w:hyperlink>
        </w:p>
        <w:p w:rsidR="000519AF" w:rsidRDefault="000519AF">
          <w:pPr>
            <w:pStyle w:val="TOC1"/>
            <w:rPr>
              <w:rFonts w:asciiTheme="minorHAnsi" w:eastAsiaTheme="minorEastAsia" w:hAnsiTheme="minorHAnsi" w:cstheme="minorBidi"/>
              <w:b w:val="0"/>
              <w:sz w:val="22"/>
              <w:szCs w:val="22"/>
              <w:lang w:val="en-US" w:eastAsia="en-US"/>
            </w:rPr>
          </w:pPr>
          <w:hyperlink w:anchor="_Toc12476239" w:history="1">
            <w:r w:rsidRPr="00A84A6D">
              <w:rPr>
                <w:rStyle w:val="Hyperlink"/>
                <w:rFonts w:eastAsiaTheme="majorEastAsia" w:cs="Arial"/>
              </w:rPr>
              <w:t>4.1.</w:t>
            </w:r>
            <w:r>
              <w:rPr>
                <w:rFonts w:asciiTheme="minorHAnsi" w:eastAsiaTheme="minorEastAsia" w:hAnsiTheme="minorHAnsi" w:cstheme="minorBidi"/>
                <w:b w:val="0"/>
                <w:sz w:val="22"/>
                <w:szCs w:val="22"/>
                <w:lang w:val="en-US" w:eastAsia="en-US"/>
              </w:rPr>
              <w:tab/>
            </w:r>
            <w:r w:rsidRPr="00A84A6D">
              <w:rPr>
                <w:rStyle w:val="Hyperlink"/>
                <w:rFonts w:eastAsiaTheme="majorEastAsia"/>
              </w:rPr>
              <w:t>Okružní zkušební zařízení</w:t>
            </w:r>
            <w:r>
              <w:rPr>
                <w:webHidden/>
              </w:rPr>
              <w:tab/>
            </w:r>
            <w:r>
              <w:rPr>
                <w:webHidden/>
              </w:rPr>
              <w:fldChar w:fldCharType="begin"/>
            </w:r>
            <w:r>
              <w:rPr>
                <w:webHidden/>
              </w:rPr>
              <w:instrText xml:space="preserve"> PAGEREF _Toc12476239 \h </w:instrText>
            </w:r>
            <w:r>
              <w:rPr>
                <w:webHidden/>
              </w:rPr>
            </w:r>
            <w:r>
              <w:rPr>
                <w:webHidden/>
              </w:rPr>
              <w:fldChar w:fldCharType="separate"/>
            </w:r>
            <w:r>
              <w:rPr>
                <w:webHidden/>
              </w:rPr>
              <w:t>6</w:t>
            </w:r>
            <w:r>
              <w:rPr>
                <w:webHidden/>
              </w:rPr>
              <w:fldChar w:fldCharType="end"/>
            </w:r>
          </w:hyperlink>
        </w:p>
        <w:p w:rsidR="000519AF" w:rsidRDefault="000519AF">
          <w:pPr>
            <w:pStyle w:val="TOC1"/>
            <w:rPr>
              <w:rFonts w:asciiTheme="minorHAnsi" w:eastAsiaTheme="minorEastAsia" w:hAnsiTheme="minorHAnsi" w:cstheme="minorBidi"/>
              <w:b w:val="0"/>
              <w:sz w:val="22"/>
              <w:szCs w:val="22"/>
              <w:lang w:val="en-US" w:eastAsia="en-US"/>
            </w:rPr>
          </w:pPr>
          <w:hyperlink w:anchor="_Toc12476240" w:history="1">
            <w:r w:rsidRPr="00A84A6D">
              <w:rPr>
                <w:rStyle w:val="Hyperlink"/>
                <w:rFonts w:eastAsiaTheme="majorEastAsia" w:cs="Arial"/>
              </w:rPr>
              <w:t>4.1.1.</w:t>
            </w:r>
            <w:r>
              <w:rPr>
                <w:rFonts w:asciiTheme="minorHAnsi" w:eastAsiaTheme="minorEastAsia" w:hAnsiTheme="minorHAnsi" w:cstheme="minorBidi"/>
                <w:b w:val="0"/>
                <w:sz w:val="22"/>
                <w:szCs w:val="22"/>
                <w:lang w:val="en-US" w:eastAsia="en-US"/>
              </w:rPr>
              <w:tab/>
            </w:r>
            <w:r w:rsidRPr="00A84A6D">
              <w:rPr>
                <w:rStyle w:val="Hyperlink"/>
                <w:rFonts w:eastAsiaTheme="majorEastAsia"/>
              </w:rPr>
              <w:t>Kola</w:t>
            </w:r>
            <w:r>
              <w:rPr>
                <w:webHidden/>
              </w:rPr>
              <w:tab/>
            </w:r>
            <w:r>
              <w:rPr>
                <w:webHidden/>
              </w:rPr>
              <w:fldChar w:fldCharType="begin"/>
            </w:r>
            <w:r>
              <w:rPr>
                <w:webHidden/>
              </w:rPr>
              <w:instrText xml:space="preserve"> PAGEREF _Toc12476240 \h </w:instrText>
            </w:r>
            <w:r>
              <w:rPr>
                <w:webHidden/>
              </w:rPr>
            </w:r>
            <w:r>
              <w:rPr>
                <w:webHidden/>
              </w:rPr>
              <w:fldChar w:fldCharType="separate"/>
            </w:r>
            <w:r>
              <w:rPr>
                <w:webHidden/>
              </w:rPr>
              <w:t>6</w:t>
            </w:r>
            <w:r>
              <w:rPr>
                <w:webHidden/>
              </w:rPr>
              <w:fldChar w:fldCharType="end"/>
            </w:r>
          </w:hyperlink>
        </w:p>
        <w:p w:rsidR="000519AF" w:rsidRDefault="000519AF">
          <w:pPr>
            <w:pStyle w:val="TOC1"/>
            <w:rPr>
              <w:rFonts w:asciiTheme="minorHAnsi" w:eastAsiaTheme="minorEastAsia" w:hAnsiTheme="minorHAnsi" w:cstheme="minorBidi"/>
              <w:b w:val="0"/>
              <w:sz w:val="22"/>
              <w:szCs w:val="22"/>
              <w:lang w:val="en-US" w:eastAsia="en-US"/>
            </w:rPr>
          </w:pPr>
          <w:hyperlink w:anchor="_Toc12476241" w:history="1">
            <w:r w:rsidRPr="00A84A6D">
              <w:rPr>
                <w:rStyle w:val="Hyperlink"/>
                <w:rFonts w:eastAsiaTheme="majorEastAsia" w:cs="Arial"/>
              </w:rPr>
              <w:t>4.1.2.</w:t>
            </w:r>
            <w:r>
              <w:rPr>
                <w:rFonts w:asciiTheme="minorHAnsi" w:eastAsiaTheme="minorEastAsia" w:hAnsiTheme="minorHAnsi" w:cstheme="minorBidi"/>
                <w:b w:val="0"/>
                <w:sz w:val="22"/>
                <w:szCs w:val="22"/>
                <w:lang w:val="en-US" w:eastAsia="en-US"/>
              </w:rPr>
              <w:tab/>
            </w:r>
            <w:r w:rsidRPr="00A84A6D">
              <w:rPr>
                <w:rStyle w:val="Hyperlink"/>
                <w:rFonts w:eastAsiaTheme="majorEastAsia"/>
              </w:rPr>
              <w:t>Zkušební těleso</w:t>
            </w:r>
            <w:r>
              <w:rPr>
                <w:webHidden/>
              </w:rPr>
              <w:tab/>
            </w:r>
            <w:r>
              <w:rPr>
                <w:webHidden/>
              </w:rPr>
              <w:fldChar w:fldCharType="begin"/>
            </w:r>
            <w:r>
              <w:rPr>
                <w:webHidden/>
              </w:rPr>
              <w:instrText xml:space="preserve"> PAGEREF _Toc12476241 \h </w:instrText>
            </w:r>
            <w:r>
              <w:rPr>
                <w:webHidden/>
              </w:rPr>
            </w:r>
            <w:r>
              <w:rPr>
                <w:webHidden/>
              </w:rPr>
              <w:fldChar w:fldCharType="separate"/>
            </w:r>
            <w:r>
              <w:rPr>
                <w:webHidden/>
              </w:rPr>
              <w:t>6</w:t>
            </w:r>
            <w:r>
              <w:rPr>
                <w:webHidden/>
              </w:rPr>
              <w:fldChar w:fldCharType="end"/>
            </w:r>
          </w:hyperlink>
        </w:p>
        <w:p w:rsidR="000519AF" w:rsidRDefault="000519AF">
          <w:pPr>
            <w:pStyle w:val="TOC1"/>
            <w:rPr>
              <w:rFonts w:asciiTheme="minorHAnsi" w:eastAsiaTheme="minorEastAsia" w:hAnsiTheme="minorHAnsi" w:cstheme="minorBidi"/>
              <w:b w:val="0"/>
              <w:sz w:val="22"/>
              <w:szCs w:val="22"/>
              <w:lang w:val="en-US" w:eastAsia="en-US"/>
            </w:rPr>
          </w:pPr>
          <w:hyperlink w:anchor="_Toc12476242" w:history="1">
            <w:r w:rsidRPr="00A84A6D">
              <w:rPr>
                <w:rStyle w:val="Hyperlink"/>
                <w:rFonts w:eastAsiaTheme="majorEastAsia"/>
              </w:rPr>
              <w:t>4.1.3.</w:t>
            </w:r>
            <w:r>
              <w:rPr>
                <w:rFonts w:asciiTheme="minorHAnsi" w:eastAsiaTheme="minorEastAsia" w:hAnsiTheme="minorHAnsi" w:cstheme="minorBidi"/>
                <w:b w:val="0"/>
                <w:sz w:val="22"/>
                <w:szCs w:val="22"/>
                <w:lang w:val="en-US" w:eastAsia="en-US"/>
              </w:rPr>
              <w:tab/>
            </w:r>
            <w:r w:rsidRPr="00A84A6D">
              <w:rPr>
                <w:rStyle w:val="Hyperlink"/>
                <w:rFonts w:eastAsiaTheme="majorEastAsia"/>
              </w:rPr>
              <w:t>Systém čištění</w:t>
            </w:r>
            <w:r>
              <w:rPr>
                <w:webHidden/>
              </w:rPr>
              <w:tab/>
            </w:r>
            <w:r>
              <w:rPr>
                <w:webHidden/>
              </w:rPr>
              <w:fldChar w:fldCharType="begin"/>
            </w:r>
            <w:r>
              <w:rPr>
                <w:webHidden/>
              </w:rPr>
              <w:instrText xml:space="preserve"> PAGEREF _Toc12476242 \h </w:instrText>
            </w:r>
            <w:r>
              <w:rPr>
                <w:webHidden/>
              </w:rPr>
            </w:r>
            <w:r>
              <w:rPr>
                <w:webHidden/>
              </w:rPr>
              <w:fldChar w:fldCharType="separate"/>
            </w:r>
            <w:r>
              <w:rPr>
                <w:webHidden/>
              </w:rPr>
              <w:t>7</w:t>
            </w:r>
            <w:r>
              <w:rPr>
                <w:webHidden/>
              </w:rPr>
              <w:fldChar w:fldCharType="end"/>
            </w:r>
          </w:hyperlink>
        </w:p>
        <w:p w:rsidR="000519AF" w:rsidRDefault="000519AF">
          <w:pPr>
            <w:pStyle w:val="TOC1"/>
            <w:rPr>
              <w:rFonts w:asciiTheme="minorHAnsi" w:eastAsiaTheme="minorEastAsia" w:hAnsiTheme="minorHAnsi" w:cstheme="minorBidi"/>
              <w:b w:val="0"/>
              <w:sz w:val="22"/>
              <w:szCs w:val="22"/>
              <w:lang w:val="en-US" w:eastAsia="en-US"/>
            </w:rPr>
          </w:pPr>
          <w:hyperlink w:anchor="_Toc12476243" w:history="1">
            <w:r w:rsidRPr="00A84A6D">
              <w:rPr>
                <w:rStyle w:val="Hyperlink"/>
                <w:rFonts w:eastAsiaTheme="majorEastAsia"/>
              </w:rPr>
              <w:t>4.2.</w:t>
            </w:r>
            <w:r>
              <w:rPr>
                <w:rFonts w:asciiTheme="minorHAnsi" w:eastAsiaTheme="minorEastAsia" w:hAnsiTheme="minorHAnsi" w:cstheme="minorBidi"/>
                <w:b w:val="0"/>
                <w:sz w:val="22"/>
                <w:szCs w:val="22"/>
                <w:lang w:val="en-US" w:eastAsia="en-US"/>
              </w:rPr>
              <w:tab/>
            </w:r>
            <w:r w:rsidRPr="00A84A6D">
              <w:rPr>
                <w:rStyle w:val="Hyperlink"/>
                <w:rFonts w:eastAsiaTheme="majorEastAsia"/>
              </w:rPr>
              <w:t>Příprava zkušebních těles</w:t>
            </w:r>
            <w:r>
              <w:rPr>
                <w:webHidden/>
              </w:rPr>
              <w:tab/>
            </w:r>
            <w:r>
              <w:rPr>
                <w:webHidden/>
              </w:rPr>
              <w:fldChar w:fldCharType="begin"/>
            </w:r>
            <w:r>
              <w:rPr>
                <w:webHidden/>
              </w:rPr>
              <w:instrText xml:space="preserve"> PAGEREF _Toc12476243 \h </w:instrText>
            </w:r>
            <w:r>
              <w:rPr>
                <w:webHidden/>
              </w:rPr>
            </w:r>
            <w:r>
              <w:rPr>
                <w:webHidden/>
              </w:rPr>
              <w:fldChar w:fldCharType="separate"/>
            </w:r>
            <w:r>
              <w:rPr>
                <w:webHidden/>
              </w:rPr>
              <w:t>7</w:t>
            </w:r>
            <w:r>
              <w:rPr>
                <w:webHidden/>
              </w:rPr>
              <w:fldChar w:fldCharType="end"/>
            </w:r>
          </w:hyperlink>
        </w:p>
        <w:p w:rsidR="000519AF" w:rsidRDefault="000519AF">
          <w:pPr>
            <w:pStyle w:val="TOC1"/>
            <w:rPr>
              <w:rFonts w:asciiTheme="minorHAnsi" w:eastAsiaTheme="minorEastAsia" w:hAnsiTheme="minorHAnsi" w:cstheme="minorBidi"/>
              <w:b w:val="0"/>
              <w:sz w:val="22"/>
              <w:szCs w:val="22"/>
              <w:lang w:val="en-US" w:eastAsia="en-US"/>
            </w:rPr>
          </w:pPr>
          <w:hyperlink w:anchor="_Toc12476244" w:history="1">
            <w:r w:rsidRPr="00A84A6D">
              <w:rPr>
                <w:rStyle w:val="Hyperlink"/>
                <w:rFonts w:eastAsiaTheme="majorEastAsia"/>
              </w:rPr>
              <w:t>4.2.1.</w:t>
            </w:r>
            <w:r>
              <w:rPr>
                <w:rFonts w:asciiTheme="minorHAnsi" w:eastAsiaTheme="minorEastAsia" w:hAnsiTheme="minorHAnsi" w:cstheme="minorBidi"/>
                <w:b w:val="0"/>
                <w:sz w:val="22"/>
                <w:szCs w:val="22"/>
                <w:lang w:val="en-US" w:eastAsia="en-US"/>
              </w:rPr>
              <w:tab/>
            </w:r>
            <w:r w:rsidRPr="00A84A6D">
              <w:rPr>
                <w:rStyle w:val="Hyperlink"/>
                <w:rFonts w:eastAsiaTheme="majorEastAsia"/>
              </w:rPr>
              <w:t>Aplikace</w:t>
            </w:r>
            <w:r>
              <w:rPr>
                <w:webHidden/>
              </w:rPr>
              <w:tab/>
            </w:r>
            <w:r>
              <w:rPr>
                <w:webHidden/>
              </w:rPr>
              <w:fldChar w:fldCharType="begin"/>
            </w:r>
            <w:r>
              <w:rPr>
                <w:webHidden/>
              </w:rPr>
              <w:instrText xml:space="preserve"> PAGEREF _Toc12476244 \h </w:instrText>
            </w:r>
            <w:r>
              <w:rPr>
                <w:webHidden/>
              </w:rPr>
            </w:r>
            <w:r>
              <w:rPr>
                <w:webHidden/>
              </w:rPr>
              <w:fldChar w:fldCharType="separate"/>
            </w:r>
            <w:r>
              <w:rPr>
                <w:webHidden/>
              </w:rPr>
              <w:t>7</w:t>
            </w:r>
            <w:r>
              <w:rPr>
                <w:webHidden/>
              </w:rPr>
              <w:fldChar w:fldCharType="end"/>
            </w:r>
          </w:hyperlink>
        </w:p>
        <w:p w:rsidR="000519AF" w:rsidRDefault="000519AF">
          <w:pPr>
            <w:pStyle w:val="TOC1"/>
            <w:rPr>
              <w:rFonts w:asciiTheme="minorHAnsi" w:eastAsiaTheme="minorEastAsia" w:hAnsiTheme="minorHAnsi" w:cstheme="minorBidi"/>
              <w:b w:val="0"/>
              <w:sz w:val="22"/>
              <w:szCs w:val="22"/>
              <w:lang w:val="en-US" w:eastAsia="en-US"/>
            </w:rPr>
          </w:pPr>
          <w:hyperlink w:anchor="_Toc12476245" w:history="1">
            <w:r w:rsidRPr="00A84A6D">
              <w:rPr>
                <w:rStyle w:val="Hyperlink"/>
                <w:rFonts w:eastAsiaTheme="majorEastAsia"/>
              </w:rPr>
              <w:t>4.2.2.</w:t>
            </w:r>
            <w:r>
              <w:rPr>
                <w:rFonts w:asciiTheme="minorHAnsi" w:eastAsiaTheme="minorEastAsia" w:hAnsiTheme="minorHAnsi" w:cstheme="minorBidi"/>
                <w:b w:val="0"/>
                <w:sz w:val="22"/>
                <w:szCs w:val="22"/>
                <w:lang w:val="en-US" w:eastAsia="en-US"/>
              </w:rPr>
              <w:tab/>
            </w:r>
            <w:r w:rsidRPr="00A84A6D">
              <w:rPr>
                <w:rStyle w:val="Hyperlink"/>
                <w:rFonts w:eastAsiaTheme="majorEastAsia"/>
              </w:rPr>
              <w:t>Měření vztažená k aplikaci</w:t>
            </w:r>
            <w:r>
              <w:rPr>
                <w:webHidden/>
              </w:rPr>
              <w:tab/>
            </w:r>
            <w:r>
              <w:rPr>
                <w:webHidden/>
              </w:rPr>
              <w:fldChar w:fldCharType="begin"/>
            </w:r>
            <w:r>
              <w:rPr>
                <w:webHidden/>
              </w:rPr>
              <w:instrText xml:space="preserve"> PAGEREF _Toc12476245 \h </w:instrText>
            </w:r>
            <w:r>
              <w:rPr>
                <w:webHidden/>
              </w:rPr>
            </w:r>
            <w:r>
              <w:rPr>
                <w:webHidden/>
              </w:rPr>
              <w:fldChar w:fldCharType="separate"/>
            </w:r>
            <w:r>
              <w:rPr>
                <w:webHidden/>
              </w:rPr>
              <w:t>8</w:t>
            </w:r>
            <w:r>
              <w:rPr>
                <w:webHidden/>
              </w:rPr>
              <w:fldChar w:fldCharType="end"/>
            </w:r>
          </w:hyperlink>
        </w:p>
        <w:p w:rsidR="000519AF" w:rsidRDefault="000519AF">
          <w:pPr>
            <w:pStyle w:val="TOC1"/>
            <w:rPr>
              <w:rFonts w:asciiTheme="minorHAnsi" w:eastAsiaTheme="minorEastAsia" w:hAnsiTheme="minorHAnsi" w:cstheme="minorBidi"/>
              <w:b w:val="0"/>
              <w:sz w:val="22"/>
              <w:szCs w:val="22"/>
              <w:lang w:val="en-US" w:eastAsia="en-US"/>
            </w:rPr>
          </w:pPr>
          <w:hyperlink w:anchor="_Toc12476246" w:history="1">
            <w:r w:rsidRPr="00A84A6D">
              <w:rPr>
                <w:rStyle w:val="Hyperlink"/>
                <w:rFonts w:eastAsiaTheme="majorEastAsia" w:cs="Arial"/>
              </w:rPr>
              <w:t>4.2.3.</w:t>
            </w:r>
            <w:r>
              <w:rPr>
                <w:rFonts w:asciiTheme="minorHAnsi" w:eastAsiaTheme="minorEastAsia" w:hAnsiTheme="minorHAnsi" w:cstheme="minorBidi"/>
                <w:b w:val="0"/>
                <w:sz w:val="22"/>
                <w:szCs w:val="22"/>
                <w:lang w:val="en-US" w:eastAsia="en-US"/>
              </w:rPr>
              <w:tab/>
            </w:r>
            <w:r w:rsidRPr="00A84A6D">
              <w:rPr>
                <w:rStyle w:val="Hyperlink"/>
                <w:rFonts w:eastAsiaTheme="majorEastAsia"/>
              </w:rPr>
              <w:t>Odběr vzorků</w:t>
            </w:r>
            <w:r>
              <w:rPr>
                <w:webHidden/>
              </w:rPr>
              <w:tab/>
            </w:r>
            <w:r>
              <w:rPr>
                <w:webHidden/>
              </w:rPr>
              <w:fldChar w:fldCharType="begin"/>
            </w:r>
            <w:r>
              <w:rPr>
                <w:webHidden/>
              </w:rPr>
              <w:instrText xml:space="preserve"> PAGEREF _Toc12476246 \h </w:instrText>
            </w:r>
            <w:r>
              <w:rPr>
                <w:webHidden/>
              </w:rPr>
            </w:r>
            <w:r>
              <w:rPr>
                <w:webHidden/>
              </w:rPr>
              <w:fldChar w:fldCharType="separate"/>
            </w:r>
            <w:r>
              <w:rPr>
                <w:webHidden/>
              </w:rPr>
              <w:t>9</w:t>
            </w:r>
            <w:r>
              <w:rPr>
                <w:webHidden/>
              </w:rPr>
              <w:fldChar w:fldCharType="end"/>
            </w:r>
          </w:hyperlink>
        </w:p>
        <w:p w:rsidR="000519AF" w:rsidRDefault="000519AF">
          <w:pPr>
            <w:pStyle w:val="TOC1"/>
            <w:rPr>
              <w:rFonts w:asciiTheme="minorHAnsi" w:eastAsiaTheme="minorEastAsia" w:hAnsiTheme="minorHAnsi" w:cstheme="minorBidi"/>
              <w:b w:val="0"/>
              <w:sz w:val="22"/>
              <w:szCs w:val="22"/>
              <w:lang w:val="en-US" w:eastAsia="en-US"/>
            </w:rPr>
          </w:pPr>
          <w:hyperlink w:anchor="_Toc12476247" w:history="1">
            <w:r w:rsidRPr="00A84A6D">
              <w:rPr>
                <w:rStyle w:val="Hyperlink"/>
                <w:rFonts w:eastAsiaTheme="majorEastAsia" w:cs="Arial"/>
              </w:rPr>
              <w:t>4.2.4.</w:t>
            </w:r>
            <w:r>
              <w:rPr>
                <w:rFonts w:asciiTheme="minorHAnsi" w:eastAsiaTheme="minorEastAsia" w:hAnsiTheme="minorHAnsi" w:cstheme="minorBidi"/>
                <w:b w:val="0"/>
                <w:sz w:val="22"/>
                <w:szCs w:val="22"/>
                <w:lang w:val="en-US" w:eastAsia="en-US"/>
              </w:rPr>
              <w:tab/>
            </w:r>
            <w:r w:rsidRPr="00A84A6D">
              <w:rPr>
                <w:rStyle w:val="Hyperlink"/>
                <w:rFonts w:eastAsiaTheme="majorEastAsia"/>
              </w:rPr>
              <w:t>Doba přípravy</w:t>
            </w:r>
            <w:r>
              <w:rPr>
                <w:webHidden/>
              </w:rPr>
              <w:tab/>
            </w:r>
            <w:r>
              <w:rPr>
                <w:webHidden/>
              </w:rPr>
              <w:fldChar w:fldCharType="begin"/>
            </w:r>
            <w:r>
              <w:rPr>
                <w:webHidden/>
              </w:rPr>
              <w:instrText xml:space="preserve"> PAGEREF _Toc12476247 \h </w:instrText>
            </w:r>
            <w:r>
              <w:rPr>
                <w:webHidden/>
              </w:rPr>
            </w:r>
            <w:r>
              <w:rPr>
                <w:webHidden/>
              </w:rPr>
              <w:fldChar w:fldCharType="separate"/>
            </w:r>
            <w:r>
              <w:rPr>
                <w:webHidden/>
              </w:rPr>
              <w:t>9</w:t>
            </w:r>
            <w:r>
              <w:rPr>
                <w:webHidden/>
              </w:rPr>
              <w:fldChar w:fldCharType="end"/>
            </w:r>
          </w:hyperlink>
        </w:p>
        <w:p w:rsidR="000519AF" w:rsidRDefault="000519AF">
          <w:pPr>
            <w:pStyle w:val="TOC1"/>
            <w:rPr>
              <w:rFonts w:asciiTheme="minorHAnsi" w:eastAsiaTheme="minorEastAsia" w:hAnsiTheme="minorHAnsi" w:cstheme="minorBidi"/>
              <w:b w:val="0"/>
              <w:sz w:val="22"/>
              <w:szCs w:val="22"/>
              <w:lang w:val="en-US" w:eastAsia="en-US"/>
            </w:rPr>
          </w:pPr>
          <w:hyperlink w:anchor="_Toc12476248" w:history="1">
            <w:r w:rsidRPr="00A84A6D">
              <w:rPr>
                <w:rStyle w:val="Hyperlink"/>
                <w:rFonts w:eastAsiaTheme="majorEastAsia"/>
              </w:rPr>
              <w:t>4.2.5.</w:t>
            </w:r>
            <w:r>
              <w:rPr>
                <w:rFonts w:asciiTheme="minorHAnsi" w:eastAsiaTheme="minorEastAsia" w:hAnsiTheme="minorHAnsi" w:cstheme="minorBidi"/>
                <w:b w:val="0"/>
                <w:sz w:val="22"/>
                <w:szCs w:val="22"/>
                <w:lang w:val="en-US" w:eastAsia="en-US"/>
              </w:rPr>
              <w:tab/>
            </w:r>
            <w:r w:rsidRPr="00A84A6D">
              <w:rPr>
                <w:rStyle w:val="Hyperlink"/>
                <w:rFonts w:eastAsiaTheme="majorEastAsia"/>
              </w:rPr>
              <w:t>Směr aplikace</w:t>
            </w:r>
            <w:r>
              <w:rPr>
                <w:webHidden/>
              </w:rPr>
              <w:tab/>
            </w:r>
            <w:r>
              <w:rPr>
                <w:webHidden/>
              </w:rPr>
              <w:fldChar w:fldCharType="begin"/>
            </w:r>
            <w:r>
              <w:rPr>
                <w:webHidden/>
              </w:rPr>
              <w:instrText xml:space="preserve"> PAGEREF _Toc12476248 \h </w:instrText>
            </w:r>
            <w:r>
              <w:rPr>
                <w:webHidden/>
              </w:rPr>
            </w:r>
            <w:r>
              <w:rPr>
                <w:webHidden/>
              </w:rPr>
              <w:fldChar w:fldCharType="separate"/>
            </w:r>
            <w:r>
              <w:rPr>
                <w:webHidden/>
              </w:rPr>
              <w:t>9</w:t>
            </w:r>
            <w:r>
              <w:rPr>
                <w:webHidden/>
              </w:rPr>
              <w:fldChar w:fldCharType="end"/>
            </w:r>
          </w:hyperlink>
        </w:p>
        <w:p w:rsidR="000519AF" w:rsidRDefault="000519AF">
          <w:pPr>
            <w:pStyle w:val="TOC1"/>
            <w:rPr>
              <w:rFonts w:asciiTheme="minorHAnsi" w:eastAsiaTheme="minorEastAsia" w:hAnsiTheme="minorHAnsi" w:cstheme="minorBidi"/>
              <w:b w:val="0"/>
              <w:sz w:val="22"/>
              <w:szCs w:val="22"/>
              <w:lang w:val="en-US" w:eastAsia="en-US"/>
            </w:rPr>
          </w:pPr>
          <w:hyperlink w:anchor="_Toc12476249" w:history="1">
            <w:r w:rsidRPr="00A84A6D">
              <w:rPr>
                <w:rStyle w:val="Hyperlink"/>
                <w:rFonts w:eastAsiaTheme="majorEastAsia" w:cs="Arial"/>
              </w:rPr>
              <w:t>4.3.</w:t>
            </w:r>
            <w:r>
              <w:rPr>
                <w:rFonts w:asciiTheme="minorHAnsi" w:eastAsiaTheme="minorEastAsia" w:hAnsiTheme="minorHAnsi" w:cstheme="minorBidi"/>
                <w:b w:val="0"/>
                <w:sz w:val="22"/>
                <w:szCs w:val="22"/>
                <w:lang w:val="en-US" w:eastAsia="en-US"/>
              </w:rPr>
              <w:tab/>
            </w:r>
            <w:r w:rsidRPr="00A84A6D">
              <w:rPr>
                <w:rStyle w:val="Hyperlink"/>
                <w:rFonts w:eastAsiaTheme="majorEastAsia"/>
              </w:rPr>
              <w:t>Referenční vzorek</w:t>
            </w:r>
            <w:r>
              <w:rPr>
                <w:webHidden/>
              </w:rPr>
              <w:tab/>
            </w:r>
            <w:r>
              <w:rPr>
                <w:webHidden/>
              </w:rPr>
              <w:fldChar w:fldCharType="begin"/>
            </w:r>
            <w:r>
              <w:rPr>
                <w:webHidden/>
              </w:rPr>
              <w:instrText xml:space="preserve"> PAGEREF _Toc12476249 \h </w:instrText>
            </w:r>
            <w:r>
              <w:rPr>
                <w:webHidden/>
              </w:rPr>
            </w:r>
            <w:r>
              <w:rPr>
                <w:webHidden/>
              </w:rPr>
              <w:fldChar w:fldCharType="separate"/>
            </w:r>
            <w:r>
              <w:rPr>
                <w:webHidden/>
              </w:rPr>
              <w:t>9</w:t>
            </w:r>
            <w:r>
              <w:rPr>
                <w:webHidden/>
              </w:rPr>
              <w:fldChar w:fldCharType="end"/>
            </w:r>
          </w:hyperlink>
        </w:p>
        <w:p w:rsidR="000519AF" w:rsidRDefault="000519AF">
          <w:pPr>
            <w:pStyle w:val="TOC1"/>
            <w:rPr>
              <w:rFonts w:asciiTheme="minorHAnsi" w:eastAsiaTheme="minorEastAsia" w:hAnsiTheme="minorHAnsi" w:cstheme="minorBidi"/>
              <w:b w:val="0"/>
              <w:sz w:val="22"/>
              <w:szCs w:val="22"/>
              <w:lang w:val="en-US" w:eastAsia="en-US"/>
            </w:rPr>
          </w:pPr>
          <w:hyperlink w:anchor="_Toc12476250" w:history="1">
            <w:r w:rsidRPr="00A84A6D">
              <w:rPr>
                <w:rStyle w:val="Hyperlink"/>
                <w:rFonts w:eastAsiaTheme="majorEastAsia"/>
              </w:rPr>
              <w:t>4.4.</w:t>
            </w:r>
            <w:r>
              <w:rPr>
                <w:rFonts w:asciiTheme="minorHAnsi" w:eastAsiaTheme="minorEastAsia" w:hAnsiTheme="minorHAnsi" w:cstheme="minorBidi"/>
                <w:b w:val="0"/>
                <w:sz w:val="22"/>
                <w:szCs w:val="22"/>
                <w:lang w:val="en-US" w:eastAsia="en-US"/>
              </w:rPr>
              <w:tab/>
            </w:r>
            <w:r w:rsidRPr="00A84A6D">
              <w:rPr>
                <w:rStyle w:val="Hyperlink"/>
                <w:rFonts w:eastAsiaTheme="majorEastAsia"/>
              </w:rPr>
              <w:t>Provedení zkoušky</w:t>
            </w:r>
            <w:r>
              <w:rPr>
                <w:webHidden/>
              </w:rPr>
              <w:tab/>
            </w:r>
            <w:r>
              <w:rPr>
                <w:webHidden/>
              </w:rPr>
              <w:fldChar w:fldCharType="begin"/>
            </w:r>
            <w:r>
              <w:rPr>
                <w:webHidden/>
              </w:rPr>
              <w:instrText xml:space="preserve"> PAGEREF _Toc12476250 \h </w:instrText>
            </w:r>
            <w:r>
              <w:rPr>
                <w:webHidden/>
              </w:rPr>
            </w:r>
            <w:r>
              <w:rPr>
                <w:webHidden/>
              </w:rPr>
              <w:fldChar w:fldCharType="separate"/>
            </w:r>
            <w:r>
              <w:rPr>
                <w:webHidden/>
              </w:rPr>
              <w:t>9</w:t>
            </w:r>
            <w:r>
              <w:rPr>
                <w:webHidden/>
              </w:rPr>
              <w:fldChar w:fldCharType="end"/>
            </w:r>
          </w:hyperlink>
        </w:p>
        <w:p w:rsidR="000519AF" w:rsidRDefault="000519AF">
          <w:pPr>
            <w:pStyle w:val="TOC1"/>
            <w:rPr>
              <w:rFonts w:asciiTheme="minorHAnsi" w:eastAsiaTheme="minorEastAsia" w:hAnsiTheme="minorHAnsi" w:cstheme="minorBidi"/>
              <w:b w:val="0"/>
              <w:sz w:val="22"/>
              <w:szCs w:val="22"/>
              <w:lang w:val="en-US" w:eastAsia="en-US"/>
            </w:rPr>
          </w:pPr>
          <w:hyperlink w:anchor="_Toc12476251" w:history="1">
            <w:r w:rsidRPr="00A84A6D">
              <w:rPr>
                <w:rStyle w:val="Hyperlink"/>
                <w:rFonts w:eastAsiaTheme="majorEastAsia" w:cs="Arial"/>
              </w:rPr>
              <w:t>4.4.1.</w:t>
            </w:r>
            <w:r>
              <w:rPr>
                <w:rFonts w:asciiTheme="minorHAnsi" w:eastAsiaTheme="minorEastAsia" w:hAnsiTheme="minorHAnsi" w:cstheme="minorBidi"/>
                <w:b w:val="0"/>
                <w:sz w:val="22"/>
                <w:szCs w:val="22"/>
                <w:lang w:val="en-US" w:eastAsia="en-US"/>
              </w:rPr>
              <w:tab/>
            </w:r>
            <w:r w:rsidRPr="00A84A6D">
              <w:rPr>
                <w:rStyle w:val="Hyperlink"/>
                <w:rFonts w:eastAsiaTheme="majorEastAsia"/>
              </w:rPr>
              <w:t>Zkušební podmínky</w:t>
            </w:r>
            <w:r>
              <w:rPr>
                <w:webHidden/>
              </w:rPr>
              <w:tab/>
            </w:r>
            <w:r>
              <w:rPr>
                <w:webHidden/>
              </w:rPr>
              <w:fldChar w:fldCharType="begin"/>
            </w:r>
            <w:r>
              <w:rPr>
                <w:webHidden/>
              </w:rPr>
              <w:instrText xml:space="preserve"> PAGEREF _Toc12476251 \h </w:instrText>
            </w:r>
            <w:r>
              <w:rPr>
                <w:webHidden/>
              </w:rPr>
            </w:r>
            <w:r>
              <w:rPr>
                <w:webHidden/>
              </w:rPr>
              <w:fldChar w:fldCharType="separate"/>
            </w:r>
            <w:r>
              <w:rPr>
                <w:webHidden/>
              </w:rPr>
              <w:t>10</w:t>
            </w:r>
            <w:r>
              <w:rPr>
                <w:webHidden/>
              </w:rPr>
              <w:fldChar w:fldCharType="end"/>
            </w:r>
          </w:hyperlink>
        </w:p>
        <w:p w:rsidR="000519AF" w:rsidRDefault="000519AF">
          <w:pPr>
            <w:pStyle w:val="TOC1"/>
            <w:rPr>
              <w:rFonts w:asciiTheme="minorHAnsi" w:eastAsiaTheme="minorEastAsia" w:hAnsiTheme="minorHAnsi" w:cstheme="minorBidi"/>
              <w:b w:val="0"/>
              <w:sz w:val="22"/>
              <w:szCs w:val="22"/>
              <w:lang w:val="en-US" w:eastAsia="en-US"/>
            </w:rPr>
          </w:pPr>
          <w:hyperlink w:anchor="_Toc12476252" w:history="1">
            <w:r w:rsidRPr="00A84A6D">
              <w:rPr>
                <w:rStyle w:val="Hyperlink"/>
                <w:rFonts w:eastAsiaTheme="majorEastAsia"/>
              </w:rPr>
              <w:t>4.4.2.</w:t>
            </w:r>
            <w:r>
              <w:rPr>
                <w:rFonts w:asciiTheme="minorHAnsi" w:eastAsiaTheme="minorEastAsia" w:hAnsiTheme="minorHAnsi" w:cstheme="minorBidi"/>
                <w:b w:val="0"/>
                <w:sz w:val="22"/>
                <w:szCs w:val="22"/>
                <w:lang w:val="en-US" w:eastAsia="en-US"/>
              </w:rPr>
              <w:tab/>
            </w:r>
            <w:r w:rsidRPr="00A84A6D">
              <w:rPr>
                <w:rStyle w:val="Hyperlink"/>
                <w:rFonts w:eastAsiaTheme="majorEastAsia"/>
              </w:rPr>
              <w:t>Měření týkající se zařízení a zkušební podmínky</w:t>
            </w:r>
            <w:r>
              <w:rPr>
                <w:webHidden/>
              </w:rPr>
              <w:tab/>
            </w:r>
            <w:r>
              <w:rPr>
                <w:webHidden/>
              </w:rPr>
              <w:fldChar w:fldCharType="begin"/>
            </w:r>
            <w:r>
              <w:rPr>
                <w:webHidden/>
              </w:rPr>
              <w:instrText xml:space="preserve"> PAGEREF _Toc12476252 \h </w:instrText>
            </w:r>
            <w:r>
              <w:rPr>
                <w:webHidden/>
              </w:rPr>
            </w:r>
            <w:r>
              <w:rPr>
                <w:webHidden/>
              </w:rPr>
              <w:fldChar w:fldCharType="separate"/>
            </w:r>
            <w:r>
              <w:rPr>
                <w:webHidden/>
              </w:rPr>
              <w:t>11</w:t>
            </w:r>
            <w:r>
              <w:rPr>
                <w:webHidden/>
              </w:rPr>
              <w:fldChar w:fldCharType="end"/>
            </w:r>
          </w:hyperlink>
        </w:p>
        <w:p w:rsidR="000519AF" w:rsidRDefault="000519AF">
          <w:pPr>
            <w:pStyle w:val="TOC1"/>
            <w:rPr>
              <w:rFonts w:asciiTheme="minorHAnsi" w:eastAsiaTheme="minorEastAsia" w:hAnsiTheme="minorHAnsi" w:cstheme="minorBidi"/>
              <w:b w:val="0"/>
              <w:sz w:val="22"/>
              <w:szCs w:val="22"/>
              <w:lang w:val="en-US" w:eastAsia="en-US"/>
            </w:rPr>
          </w:pPr>
          <w:hyperlink w:anchor="_Toc12476253" w:history="1">
            <w:r w:rsidRPr="00A84A6D">
              <w:rPr>
                <w:rStyle w:val="Hyperlink"/>
                <w:rFonts w:eastAsiaTheme="majorEastAsia"/>
              </w:rPr>
              <w:t>4.4.3.</w:t>
            </w:r>
            <w:r>
              <w:rPr>
                <w:rFonts w:asciiTheme="minorHAnsi" w:eastAsiaTheme="minorEastAsia" w:hAnsiTheme="minorHAnsi" w:cstheme="minorBidi"/>
                <w:b w:val="0"/>
                <w:sz w:val="22"/>
                <w:szCs w:val="22"/>
                <w:lang w:val="en-US" w:eastAsia="en-US"/>
              </w:rPr>
              <w:tab/>
            </w:r>
            <w:r w:rsidRPr="00A84A6D">
              <w:rPr>
                <w:rStyle w:val="Hyperlink"/>
                <w:rFonts w:eastAsiaTheme="majorEastAsia"/>
              </w:rPr>
              <w:t>Měření dopravně-technických vlastností systémů značení</w:t>
            </w:r>
            <w:r>
              <w:rPr>
                <w:webHidden/>
              </w:rPr>
              <w:tab/>
            </w:r>
            <w:r>
              <w:rPr>
                <w:webHidden/>
              </w:rPr>
              <w:fldChar w:fldCharType="begin"/>
            </w:r>
            <w:r>
              <w:rPr>
                <w:webHidden/>
              </w:rPr>
              <w:instrText xml:space="preserve"> PAGEREF _Toc12476253 \h </w:instrText>
            </w:r>
            <w:r>
              <w:rPr>
                <w:webHidden/>
              </w:rPr>
            </w:r>
            <w:r>
              <w:rPr>
                <w:webHidden/>
              </w:rPr>
              <w:fldChar w:fldCharType="separate"/>
            </w:r>
            <w:r>
              <w:rPr>
                <w:webHidden/>
              </w:rPr>
              <w:t>11</w:t>
            </w:r>
            <w:r>
              <w:rPr>
                <w:webHidden/>
              </w:rPr>
              <w:fldChar w:fldCharType="end"/>
            </w:r>
          </w:hyperlink>
        </w:p>
        <w:p w:rsidR="000519AF" w:rsidRDefault="000519AF">
          <w:pPr>
            <w:pStyle w:val="TOC1"/>
            <w:rPr>
              <w:rFonts w:asciiTheme="minorHAnsi" w:eastAsiaTheme="minorEastAsia" w:hAnsiTheme="minorHAnsi" w:cstheme="minorBidi"/>
              <w:b w:val="0"/>
              <w:sz w:val="22"/>
              <w:szCs w:val="22"/>
              <w:lang w:val="en-US" w:eastAsia="en-US"/>
            </w:rPr>
          </w:pPr>
          <w:hyperlink w:anchor="_Toc12476254" w:history="1">
            <w:r w:rsidRPr="00A84A6D">
              <w:rPr>
                <w:rStyle w:val="Hyperlink"/>
                <w:rFonts w:eastAsiaTheme="majorEastAsia"/>
              </w:rPr>
              <w:t>4.4.4.</w:t>
            </w:r>
            <w:r>
              <w:rPr>
                <w:rFonts w:asciiTheme="minorHAnsi" w:eastAsiaTheme="minorEastAsia" w:hAnsiTheme="minorHAnsi" w:cstheme="minorBidi"/>
                <w:b w:val="0"/>
                <w:sz w:val="22"/>
                <w:szCs w:val="22"/>
                <w:lang w:val="en-US" w:eastAsia="en-US"/>
              </w:rPr>
              <w:tab/>
            </w:r>
            <w:r w:rsidRPr="00A84A6D">
              <w:rPr>
                <w:rStyle w:val="Hyperlink"/>
                <w:rFonts w:eastAsiaTheme="majorEastAsia"/>
              </w:rPr>
              <w:t>Hodnocení zkoušek</w:t>
            </w:r>
            <w:r>
              <w:rPr>
                <w:webHidden/>
              </w:rPr>
              <w:tab/>
            </w:r>
            <w:r>
              <w:rPr>
                <w:webHidden/>
              </w:rPr>
              <w:fldChar w:fldCharType="begin"/>
            </w:r>
            <w:r>
              <w:rPr>
                <w:webHidden/>
              </w:rPr>
              <w:instrText xml:space="preserve"> PAGEREF _Toc12476254 \h </w:instrText>
            </w:r>
            <w:r>
              <w:rPr>
                <w:webHidden/>
              </w:rPr>
            </w:r>
            <w:r>
              <w:rPr>
                <w:webHidden/>
              </w:rPr>
              <w:fldChar w:fldCharType="separate"/>
            </w:r>
            <w:r>
              <w:rPr>
                <w:webHidden/>
              </w:rPr>
              <w:t>12</w:t>
            </w:r>
            <w:r>
              <w:rPr>
                <w:webHidden/>
              </w:rPr>
              <w:fldChar w:fldCharType="end"/>
            </w:r>
          </w:hyperlink>
        </w:p>
        <w:p w:rsidR="000519AF" w:rsidRDefault="000519AF">
          <w:pPr>
            <w:pStyle w:val="TOC1"/>
            <w:rPr>
              <w:rFonts w:asciiTheme="minorHAnsi" w:eastAsiaTheme="minorEastAsia" w:hAnsiTheme="minorHAnsi" w:cstheme="minorBidi"/>
              <w:b w:val="0"/>
              <w:sz w:val="22"/>
              <w:szCs w:val="22"/>
              <w:lang w:val="en-US" w:eastAsia="en-US"/>
            </w:rPr>
          </w:pPr>
          <w:hyperlink w:anchor="_Toc12476255" w:history="1">
            <w:r w:rsidRPr="00A84A6D">
              <w:rPr>
                <w:rStyle w:val="Hyperlink"/>
                <w:rFonts w:eastAsiaTheme="majorEastAsia"/>
              </w:rPr>
              <w:t>4.4.5.</w:t>
            </w:r>
            <w:r>
              <w:rPr>
                <w:rFonts w:asciiTheme="minorHAnsi" w:eastAsiaTheme="minorEastAsia" w:hAnsiTheme="minorHAnsi" w:cstheme="minorBidi"/>
                <w:b w:val="0"/>
                <w:sz w:val="22"/>
                <w:szCs w:val="22"/>
                <w:lang w:val="en-US" w:eastAsia="en-US"/>
              </w:rPr>
              <w:tab/>
            </w:r>
            <w:r w:rsidRPr="00A84A6D">
              <w:rPr>
                <w:rStyle w:val="Hyperlink"/>
                <w:rFonts w:eastAsiaTheme="majorEastAsia"/>
              </w:rPr>
              <w:t>Kontrola zkoušek (reprodukovatelnost)</w:t>
            </w:r>
            <w:r>
              <w:rPr>
                <w:webHidden/>
              </w:rPr>
              <w:tab/>
            </w:r>
            <w:r>
              <w:rPr>
                <w:webHidden/>
              </w:rPr>
              <w:fldChar w:fldCharType="begin"/>
            </w:r>
            <w:r>
              <w:rPr>
                <w:webHidden/>
              </w:rPr>
              <w:instrText xml:space="preserve"> PAGEREF _Toc12476255 \h </w:instrText>
            </w:r>
            <w:r>
              <w:rPr>
                <w:webHidden/>
              </w:rPr>
            </w:r>
            <w:r>
              <w:rPr>
                <w:webHidden/>
              </w:rPr>
              <w:fldChar w:fldCharType="separate"/>
            </w:r>
            <w:r>
              <w:rPr>
                <w:webHidden/>
              </w:rPr>
              <w:t>12</w:t>
            </w:r>
            <w:r>
              <w:rPr>
                <w:webHidden/>
              </w:rPr>
              <w:fldChar w:fldCharType="end"/>
            </w:r>
          </w:hyperlink>
        </w:p>
        <w:p w:rsidR="000519AF" w:rsidRDefault="000519AF">
          <w:pPr>
            <w:pStyle w:val="TOC1"/>
            <w:rPr>
              <w:rFonts w:asciiTheme="minorHAnsi" w:eastAsiaTheme="minorEastAsia" w:hAnsiTheme="minorHAnsi" w:cstheme="minorBidi"/>
              <w:b w:val="0"/>
              <w:sz w:val="22"/>
              <w:szCs w:val="22"/>
              <w:lang w:val="en-US" w:eastAsia="en-US"/>
            </w:rPr>
          </w:pPr>
          <w:hyperlink w:anchor="_Toc12476256" w:history="1">
            <w:r w:rsidRPr="00A84A6D">
              <w:rPr>
                <w:rStyle w:val="Hyperlink"/>
                <w:rFonts w:eastAsiaTheme="majorEastAsia"/>
              </w:rPr>
              <w:t>5.</w:t>
            </w:r>
            <w:r>
              <w:rPr>
                <w:rFonts w:asciiTheme="minorHAnsi" w:eastAsiaTheme="minorEastAsia" w:hAnsiTheme="minorHAnsi" w:cstheme="minorBidi"/>
                <w:b w:val="0"/>
                <w:sz w:val="22"/>
                <w:szCs w:val="22"/>
                <w:lang w:val="en-US" w:eastAsia="en-US"/>
              </w:rPr>
              <w:tab/>
            </w:r>
            <w:r w:rsidRPr="00A84A6D">
              <w:rPr>
                <w:rStyle w:val="Hyperlink"/>
                <w:rFonts w:eastAsiaTheme="majorEastAsia"/>
              </w:rPr>
              <w:t>Chemicko-fyzikální zkoušky materiálů značení a přídavných látek (zkouška původního vzorku)</w:t>
            </w:r>
            <w:r>
              <w:rPr>
                <w:webHidden/>
              </w:rPr>
              <w:tab/>
            </w:r>
            <w:r>
              <w:rPr>
                <w:webHidden/>
              </w:rPr>
              <w:fldChar w:fldCharType="begin"/>
            </w:r>
            <w:r>
              <w:rPr>
                <w:webHidden/>
              </w:rPr>
              <w:instrText xml:space="preserve"> PAGEREF _Toc12476256 \h </w:instrText>
            </w:r>
            <w:r>
              <w:rPr>
                <w:webHidden/>
              </w:rPr>
            </w:r>
            <w:r>
              <w:rPr>
                <w:webHidden/>
              </w:rPr>
              <w:fldChar w:fldCharType="separate"/>
            </w:r>
            <w:r>
              <w:rPr>
                <w:webHidden/>
              </w:rPr>
              <w:t>12</w:t>
            </w:r>
            <w:r>
              <w:rPr>
                <w:webHidden/>
              </w:rPr>
              <w:fldChar w:fldCharType="end"/>
            </w:r>
          </w:hyperlink>
        </w:p>
        <w:p w:rsidR="000519AF" w:rsidRDefault="000519AF">
          <w:pPr>
            <w:pStyle w:val="TOC1"/>
            <w:rPr>
              <w:rFonts w:asciiTheme="minorHAnsi" w:eastAsiaTheme="minorEastAsia" w:hAnsiTheme="minorHAnsi" w:cstheme="minorBidi"/>
              <w:b w:val="0"/>
              <w:sz w:val="22"/>
              <w:szCs w:val="22"/>
              <w:lang w:val="en-US" w:eastAsia="en-US"/>
            </w:rPr>
          </w:pPr>
          <w:hyperlink w:anchor="_Toc12476257" w:history="1">
            <w:r w:rsidRPr="00A84A6D">
              <w:rPr>
                <w:rStyle w:val="Hyperlink"/>
                <w:rFonts w:eastAsiaTheme="majorEastAsia"/>
              </w:rPr>
              <w:t>5.1.</w:t>
            </w:r>
            <w:r>
              <w:rPr>
                <w:rFonts w:asciiTheme="minorHAnsi" w:eastAsiaTheme="minorEastAsia" w:hAnsiTheme="minorHAnsi" w:cstheme="minorBidi"/>
                <w:b w:val="0"/>
                <w:sz w:val="22"/>
                <w:szCs w:val="22"/>
                <w:lang w:val="en-US" w:eastAsia="en-US"/>
              </w:rPr>
              <w:tab/>
            </w:r>
            <w:r w:rsidRPr="00A84A6D">
              <w:rPr>
                <w:rStyle w:val="Hyperlink"/>
                <w:rFonts w:eastAsiaTheme="majorEastAsia"/>
              </w:rPr>
              <w:t>Obecné informace</w:t>
            </w:r>
            <w:r>
              <w:rPr>
                <w:webHidden/>
              </w:rPr>
              <w:tab/>
            </w:r>
            <w:r>
              <w:rPr>
                <w:webHidden/>
              </w:rPr>
              <w:fldChar w:fldCharType="begin"/>
            </w:r>
            <w:r>
              <w:rPr>
                <w:webHidden/>
              </w:rPr>
              <w:instrText xml:space="preserve"> PAGEREF _Toc12476257 \h </w:instrText>
            </w:r>
            <w:r>
              <w:rPr>
                <w:webHidden/>
              </w:rPr>
            </w:r>
            <w:r>
              <w:rPr>
                <w:webHidden/>
              </w:rPr>
              <w:fldChar w:fldCharType="separate"/>
            </w:r>
            <w:r>
              <w:rPr>
                <w:webHidden/>
              </w:rPr>
              <w:t>12</w:t>
            </w:r>
            <w:r>
              <w:rPr>
                <w:webHidden/>
              </w:rPr>
              <w:fldChar w:fldCharType="end"/>
            </w:r>
          </w:hyperlink>
        </w:p>
        <w:p w:rsidR="000519AF" w:rsidRDefault="000519AF">
          <w:pPr>
            <w:pStyle w:val="TOC1"/>
            <w:rPr>
              <w:rFonts w:asciiTheme="minorHAnsi" w:eastAsiaTheme="minorEastAsia" w:hAnsiTheme="minorHAnsi" w:cstheme="minorBidi"/>
              <w:b w:val="0"/>
              <w:sz w:val="22"/>
              <w:szCs w:val="22"/>
              <w:lang w:val="en-US" w:eastAsia="en-US"/>
            </w:rPr>
          </w:pPr>
          <w:hyperlink w:anchor="_Toc12476258" w:history="1">
            <w:r w:rsidRPr="00A84A6D">
              <w:rPr>
                <w:rStyle w:val="Hyperlink"/>
                <w:rFonts w:eastAsiaTheme="majorEastAsia"/>
              </w:rPr>
              <w:t>5.2.</w:t>
            </w:r>
            <w:r>
              <w:rPr>
                <w:rFonts w:asciiTheme="minorHAnsi" w:eastAsiaTheme="minorEastAsia" w:hAnsiTheme="minorHAnsi" w:cstheme="minorBidi"/>
                <w:b w:val="0"/>
                <w:sz w:val="22"/>
                <w:szCs w:val="22"/>
                <w:lang w:val="en-US" w:eastAsia="en-US"/>
              </w:rPr>
              <w:tab/>
            </w:r>
            <w:r w:rsidRPr="00A84A6D">
              <w:rPr>
                <w:rStyle w:val="Hyperlink"/>
                <w:rFonts w:eastAsiaTheme="majorEastAsia"/>
              </w:rPr>
              <w:t>Odběr vzorků</w:t>
            </w:r>
            <w:r>
              <w:rPr>
                <w:webHidden/>
              </w:rPr>
              <w:tab/>
            </w:r>
            <w:r>
              <w:rPr>
                <w:webHidden/>
              </w:rPr>
              <w:fldChar w:fldCharType="begin"/>
            </w:r>
            <w:r>
              <w:rPr>
                <w:webHidden/>
              </w:rPr>
              <w:instrText xml:space="preserve"> PAGEREF _Toc12476258 \h </w:instrText>
            </w:r>
            <w:r>
              <w:rPr>
                <w:webHidden/>
              </w:rPr>
            </w:r>
            <w:r>
              <w:rPr>
                <w:webHidden/>
              </w:rPr>
              <w:fldChar w:fldCharType="separate"/>
            </w:r>
            <w:r>
              <w:rPr>
                <w:webHidden/>
              </w:rPr>
              <w:t>13</w:t>
            </w:r>
            <w:r>
              <w:rPr>
                <w:webHidden/>
              </w:rPr>
              <w:fldChar w:fldCharType="end"/>
            </w:r>
          </w:hyperlink>
        </w:p>
        <w:p w:rsidR="000519AF" w:rsidRDefault="000519AF">
          <w:pPr>
            <w:pStyle w:val="TOC1"/>
            <w:rPr>
              <w:rFonts w:asciiTheme="minorHAnsi" w:eastAsiaTheme="minorEastAsia" w:hAnsiTheme="minorHAnsi" w:cstheme="minorBidi"/>
              <w:b w:val="0"/>
              <w:sz w:val="22"/>
              <w:szCs w:val="22"/>
              <w:lang w:val="en-US" w:eastAsia="en-US"/>
            </w:rPr>
          </w:pPr>
          <w:hyperlink w:anchor="_Toc12476259" w:history="1">
            <w:r w:rsidRPr="00A84A6D">
              <w:rPr>
                <w:rStyle w:val="Hyperlink"/>
                <w:rFonts w:eastAsiaTheme="majorEastAsia"/>
              </w:rPr>
              <w:t>5.3.</w:t>
            </w:r>
            <w:r>
              <w:rPr>
                <w:rFonts w:asciiTheme="minorHAnsi" w:eastAsiaTheme="minorEastAsia" w:hAnsiTheme="minorHAnsi" w:cstheme="minorBidi"/>
                <w:b w:val="0"/>
                <w:sz w:val="22"/>
                <w:szCs w:val="22"/>
                <w:lang w:val="en-US" w:eastAsia="en-US"/>
              </w:rPr>
              <w:tab/>
            </w:r>
            <w:r w:rsidRPr="00A84A6D">
              <w:rPr>
                <w:rStyle w:val="Hyperlink"/>
                <w:rFonts w:eastAsiaTheme="majorEastAsia"/>
              </w:rPr>
              <w:t>Zkouška původního vzorku u neprefabrikovaných systémů značení</w:t>
            </w:r>
            <w:r>
              <w:rPr>
                <w:webHidden/>
              </w:rPr>
              <w:tab/>
            </w:r>
            <w:r>
              <w:rPr>
                <w:webHidden/>
              </w:rPr>
              <w:fldChar w:fldCharType="begin"/>
            </w:r>
            <w:r>
              <w:rPr>
                <w:webHidden/>
              </w:rPr>
              <w:instrText xml:space="preserve"> PAGEREF _Toc12476259 \h </w:instrText>
            </w:r>
            <w:r>
              <w:rPr>
                <w:webHidden/>
              </w:rPr>
            </w:r>
            <w:r>
              <w:rPr>
                <w:webHidden/>
              </w:rPr>
              <w:fldChar w:fldCharType="separate"/>
            </w:r>
            <w:r>
              <w:rPr>
                <w:webHidden/>
              </w:rPr>
              <w:t>14</w:t>
            </w:r>
            <w:r>
              <w:rPr>
                <w:webHidden/>
              </w:rPr>
              <w:fldChar w:fldCharType="end"/>
            </w:r>
          </w:hyperlink>
        </w:p>
        <w:p w:rsidR="000519AF" w:rsidRDefault="000519AF">
          <w:pPr>
            <w:pStyle w:val="TOC1"/>
            <w:rPr>
              <w:rFonts w:asciiTheme="minorHAnsi" w:eastAsiaTheme="minorEastAsia" w:hAnsiTheme="minorHAnsi" w:cstheme="minorBidi"/>
              <w:b w:val="0"/>
              <w:sz w:val="22"/>
              <w:szCs w:val="22"/>
              <w:lang w:val="en-US" w:eastAsia="en-US"/>
            </w:rPr>
          </w:pPr>
          <w:hyperlink w:anchor="_Toc12476260" w:history="1">
            <w:r w:rsidRPr="00A84A6D">
              <w:rPr>
                <w:rStyle w:val="Hyperlink"/>
                <w:rFonts w:eastAsiaTheme="majorEastAsia"/>
              </w:rPr>
              <w:t>5.3.1.</w:t>
            </w:r>
            <w:r>
              <w:rPr>
                <w:rFonts w:asciiTheme="minorHAnsi" w:eastAsiaTheme="minorEastAsia" w:hAnsiTheme="minorHAnsi" w:cstheme="minorBidi"/>
                <w:b w:val="0"/>
                <w:sz w:val="22"/>
                <w:szCs w:val="22"/>
                <w:lang w:val="en-US" w:eastAsia="en-US"/>
              </w:rPr>
              <w:tab/>
            </w:r>
            <w:r w:rsidRPr="00A84A6D">
              <w:rPr>
                <w:rStyle w:val="Hyperlink"/>
                <w:rFonts w:eastAsiaTheme="majorEastAsia"/>
              </w:rPr>
              <w:t>Určení organických a anorganických podílů</w:t>
            </w:r>
            <w:r>
              <w:rPr>
                <w:webHidden/>
              </w:rPr>
              <w:tab/>
            </w:r>
            <w:r>
              <w:rPr>
                <w:webHidden/>
              </w:rPr>
              <w:fldChar w:fldCharType="begin"/>
            </w:r>
            <w:r>
              <w:rPr>
                <w:webHidden/>
              </w:rPr>
              <w:instrText xml:space="preserve"> PAGEREF _Toc12476260 \h </w:instrText>
            </w:r>
            <w:r>
              <w:rPr>
                <w:webHidden/>
              </w:rPr>
            </w:r>
            <w:r>
              <w:rPr>
                <w:webHidden/>
              </w:rPr>
              <w:fldChar w:fldCharType="separate"/>
            </w:r>
            <w:r>
              <w:rPr>
                <w:webHidden/>
              </w:rPr>
              <w:t>14</w:t>
            </w:r>
            <w:r>
              <w:rPr>
                <w:webHidden/>
              </w:rPr>
              <w:fldChar w:fldCharType="end"/>
            </w:r>
          </w:hyperlink>
        </w:p>
        <w:p w:rsidR="000519AF" w:rsidRDefault="000519AF">
          <w:pPr>
            <w:pStyle w:val="TOC1"/>
            <w:rPr>
              <w:rFonts w:asciiTheme="minorHAnsi" w:eastAsiaTheme="minorEastAsia" w:hAnsiTheme="minorHAnsi" w:cstheme="minorBidi"/>
              <w:b w:val="0"/>
              <w:sz w:val="22"/>
              <w:szCs w:val="22"/>
              <w:lang w:val="en-US" w:eastAsia="en-US"/>
            </w:rPr>
          </w:pPr>
          <w:hyperlink w:anchor="_Toc12476261" w:history="1">
            <w:r w:rsidRPr="00A84A6D">
              <w:rPr>
                <w:rStyle w:val="Hyperlink"/>
                <w:rFonts w:eastAsiaTheme="majorEastAsia"/>
              </w:rPr>
              <w:t>5.3.2.</w:t>
            </w:r>
            <w:r>
              <w:rPr>
                <w:rFonts w:asciiTheme="minorHAnsi" w:eastAsiaTheme="minorEastAsia" w:hAnsiTheme="minorHAnsi" w:cstheme="minorBidi"/>
                <w:b w:val="0"/>
                <w:sz w:val="22"/>
                <w:szCs w:val="22"/>
                <w:lang w:val="en-US" w:eastAsia="en-US"/>
              </w:rPr>
              <w:tab/>
            </w:r>
            <w:r w:rsidRPr="00A84A6D">
              <w:rPr>
                <w:rStyle w:val="Hyperlink"/>
                <w:rFonts w:eastAsiaTheme="majorEastAsia"/>
              </w:rPr>
              <w:t>Určení prchavých organických sloučenin a monomerů/oligomerů</w:t>
            </w:r>
            <w:r>
              <w:rPr>
                <w:webHidden/>
              </w:rPr>
              <w:tab/>
            </w:r>
            <w:r>
              <w:rPr>
                <w:webHidden/>
              </w:rPr>
              <w:fldChar w:fldCharType="begin"/>
            </w:r>
            <w:r>
              <w:rPr>
                <w:webHidden/>
              </w:rPr>
              <w:instrText xml:space="preserve"> PAGEREF _Toc12476261 \h </w:instrText>
            </w:r>
            <w:r>
              <w:rPr>
                <w:webHidden/>
              </w:rPr>
            </w:r>
            <w:r>
              <w:rPr>
                <w:webHidden/>
              </w:rPr>
              <w:fldChar w:fldCharType="separate"/>
            </w:r>
            <w:r>
              <w:rPr>
                <w:webHidden/>
              </w:rPr>
              <w:t>14</w:t>
            </w:r>
            <w:r>
              <w:rPr>
                <w:webHidden/>
              </w:rPr>
              <w:fldChar w:fldCharType="end"/>
            </w:r>
          </w:hyperlink>
        </w:p>
        <w:p w:rsidR="000519AF" w:rsidRDefault="000519AF">
          <w:pPr>
            <w:pStyle w:val="TOC1"/>
            <w:rPr>
              <w:rFonts w:asciiTheme="minorHAnsi" w:eastAsiaTheme="minorEastAsia" w:hAnsiTheme="minorHAnsi" w:cstheme="minorBidi"/>
              <w:b w:val="0"/>
              <w:sz w:val="22"/>
              <w:szCs w:val="22"/>
              <w:lang w:val="en-US" w:eastAsia="en-US"/>
            </w:rPr>
          </w:pPr>
          <w:hyperlink w:anchor="_Toc12476262" w:history="1">
            <w:r w:rsidRPr="00A84A6D">
              <w:rPr>
                <w:rStyle w:val="Hyperlink"/>
                <w:rFonts w:eastAsiaTheme="majorEastAsia"/>
              </w:rPr>
              <w:t>5.3.3.</w:t>
            </w:r>
            <w:r>
              <w:rPr>
                <w:rFonts w:asciiTheme="minorHAnsi" w:eastAsiaTheme="minorEastAsia" w:hAnsiTheme="minorHAnsi" w:cstheme="minorBidi"/>
                <w:b w:val="0"/>
                <w:sz w:val="22"/>
                <w:szCs w:val="22"/>
                <w:lang w:val="en-US" w:eastAsia="en-US"/>
              </w:rPr>
              <w:tab/>
            </w:r>
            <w:r w:rsidRPr="00A84A6D">
              <w:rPr>
                <w:rStyle w:val="Hyperlink"/>
                <w:rFonts w:eastAsiaTheme="majorEastAsia"/>
              </w:rPr>
              <w:t>Určení obsahu oxidu titaničitého v anorganických reziduích</w:t>
            </w:r>
            <w:r>
              <w:rPr>
                <w:webHidden/>
              </w:rPr>
              <w:tab/>
            </w:r>
            <w:r>
              <w:rPr>
                <w:webHidden/>
              </w:rPr>
              <w:fldChar w:fldCharType="begin"/>
            </w:r>
            <w:r>
              <w:rPr>
                <w:webHidden/>
              </w:rPr>
              <w:instrText xml:space="preserve"> PAGEREF _Toc12476262 \h </w:instrText>
            </w:r>
            <w:r>
              <w:rPr>
                <w:webHidden/>
              </w:rPr>
            </w:r>
            <w:r>
              <w:rPr>
                <w:webHidden/>
              </w:rPr>
              <w:fldChar w:fldCharType="separate"/>
            </w:r>
            <w:r>
              <w:rPr>
                <w:webHidden/>
              </w:rPr>
              <w:t>14</w:t>
            </w:r>
            <w:r>
              <w:rPr>
                <w:webHidden/>
              </w:rPr>
              <w:fldChar w:fldCharType="end"/>
            </w:r>
          </w:hyperlink>
        </w:p>
        <w:p w:rsidR="000519AF" w:rsidRDefault="000519AF">
          <w:pPr>
            <w:pStyle w:val="TOC1"/>
            <w:rPr>
              <w:rFonts w:asciiTheme="minorHAnsi" w:eastAsiaTheme="minorEastAsia" w:hAnsiTheme="minorHAnsi" w:cstheme="minorBidi"/>
              <w:b w:val="0"/>
              <w:sz w:val="22"/>
              <w:szCs w:val="22"/>
              <w:lang w:val="en-US" w:eastAsia="en-US"/>
            </w:rPr>
          </w:pPr>
          <w:hyperlink w:anchor="_Toc12476263" w:history="1">
            <w:r w:rsidRPr="00A84A6D">
              <w:rPr>
                <w:rStyle w:val="Hyperlink"/>
                <w:rFonts w:eastAsiaTheme="majorEastAsia"/>
              </w:rPr>
              <w:t>5.3.4.</w:t>
            </w:r>
            <w:r>
              <w:rPr>
                <w:rFonts w:asciiTheme="minorHAnsi" w:eastAsiaTheme="minorEastAsia" w:hAnsiTheme="minorHAnsi" w:cstheme="minorBidi"/>
                <w:b w:val="0"/>
                <w:sz w:val="22"/>
                <w:szCs w:val="22"/>
                <w:lang w:val="en-US" w:eastAsia="en-US"/>
              </w:rPr>
              <w:tab/>
            </w:r>
            <w:r w:rsidRPr="00A84A6D">
              <w:rPr>
                <w:rStyle w:val="Hyperlink"/>
                <w:rFonts w:eastAsiaTheme="majorEastAsia"/>
              </w:rPr>
              <w:t>Určení podílů premix. těles</w:t>
            </w:r>
            <w:r>
              <w:rPr>
                <w:webHidden/>
              </w:rPr>
              <w:tab/>
            </w:r>
            <w:r>
              <w:rPr>
                <w:webHidden/>
              </w:rPr>
              <w:fldChar w:fldCharType="begin"/>
            </w:r>
            <w:r>
              <w:rPr>
                <w:webHidden/>
              </w:rPr>
              <w:instrText xml:space="preserve"> PAGEREF _Toc12476263 \h </w:instrText>
            </w:r>
            <w:r>
              <w:rPr>
                <w:webHidden/>
              </w:rPr>
            </w:r>
            <w:r>
              <w:rPr>
                <w:webHidden/>
              </w:rPr>
              <w:fldChar w:fldCharType="separate"/>
            </w:r>
            <w:r>
              <w:rPr>
                <w:webHidden/>
              </w:rPr>
              <w:t>14</w:t>
            </w:r>
            <w:r>
              <w:rPr>
                <w:webHidden/>
              </w:rPr>
              <w:fldChar w:fldCharType="end"/>
            </w:r>
          </w:hyperlink>
        </w:p>
        <w:p w:rsidR="000519AF" w:rsidRDefault="000519AF">
          <w:pPr>
            <w:pStyle w:val="TOC1"/>
            <w:rPr>
              <w:rFonts w:asciiTheme="minorHAnsi" w:eastAsiaTheme="minorEastAsia" w:hAnsiTheme="minorHAnsi" w:cstheme="minorBidi"/>
              <w:b w:val="0"/>
              <w:sz w:val="22"/>
              <w:szCs w:val="22"/>
              <w:lang w:val="en-US" w:eastAsia="en-US"/>
            </w:rPr>
          </w:pPr>
          <w:hyperlink w:anchor="_Toc12476264" w:history="1">
            <w:r w:rsidRPr="00A84A6D">
              <w:rPr>
                <w:rStyle w:val="Hyperlink"/>
                <w:rFonts w:eastAsiaTheme="majorEastAsia"/>
              </w:rPr>
              <w:t>5.3.5.</w:t>
            </w:r>
            <w:r>
              <w:rPr>
                <w:rFonts w:asciiTheme="minorHAnsi" w:eastAsiaTheme="minorEastAsia" w:hAnsiTheme="minorHAnsi" w:cstheme="minorBidi"/>
                <w:b w:val="0"/>
                <w:sz w:val="22"/>
                <w:szCs w:val="22"/>
                <w:lang w:val="en-US" w:eastAsia="en-US"/>
              </w:rPr>
              <w:tab/>
            </w:r>
            <w:r w:rsidRPr="00A84A6D">
              <w:rPr>
                <w:rStyle w:val="Hyperlink"/>
                <w:rFonts w:eastAsiaTheme="majorEastAsia"/>
              </w:rPr>
              <w:t>Určení bodu měknutí podle Wilhelmiho</w:t>
            </w:r>
            <w:r>
              <w:rPr>
                <w:webHidden/>
              </w:rPr>
              <w:tab/>
            </w:r>
            <w:r>
              <w:rPr>
                <w:webHidden/>
              </w:rPr>
              <w:fldChar w:fldCharType="begin"/>
            </w:r>
            <w:r>
              <w:rPr>
                <w:webHidden/>
              </w:rPr>
              <w:instrText xml:space="preserve"> PAGEREF _Toc12476264 \h </w:instrText>
            </w:r>
            <w:r>
              <w:rPr>
                <w:webHidden/>
              </w:rPr>
            </w:r>
            <w:r>
              <w:rPr>
                <w:webHidden/>
              </w:rPr>
              <w:fldChar w:fldCharType="separate"/>
            </w:r>
            <w:r>
              <w:rPr>
                <w:webHidden/>
              </w:rPr>
              <w:t>15</w:t>
            </w:r>
            <w:r>
              <w:rPr>
                <w:webHidden/>
              </w:rPr>
              <w:fldChar w:fldCharType="end"/>
            </w:r>
          </w:hyperlink>
        </w:p>
        <w:p w:rsidR="000519AF" w:rsidRDefault="000519AF">
          <w:pPr>
            <w:pStyle w:val="TOC1"/>
            <w:rPr>
              <w:rFonts w:asciiTheme="minorHAnsi" w:eastAsiaTheme="minorEastAsia" w:hAnsiTheme="minorHAnsi" w:cstheme="minorBidi"/>
              <w:b w:val="0"/>
              <w:sz w:val="22"/>
              <w:szCs w:val="22"/>
              <w:lang w:val="en-US" w:eastAsia="en-US"/>
            </w:rPr>
          </w:pPr>
          <w:hyperlink w:anchor="_Toc12476265" w:history="1">
            <w:r w:rsidRPr="00A84A6D">
              <w:rPr>
                <w:rStyle w:val="Hyperlink"/>
                <w:rFonts w:eastAsiaTheme="majorEastAsia"/>
              </w:rPr>
              <w:t>5.3.6.</w:t>
            </w:r>
            <w:r>
              <w:rPr>
                <w:rFonts w:asciiTheme="minorHAnsi" w:eastAsiaTheme="minorEastAsia" w:hAnsiTheme="minorHAnsi" w:cstheme="minorBidi"/>
                <w:b w:val="0"/>
                <w:sz w:val="22"/>
                <w:szCs w:val="22"/>
                <w:lang w:val="en-US" w:eastAsia="en-US"/>
              </w:rPr>
              <w:tab/>
            </w:r>
            <w:r w:rsidRPr="00A84A6D">
              <w:rPr>
                <w:rStyle w:val="Hyperlink"/>
                <w:rFonts w:eastAsiaTheme="majorEastAsia"/>
              </w:rPr>
              <w:t>Odolnost proti průniku</w:t>
            </w:r>
            <w:r>
              <w:rPr>
                <w:webHidden/>
              </w:rPr>
              <w:tab/>
            </w:r>
            <w:r>
              <w:rPr>
                <w:webHidden/>
              </w:rPr>
              <w:fldChar w:fldCharType="begin"/>
            </w:r>
            <w:r>
              <w:rPr>
                <w:webHidden/>
              </w:rPr>
              <w:instrText xml:space="preserve"> PAGEREF _Toc12476265 \h </w:instrText>
            </w:r>
            <w:r>
              <w:rPr>
                <w:webHidden/>
              </w:rPr>
            </w:r>
            <w:r>
              <w:rPr>
                <w:webHidden/>
              </w:rPr>
              <w:fldChar w:fldCharType="separate"/>
            </w:r>
            <w:r>
              <w:rPr>
                <w:webHidden/>
              </w:rPr>
              <w:t>15</w:t>
            </w:r>
            <w:r>
              <w:rPr>
                <w:webHidden/>
              </w:rPr>
              <w:fldChar w:fldCharType="end"/>
            </w:r>
          </w:hyperlink>
        </w:p>
        <w:p w:rsidR="000519AF" w:rsidRDefault="000519AF">
          <w:pPr>
            <w:pStyle w:val="TOC1"/>
            <w:rPr>
              <w:rFonts w:asciiTheme="minorHAnsi" w:eastAsiaTheme="minorEastAsia" w:hAnsiTheme="minorHAnsi" w:cstheme="minorBidi"/>
              <w:b w:val="0"/>
              <w:sz w:val="22"/>
              <w:szCs w:val="22"/>
              <w:lang w:val="en-US" w:eastAsia="en-US"/>
            </w:rPr>
          </w:pPr>
          <w:hyperlink w:anchor="_Toc12476266" w:history="1">
            <w:r w:rsidRPr="00A84A6D">
              <w:rPr>
                <w:rStyle w:val="Hyperlink"/>
                <w:rFonts w:eastAsiaTheme="majorEastAsia"/>
              </w:rPr>
              <w:t>5.3.7.</w:t>
            </w:r>
            <w:r>
              <w:rPr>
                <w:rFonts w:asciiTheme="minorHAnsi" w:eastAsiaTheme="minorEastAsia" w:hAnsiTheme="minorHAnsi" w:cstheme="minorBidi"/>
                <w:b w:val="0"/>
                <w:sz w:val="22"/>
                <w:szCs w:val="22"/>
                <w:lang w:val="en-US" w:eastAsia="en-US"/>
              </w:rPr>
              <w:tab/>
            </w:r>
            <w:r w:rsidRPr="00A84A6D">
              <w:rPr>
                <w:rStyle w:val="Hyperlink"/>
                <w:rFonts w:eastAsiaTheme="majorEastAsia"/>
              </w:rPr>
              <w:t>Zkouška na olovo a kadmium u dočasných systémů značení</w:t>
            </w:r>
            <w:r>
              <w:rPr>
                <w:webHidden/>
              </w:rPr>
              <w:tab/>
            </w:r>
            <w:r>
              <w:rPr>
                <w:webHidden/>
              </w:rPr>
              <w:fldChar w:fldCharType="begin"/>
            </w:r>
            <w:r>
              <w:rPr>
                <w:webHidden/>
              </w:rPr>
              <w:instrText xml:space="preserve"> PAGEREF _Toc12476266 \h </w:instrText>
            </w:r>
            <w:r>
              <w:rPr>
                <w:webHidden/>
              </w:rPr>
            </w:r>
            <w:r>
              <w:rPr>
                <w:webHidden/>
              </w:rPr>
              <w:fldChar w:fldCharType="separate"/>
            </w:r>
            <w:r>
              <w:rPr>
                <w:webHidden/>
              </w:rPr>
              <w:t>15</w:t>
            </w:r>
            <w:r>
              <w:rPr>
                <w:webHidden/>
              </w:rPr>
              <w:fldChar w:fldCharType="end"/>
            </w:r>
          </w:hyperlink>
        </w:p>
        <w:p w:rsidR="000519AF" w:rsidRDefault="000519AF">
          <w:pPr>
            <w:pStyle w:val="TOC1"/>
            <w:rPr>
              <w:rFonts w:asciiTheme="minorHAnsi" w:eastAsiaTheme="minorEastAsia" w:hAnsiTheme="minorHAnsi" w:cstheme="minorBidi"/>
              <w:b w:val="0"/>
              <w:sz w:val="22"/>
              <w:szCs w:val="22"/>
              <w:lang w:val="en-US" w:eastAsia="en-US"/>
            </w:rPr>
          </w:pPr>
          <w:hyperlink w:anchor="_Toc12476267" w:history="1">
            <w:r w:rsidRPr="00A84A6D">
              <w:rPr>
                <w:rStyle w:val="Hyperlink"/>
                <w:rFonts w:eastAsiaTheme="majorEastAsia"/>
              </w:rPr>
              <w:t>5.4.</w:t>
            </w:r>
            <w:r>
              <w:rPr>
                <w:rFonts w:asciiTheme="minorHAnsi" w:eastAsiaTheme="minorEastAsia" w:hAnsiTheme="minorHAnsi" w:cstheme="minorBidi"/>
                <w:b w:val="0"/>
                <w:sz w:val="22"/>
                <w:szCs w:val="22"/>
                <w:lang w:val="en-US" w:eastAsia="en-US"/>
              </w:rPr>
              <w:tab/>
            </w:r>
            <w:r w:rsidRPr="00A84A6D">
              <w:rPr>
                <w:rStyle w:val="Hyperlink"/>
                <w:rFonts w:eastAsiaTheme="majorEastAsia"/>
              </w:rPr>
              <w:t>Zkouška původního vzorku fólií na značení (identifikační proces)</w:t>
            </w:r>
            <w:r>
              <w:rPr>
                <w:webHidden/>
              </w:rPr>
              <w:tab/>
            </w:r>
            <w:r>
              <w:rPr>
                <w:webHidden/>
              </w:rPr>
              <w:fldChar w:fldCharType="begin"/>
            </w:r>
            <w:r>
              <w:rPr>
                <w:webHidden/>
              </w:rPr>
              <w:instrText xml:space="preserve"> PAGEREF _Toc12476267 \h </w:instrText>
            </w:r>
            <w:r>
              <w:rPr>
                <w:webHidden/>
              </w:rPr>
            </w:r>
            <w:r>
              <w:rPr>
                <w:webHidden/>
              </w:rPr>
              <w:fldChar w:fldCharType="separate"/>
            </w:r>
            <w:r>
              <w:rPr>
                <w:webHidden/>
              </w:rPr>
              <w:t>15</w:t>
            </w:r>
            <w:r>
              <w:rPr>
                <w:webHidden/>
              </w:rPr>
              <w:fldChar w:fldCharType="end"/>
            </w:r>
          </w:hyperlink>
        </w:p>
        <w:p w:rsidR="000519AF" w:rsidRDefault="000519AF">
          <w:pPr>
            <w:pStyle w:val="TOC1"/>
            <w:rPr>
              <w:rFonts w:asciiTheme="minorHAnsi" w:eastAsiaTheme="minorEastAsia" w:hAnsiTheme="minorHAnsi" w:cstheme="minorBidi"/>
              <w:b w:val="0"/>
              <w:sz w:val="22"/>
              <w:szCs w:val="22"/>
              <w:lang w:val="en-US" w:eastAsia="en-US"/>
            </w:rPr>
          </w:pPr>
          <w:hyperlink w:anchor="_Toc12476268" w:history="1">
            <w:r w:rsidRPr="00A84A6D">
              <w:rPr>
                <w:rStyle w:val="Hyperlink"/>
                <w:rFonts w:eastAsiaTheme="majorEastAsia"/>
              </w:rPr>
              <w:t>5.4.1.</w:t>
            </w:r>
            <w:r>
              <w:rPr>
                <w:rFonts w:asciiTheme="minorHAnsi" w:eastAsiaTheme="minorEastAsia" w:hAnsiTheme="minorHAnsi" w:cstheme="minorBidi"/>
                <w:b w:val="0"/>
                <w:sz w:val="22"/>
                <w:szCs w:val="22"/>
                <w:lang w:val="en-US" w:eastAsia="en-US"/>
              </w:rPr>
              <w:tab/>
            </w:r>
            <w:r w:rsidRPr="00A84A6D">
              <w:rPr>
                <w:rStyle w:val="Hyperlink"/>
                <w:rFonts w:eastAsiaTheme="majorEastAsia"/>
              </w:rPr>
              <w:t>Rezervní vzorky fólií</w:t>
            </w:r>
            <w:r>
              <w:rPr>
                <w:webHidden/>
              </w:rPr>
              <w:tab/>
            </w:r>
            <w:r>
              <w:rPr>
                <w:webHidden/>
              </w:rPr>
              <w:fldChar w:fldCharType="begin"/>
            </w:r>
            <w:r>
              <w:rPr>
                <w:webHidden/>
              </w:rPr>
              <w:instrText xml:space="preserve"> PAGEREF _Toc12476268 \h </w:instrText>
            </w:r>
            <w:r>
              <w:rPr>
                <w:webHidden/>
              </w:rPr>
            </w:r>
            <w:r>
              <w:rPr>
                <w:webHidden/>
              </w:rPr>
              <w:fldChar w:fldCharType="separate"/>
            </w:r>
            <w:r>
              <w:rPr>
                <w:webHidden/>
              </w:rPr>
              <w:t>15</w:t>
            </w:r>
            <w:r>
              <w:rPr>
                <w:webHidden/>
              </w:rPr>
              <w:fldChar w:fldCharType="end"/>
            </w:r>
          </w:hyperlink>
        </w:p>
        <w:p w:rsidR="000519AF" w:rsidRDefault="000519AF">
          <w:pPr>
            <w:pStyle w:val="TOC1"/>
            <w:rPr>
              <w:rFonts w:asciiTheme="minorHAnsi" w:eastAsiaTheme="minorEastAsia" w:hAnsiTheme="minorHAnsi" w:cstheme="minorBidi"/>
              <w:b w:val="0"/>
              <w:sz w:val="22"/>
              <w:szCs w:val="22"/>
              <w:lang w:val="en-US" w:eastAsia="en-US"/>
            </w:rPr>
          </w:pPr>
          <w:hyperlink w:anchor="_Toc12476269" w:history="1">
            <w:r w:rsidRPr="00A84A6D">
              <w:rPr>
                <w:rStyle w:val="Hyperlink"/>
                <w:rFonts w:eastAsiaTheme="majorEastAsia"/>
              </w:rPr>
              <w:t>5.4.2.</w:t>
            </w:r>
            <w:r>
              <w:rPr>
                <w:rFonts w:asciiTheme="minorHAnsi" w:eastAsiaTheme="minorEastAsia" w:hAnsiTheme="minorHAnsi" w:cstheme="minorBidi"/>
                <w:b w:val="0"/>
                <w:sz w:val="22"/>
                <w:szCs w:val="22"/>
                <w:lang w:val="en-US" w:eastAsia="en-US"/>
              </w:rPr>
              <w:tab/>
            </w:r>
            <w:r w:rsidRPr="00A84A6D">
              <w:rPr>
                <w:rStyle w:val="Hyperlink"/>
                <w:rFonts w:eastAsiaTheme="majorEastAsia"/>
              </w:rPr>
              <w:t>Analýza obrazu fólií na silniční značení</w:t>
            </w:r>
            <w:r>
              <w:rPr>
                <w:webHidden/>
              </w:rPr>
              <w:tab/>
            </w:r>
            <w:r>
              <w:rPr>
                <w:webHidden/>
              </w:rPr>
              <w:fldChar w:fldCharType="begin"/>
            </w:r>
            <w:r>
              <w:rPr>
                <w:webHidden/>
              </w:rPr>
              <w:instrText xml:space="preserve"> PAGEREF _Toc12476269 \h </w:instrText>
            </w:r>
            <w:r>
              <w:rPr>
                <w:webHidden/>
              </w:rPr>
            </w:r>
            <w:r>
              <w:rPr>
                <w:webHidden/>
              </w:rPr>
              <w:fldChar w:fldCharType="separate"/>
            </w:r>
            <w:r>
              <w:rPr>
                <w:webHidden/>
              </w:rPr>
              <w:t>15</w:t>
            </w:r>
            <w:r>
              <w:rPr>
                <w:webHidden/>
              </w:rPr>
              <w:fldChar w:fldCharType="end"/>
            </w:r>
          </w:hyperlink>
        </w:p>
        <w:p w:rsidR="000519AF" w:rsidRDefault="000519AF">
          <w:pPr>
            <w:pStyle w:val="TOC1"/>
            <w:rPr>
              <w:rFonts w:asciiTheme="minorHAnsi" w:eastAsiaTheme="minorEastAsia" w:hAnsiTheme="minorHAnsi" w:cstheme="minorBidi"/>
              <w:b w:val="0"/>
              <w:sz w:val="22"/>
              <w:szCs w:val="22"/>
              <w:lang w:val="en-US" w:eastAsia="en-US"/>
            </w:rPr>
          </w:pPr>
          <w:hyperlink w:anchor="_Toc12476270" w:history="1">
            <w:r w:rsidRPr="00A84A6D">
              <w:rPr>
                <w:rStyle w:val="Hyperlink"/>
                <w:rFonts w:eastAsiaTheme="majorEastAsia"/>
              </w:rPr>
              <w:t>5.4.3.</w:t>
            </w:r>
            <w:r>
              <w:rPr>
                <w:rFonts w:asciiTheme="minorHAnsi" w:eastAsiaTheme="minorEastAsia" w:hAnsiTheme="minorHAnsi" w:cstheme="minorBidi"/>
                <w:b w:val="0"/>
                <w:sz w:val="22"/>
                <w:szCs w:val="22"/>
                <w:lang w:val="en-US" w:eastAsia="en-US"/>
              </w:rPr>
              <w:tab/>
            </w:r>
            <w:r w:rsidRPr="00A84A6D">
              <w:rPr>
                <w:rStyle w:val="Hyperlink"/>
                <w:rFonts w:eastAsiaTheme="majorEastAsia"/>
              </w:rPr>
              <w:t>Termogravimetrická analýza fólií na značení</w:t>
            </w:r>
            <w:r>
              <w:rPr>
                <w:webHidden/>
              </w:rPr>
              <w:tab/>
            </w:r>
            <w:r>
              <w:rPr>
                <w:webHidden/>
              </w:rPr>
              <w:fldChar w:fldCharType="begin"/>
            </w:r>
            <w:r>
              <w:rPr>
                <w:webHidden/>
              </w:rPr>
              <w:instrText xml:space="preserve"> PAGEREF _Toc12476270 \h </w:instrText>
            </w:r>
            <w:r>
              <w:rPr>
                <w:webHidden/>
              </w:rPr>
            </w:r>
            <w:r>
              <w:rPr>
                <w:webHidden/>
              </w:rPr>
              <w:fldChar w:fldCharType="separate"/>
            </w:r>
            <w:r>
              <w:rPr>
                <w:webHidden/>
              </w:rPr>
              <w:t>15</w:t>
            </w:r>
            <w:r>
              <w:rPr>
                <w:webHidden/>
              </w:rPr>
              <w:fldChar w:fldCharType="end"/>
            </w:r>
          </w:hyperlink>
        </w:p>
        <w:p w:rsidR="000519AF" w:rsidRDefault="000519AF">
          <w:pPr>
            <w:pStyle w:val="TOC1"/>
            <w:rPr>
              <w:rFonts w:asciiTheme="minorHAnsi" w:eastAsiaTheme="minorEastAsia" w:hAnsiTheme="minorHAnsi" w:cstheme="minorBidi"/>
              <w:b w:val="0"/>
              <w:sz w:val="22"/>
              <w:szCs w:val="22"/>
              <w:lang w:val="en-US" w:eastAsia="en-US"/>
            </w:rPr>
          </w:pPr>
          <w:hyperlink w:anchor="_Toc12476271" w:history="1">
            <w:r w:rsidRPr="00A84A6D">
              <w:rPr>
                <w:rStyle w:val="Hyperlink"/>
                <w:rFonts w:eastAsiaTheme="majorEastAsia"/>
              </w:rPr>
              <w:t>5.4.4.</w:t>
            </w:r>
            <w:r>
              <w:rPr>
                <w:rFonts w:asciiTheme="minorHAnsi" w:eastAsiaTheme="minorEastAsia" w:hAnsiTheme="minorHAnsi" w:cstheme="minorBidi"/>
                <w:b w:val="0"/>
                <w:sz w:val="22"/>
                <w:szCs w:val="22"/>
                <w:lang w:val="en-US" w:eastAsia="en-US"/>
              </w:rPr>
              <w:tab/>
            </w:r>
            <w:r w:rsidRPr="00A84A6D">
              <w:rPr>
                <w:rStyle w:val="Hyperlink"/>
                <w:rFonts w:eastAsiaTheme="majorEastAsia"/>
              </w:rPr>
              <w:t>Analýza lepicí vrstvy fólií</w:t>
            </w:r>
            <w:r>
              <w:rPr>
                <w:webHidden/>
              </w:rPr>
              <w:tab/>
            </w:r>
            <w:r>
              <w:rPr>
                <w:webHidden/>
              </w:rPr>
              <w:fldChar w:fldCharType="begin"/>
            </w:r>
            <w:r>
              <w:rPr>
                <w:webHidden/>
              </w:rPr>
              <w:instrText xml:space="preserve"> PAGEREF _Toc12476271 \h </w:instrText>
            </w:r>
            <w:r>
              <w:rPr>
                <w:webHidden/>
              </w:rPr>
            </w:r>
            <w:r>
              <w:rPr>
                <w:webHidden/>
              </w:rPr>
              <w:fldChar w:fldCharType="separate"/>
            </w:r>
            <w:r>
              <w:rPr>
                <w:webHidden/>
              </w:rPr>
              <w:t>16</w:t>
            </w:r>
            <w:r>
              <w:rPr>
                <w:webHidden/>
              </w:rPr>
              <w:fldChar w:fldCharType="end"/>
            </w:r>
          </w:hyperlink>
        </w:p>
        <w:p w:rsidR="000519AF" w:rsidRDefault="000519AF">
          <w:pPr>
            <w:pStyle w:val="TOC1"/>
            <w:rPr>
              <w:rFonts w:asciiTheme="minorHAnsi" w:eastAsiaTheme="minorEastAsia" w:hAnsiTheme="minorHAnsi" w:cstheme="minorBidi"/>
              <w:b w:val="0"/>
              <w:sz w:val="22"/>
              <w:szCs w:val="22"/>
              <w:lang w:val="en-US" w:eastAsia="en-US"/>
            </w:rPr>
          </w:pPr>
          <w:hyperlink w:anchor="_Toc12476272" w:history="1">
            <w:r w:rsidRPr="00A84A6D">
              <w:rPr>
                <w:rStyle w:val="Hyperlink"/>
                <w:rFonts w:eastAsiaTheme="majorEastAsia"/>
              </w:rPr>
              <w:t>5.4.5.</w:t>
            </w:r>
            <w:r>
              <w:rPr>
                <w:rFonts w:asciiTheme="minorHAnsi" w:eastAsiaTheme="minorEastAsia" w:hAnsiTheme="minorHAnsi" w:cstheme="minorBidi"/>
                <w:b w:val="0"/>
                <w:sz w:val="22"/>
                <w:szCs w:val="22"/>
                <w:lang w:val="en-US" w:eastAsia="en-US"/>
              </w:rPr>
              <w:tab/>
            </w:r>
            <w:r w:rsidRPr="00A84A6D">
              <w:rPr>
                <w:rStyle w:val="Hyperlink"/>
                <w:rFonts w:eastAsiaTheme="majorEastAsia"/>
              </w:rPr>
              <w:t>Analýza primerů s obsahem bitumenu</w:t>
            </w:r>
            <w:r>
              <w:rPr>
                <w:webHidden/>
              </w:rPr>
              <w:tab/>
            </w:r>
            <w:r>
              <w:rPr>
                <w:webHidden/>
              </w:rPr>
              <w:fldChar w:fldCharType="begin"/>
            </w:r>
            <w:r>
              <w:rPr>
                <w:webHidden/>
              </w:rPr>
              <w:instrText xml:space="preserve"> PAGEREF _Toc12476272 \h </w:instrText>
            </w:r>
            <w:r>
              <w:rPr>
                <w:webHidden/>
              </w:rPr>
            </w:r>
            <w:r>
              <w:rPr>
                <w:webHidden/>
              </w:rPr>
              <w:fldChar w:fldCharType="separate"/>
            </w:r>
            <w:r>
              <w:rPr>
                <w:webHidden/>
              </w:rPr>
              <w:t>16</w:t>
            </w:r>
            <w:r>
              <w:rPr>
                <w:webHidden/>
              </w:rPr>
              <w:fldChar w:fldCharType="end"/>
            </w:r>
          </w:hyperlink>
        </w:p>
        <w:p w:rsidR="000519AF" w:rsidRDefault="000519AF">
          <w:pPr>
            <w:pStyle w:val="TOC1"/>
            <w:rPr>
              <w:rFonts w:asciiTheme="minorHAnsi" w:eastAsiaTheme="minorEastAsia" w:hAnsiTheme="minorHAnsi" w:cstheme="minorBidi"/>
              <w:b w:val="0"/>
              <w:sz w:val="22"/>
              <w:szCs w:val="22"/>
              <w:lang w:val="en-US" w:eastAsia="en-US"/>
            </w:rPr>
          </w:pPr>
          <w:hyperlink w:anchor="_Toc12476273" w:history="1">
            <w:r w:rsidRPr="00A84A6D">
              <w:rPr>
                <w:rStyle w:val="Hyperlink"/>
                <w:rFonts w:eastAsiaTheme="majorEastAsia"/>
              </w:rPr>
              <w:t>5.5.</w:t>
            </w:r>
            <w:r>
              <w:rPr>
                <w:rFonts w:asciiTheme="minorHAnsi" w:eastAsiaTheme="minorEastAsia" w:hAnsiTheme="minorHAnsi" w:cstheme="minorBidi"/>
                <w:b w:val="0"/>
                <w:sz w:val="22"/>
                <w:szCs w:val="22"/>
                <w:lang w:val="en-US" w:eastAsia="en-US"/>
              </w:rPr>
              <w:tab/>
            </w:r>
            <w:r w:rsidRPr="00A84A6D">
              <w:rPr>
                <w:rStyle w:val="Hyperlink"/>
                <w:rFonts w:eastAsiaTheme="majorEastAsia"/>
              </w:rPr>
              <w:t>Zkouška původních vzorků přídavných látek</w:t>
            </w:r>
            <w:r>
              <w:rPr>
                <w:webHidden/>
              </w:rPr>
              <w:tab/>
            </w:r>
            <w:r>
              <w:rPr>
                <w:webHidden/>
              </w:rPr>
              <w:fldChar w:fldCharType="begin"/>
            </w:r>
            <w:r>
              <w:rPr>
                <w:webHidden/>
              </w:rPr>
              <w:instrText xml:space="preserve"> PAGEREF _Toc12476273 \h </w:instrText>
            </w:r>
            <w:r>
              <w:rPr>
                <w:webHidden/>
              </w:rPr>
            </w:r>
            <w:r>
              <w:rPr>
                <w:webHidden/>
              </w:rPr>
              <w:fldChar w:fldCharType="separate"/>
            </w:r>
            <w:r>
              <w:rPr>
                <w:webHidden/>
              </w:rPr>
              <w:t>16</w:t>
            </w:r>
            <w:r>
              <w:rPr>
                <w:webHidden/>
              </w:rPr>
              <w:fldChar w:fldCharType="end"/>
            </w:r>
          </w:hyperlink>
        </w:p>
        <w:p w:rsidR="000519AF" w:rsidRDefault="000519AF">
          <w:pPr>
            <w:pStyle w:val="TOC1"/>
            <w:rPr>
              <w:rFonts w:asciiTheme="minorHAnsi" w:eastAsiaTheme="minorEastAsia" w:hAnsiTheme="minorHAnsi" w:cstheme="minorBidi"/>
              <w:b w:val="0"/>
              <w:sz w:val="22"/>
              <w:szCs w:val="22"/>
              <w:lang w:val="en-US" w:eastAsia="en-US"/>
            </w:rPr>
          </w:pPr>
          <w:hyperlink w:anchor="_Toc12476274" w:history="1">
            <w:r w:rsidRPr="00A84A6D">
              <w:rPr>
                <w:rStyle w:val="Hyperlink"/>
                <w:rFonts w:eastAsiaTheme="majorEastAsia"/>
              </w:rPr>
              <w:t>5.5.1.</w:t>
            </w:r>
            <w:r>
              <w:rPr>
                <w:rFonts w:asciiTheme="minorHAnsi" w:eastAsiaTheme="minorEastAsia" w:hAnsiTheme="minorHAnsi" w:cstheme="minorBidi"/>
                <w:b w:val="0"/>
                <w:sz w:val="22"/>
                <w:szCs w:val="22"/>
                <w:lang w:val="en-US" w:eastAsia="en-US"/>
              </w:rPr>
              <w:tab/>
            </w:r>
            <w:r w:rsidRPr="00A84A6D">
              <w:rPr>
                <w:rStyle w:val="Hyperlink"/>
                <w:rFonts w:eastAsiaTheme="majorEastAsia"/>
              </w:rPr>
              <w:t>Analýza reflexních perel a zdrsňujících prostředků (systémy premix. a posyp. prostředků)</w:t>
            </w:r>
            <w:r>
              <w:rPr>
                <w:webHidden/>
              </w:rPr>
              <w:tab/>
            </w:r>
            <w:r>
              <w:rPr>
                <w:webHidden/>
              </w:rPr>
              <w:fldChar w:fldCharType="begin"/>
            </w:r>
            <w:r>
              <w:rPr>
                <w:webHidden/>
              </w:rPr>
              <w:instrText xml:space="preserve"> PAGEREF _Toc12476274 \h </w:instrText>
            </w:r>
            <w:r>
              <w:rPr>
                <w:webHidden/>
              </w:rPr>
            </w:r>
            <w:r>
              <w:rPr>
                <w:webHidden/>
              </w:rPr>
              <w:fldChar w:fldCharType="separate"/>
            </w:r>
            <w:r>
              <w:rPr>
                <w:webHidden/>
              </w:rPr>
              <w:t>16</w:t>
            </w:r>
            <w:r>
              <w:rPr>
                <w:webHidden/>
              </w:rPr>
              <w:fldChar w:fldCharType="end"/>
            </w:r>
          </w:hyperlink>
        </w:p>
        <w:p w:rsidR="000519AF" w:rsidRDefault="000519AF">
          <w:pPr>
            <w:pStyle w:val="TOC1"/>
            <w:rPr>
              <w:rFonts w:asciiTheme="minorHAnsi" w:eastAsiaTheme="minorEastAsia" w:hAnsiTheme="minorHAnsi" w:cstheme="minorBidi"/>
              <w:b w:val="0"/>
              <w:sz w:val="22"/>
              <w:szCs w:val="22"/>
              <w:lang w:val="en-US" w:eastAsia="en-US"/>
            </w:rPr>
          </w:pPr>
          <w:hyperlink w:anchor="_Toc12476275" w:history="1">
            <w:r w:rsidRPr="00A84A6D">
              <w:rPr>
                <w:rStyle w:val="Hyperlink"/>
                <w:rFonts w:eastAsiaTheme="majorEastAsia"/>
              </w:rPr>
              <w:t>5.5.2.</w:t>
            </w:r>
            <w:r>
              <w:rPr>
                <w:rFonts w:asciiTheme="minorHAnsi" w:eastAsiaTheme="minorEastAsia" w:hAnsiTheme="minorHAnsi" w:cstheme="minorBidi"/>
                <w:b w:val="0"/>
                <w:sz w:val="22"/>
                <w:szCs w:val="22"/>
                <w:lang w:val="en-US" w:eastAsia="en-US"/>
              </w:rPr>
              <w:tab/>
            </w:r>
            <w:r w:rsidRPr="00A84A6D">
              <w:rPr>
                <w:rStyle w:val="Hyperlink"/>
                <w:rFonts w:eastAsiaTheme="majorEastAsia"/>
              </w:rPr>
              <w:t>Analýza potahů (coating) reflexních těles a zdrsňujících prostředků</w:t>
            </w:r>
            <w:r>
              <w:rPr>
                <w:webHidden/>
              </w:rPr>
              <w:tab/>
            </w:r>
            <w:r>
              <w:rPr>
                <w:webHidden/>
              </w:rPr>
              <w:fldChar w:fldCharType="begin"/>
            </w:r>
            <w:r>
              <w:rPr>
                <w:webHidden/>
              </w:rPr>
              <w:instrText xml:space="preserve"> PAGEREF _Toc12476275 \h </w:instrText>
            </w:r>
            <w:r>
              <w:rPr>
                <w:webHidden/>
              </w:rPr>
            </w:r>
            <w:r>
              <w:rPr>
                <w:webHidden/>
              </w:rPr>
              <w:fldChar w:fldCharType="separate"/>
            </w:r>
            <w:r>
              <w:rPr>
                <w:webHidden/>
              </w:rPr>
              <w:t>16</w:t>
            </w:r>
            <w:r>
              <w:rPr>
                <w:webHidden/>
              </w:rPr>
              <w:fldChar w:fldCharType="end"/>
            </w:r>
          </w:hyperlink>
        </w:p>
        <w:p w:rsidR="000519AF" w:rsidRDefault="000519AF">
          <w:pPr>
            <w:pStyle w:val="TOC1"/>
            <w:rPr>
              <w:rFonts w:asciiTheme="minorHAnsi" w:eastAsiaTheme="minorEastAsia" w:hAnsiTheme="minorHAnsi" w:cstheme="minorBidi"/>
              <w:b w:val="0"/>
              <w:sz w:val="22"/>
              <w:szCs w:val="22"/>
              <w:lang w:val="en-US" w:eastAsia="en-US"/>
            </w:rPr>
          </w:pPr>
          <w:hyperlink w:anchor="_Toc12476276" w:history="1">
            <w:r w:rsidRPr="00A84A6D">
              <w:rPr>
                <w:rStyle w:val="Hyperlink"/>
                <w:rFonts w:eastAsiaTheme="majorEastAsia"/>
              </w:rPr>
              <w:t>5.5.3.</w:t>
            </w:r>
            <w:r>
              <w:rPr>
                <w:rFonts w:asciiTheme="minorHAnsi" w:eastAsiaTheme="minorEastAsia" w:hAnsiTheme="minorHAnsi" w:cstheme="minorBidi"/>
                <w:b w:val="0"/>
                <w:sz w:val="22"/>
                <w:szCs w:val="22"/>
                <w:lang w:val="en-US" w:eastAsia="en-US"/>
              </w:rPr>
              <w:tab/>
            </w:r>
            <w:r w:rsidRPr="00A84A6D">
              <w:rPr>
                <w:rStyle w:val="Hyperlink"/>
                <w:rFonts w:eastAsiaTheme="majorEastAsia"/>
              </w:rPr>
              <w:t>Analýza ostatních přídavných látek</w:t>
            </w:r>
            <w:r>
              <w:rPr>
                <w:webHidden/>
              </w:rPr>
              <w:tab/>
            </w:r>
            <w:r>
              <w:rPr>
                <w:webHidden/>
              </w:rPr>
              <w:fldChar w:fldCharType="begin"/>
            </w:r>
            <w:r>
              <w:rPr>
                <w:webHidden/>
              </w:rPr>
              <w:instrText xml:space="preserve"> PAGEREF _Toc12476276 \h </w:instrText>
            </w:r>
            <w:r>
              <w:rPr>
                <w:webHidden/>
              </w:rPr>
            </w:r>
            <w:r>
              <w:rPr>
                <w:webHidden/>
              </w:rPr>
              <w:fldChar w:fldCharType="separate"/>
            </w:r>
            <w:r>
              <w:rPr>
                <w:webHidden/>
              </w:rPr>
              <w:t>17</w:t>
            </w:r>
            <w:r>
              <w:rPr>
                <w:webHidden/>
              </w:rPr>
              <w:fldChar w:fldCharType="end"/>
            </w:r>
          </w:hyperlink>
        </w:p>
        <w:p w:rsidR="000519AF" w:rsidRDefault="000519AF">
          <w:pPr>
            <w:pStyle w:val="TOC1"/>
            <w:rPr>
              <w:rFonts w:asciiTheme="minorHAnsi" w:eastAsiaTheme="minorEastAsia" w:hAnsiTheme="minorHAnsi" w:cstheme="minorBidi"/>
              <w:b w:val="0"/>
              <w:sz w:val="22"/>
              <w:szCs w:val="22"/>
              <w:lang w:val="en-US" w:eastAsia="en-US"/>
            </w:rPr>
          </w:pPr>
          <w:hyperlink w:anchor="_Toc12476277" w:history="1">
            <w:r w:rsidRPr="00A84A6D">
              <w:rPr>
                <w:rStyle w:val="Hyperlink"/>
                <w:rFonts w:eastAsiaTheme="majorEastAsia"/>
              </w:rPr>
              <w:t>Příloha A</w:t>
            </w:r>
            <w:r>
              <w:rPr>
                <w:webHidden/>
              </w:rPr>
              <w:tab/>
            </w:r>
            <w:r>
              <w:rPr>
                <w:webHidden/>
              </w:rPr>
              <w:fldChar w:fldCharType="begin"/>
            </w:r>
            <w:r>
              <w:rPr>
                <w:webHidden/>
              </w:rPr>
              <w:instrText xml:space="preserve"> PAGEREF _Toc12476277 \h </w:instrText>
            </w:r>
            <w:r>
              <w:rPr>
                <w:webHidden/>
              </w:rPr>
            </w:r>
            <w:r>
              <w:rPr>
                <w:webHidden/>
              </w:rPr>
              <w:fldChar w:fldCharType="separate"/>
            </w:r>
            <w:r>
              <w:rPr>
                <w:webHidden/>
              </w:rPr>
              <w:t>18</w:t>
            </w:r>
            <w:r>
              <w:rPr>
                <w:webHidden/>
              </w:rPr>
              <w:fldChar w:fldCharType="end"/>
            </w:r>
          </w:hyperlink>
        </w:p>
        <w:p w:rsidR="000519AF" w:rsidRDefault="000519AF">
          <w:pPr>
            <w:pStyle w:val="TOC1"/>
            <w:rPr>
              <w:rFonts w:asciiTheme="minorHAnsi" w:eastAsiaTheme="minorEastAsia" w:hAnsiTheme="minorHAnsi" w:cstheme="minorBidi"/>
              <w:b w:val="0"/>
              <w:sz w:val="22"/>
              <w:szCs w:val="22"/>
              <w:lang w:val="en-US" w:eastAsia="en-US"/>
            </w:rPr>
          </w:pPr>
          <w:hyperlink w:anchor="_Toc12476278" w:history="1">
            <w:r w:rsidRPr="00A84A6D">
              <w:rPr>
                <w:rStyle w:val="Hyperlink"/>
                <w:rFonts w:eastAsiaTheme="majorEastAsia"/>
              </w:rPr>
              <w:t>Příloha B</w:t>
            </w:r>
            <w:r>
              <w:rPr>
                <w:webHidden/>
              </w:rPr>
              <w:tab/>
            </w:r>
            <w:r>
              <w:rPr>
                <w:webHidden/>
              </w:rPr>
              <w:fldChar w:fldCharType="begin"/>
            </w:r>
            <w:r>
              <w:rPr>
                <w:webHidden/>
              </w:rPr>
              <w:instrText xml:space="preserve"> PAGEREF _Toc12476278 \h </w:instrText>
            </w:r>
            <w:r>
              <w:rPr>
                <w:webHidden/>
              </w:rPr>
            </w:r>
            <w:r>
              <w:rPr>
                <w:webHidden/>
              </w:rPr>
              <w:fldChar w:fldCharType="separate"/>
            </w:r>
            <w:r>
              <w:rPr>
                <w:webHidden/>
              </w:rPr>
              <w:t>21</w:t>
            </w:r>
            <w:r>
              <w:rPr>
                <w:webHidden/>
              </w:rPr>
              <w:fldChar w:fldCharType="end"/>
            </w:r>
          </w:hyperlink>
        </w:p>
        <w:p w:rsidR="000519AF" w:rsidRDefault="000519AF">
          <w:pPr>
            <w:pStyle w:val="TOC1"/>
            <w:rPr>
              <w:rFonts w:asciiTheme="minorHAnsi" w:eastAsiaTheme="minorEastAsia" w:hAnsiTheme="minorHAnsi" w:cstheme="minorBidi"/>
              <w:b w:val="0"/>
              <w:sz w:val="22"/>
              <w:szCs w:val="22"/>
              <w:lang w:val="en-US" w:eastAsia="en-US"/>
            </w:rPr>
          </w:pPr>
          <w:hyperlink w:anchor="_Toc12476279" w:history="1">
            <w:r w:rsidRPr="00A84A6D">
              <w:rPr>
                <w:rStyle w:val="Hyperlink"/>
                <w:rFonts w:eastAsiaTheme="majorEastAsia"/>
              </w:rPr>
              <w:t>Příloha C</w:t>
            </w:r>
            <w:r>
              <w:rPr>
                <w:webHidden/>
              </w:rPr>
              <w:tab/>
            </w:r>
            <w:r>
              <w:rPr>
                <w:webHidden/>
              </w:rPr>
              <w:fldChar w:fldCharType="begin"/>
            </w:r>
            <w:r>
              <w:rPr>
                <w:webHidden/>
              </w:rPr>
              <w:instrText xml:space="preserve"> PAGEREF _Toc12476279 \h </w:instrText>
            </w:r>
            <w:r>
              <w:rPr>
                <w:webHidden/>
              </w:rPr>
            </w:r>
            <w:r>
              <w:rPr>
                <w:webHidden/>
              </w:rPr>
              <w:fldChar w:fldCharType="separate"/>
            </w:r>
            <w:r>
              <w:rPr>
                <w:webHidden/>
              </w:rPr>
              <w:t>24</w:t>
            </w:r>
            <w:r>
              <w:rPr>
                <w:webHidden/>
              </w:rPr>
              <w:fldChar w:fldCharType="end"/>
            </w:r>
          </w:hyperlink>
        </w:p>
        <w:p w:rsidR="002100A4" w:rsidRPr="003A38BA" w:rsidRDefault="004939B5">
          <w:pPr>
            <w:rPr>
              <w:sz w:val="24"/>
              <w:szCs w:val="24"/>
            </w:rPr>
          </w:pPr>
          <w:r w:rsidRPr="003A38BA">
            <w:rPr>
              <w:sz w:val="24"/>
              <w:szCs w:val="24"/>
            </w:rPr>
            <w:fldChar w:fldCharType="end"/>
          </w:r>
        </w:p>
      </w:sdtContent>
    </w:sdt>
    <w:p w:rsidR="006D5959" w:rsidRPr="003A38BA" w:rsidRDefault="006D5959" w:rsidP="006D5959">
      <w:pPr>
        <w:spacing w:after="200" w:line="276" w:lineRule="auto"/>
        <w:rPr>
          <w:rFonts w:cs="Arial"/>
          <w:sz w:val="24"/>
          <w:szCs w:val="24"/>
        </w:rPr>
      </w:pPr>
    </w:p>
    <w:p w:rsidR="006D5959" w:rsidRPr="003A38BA" w:rsidRDefault="006D5959">
      <w:pPr>
        <w:rPr>
          <w:rFonts w:cs="Arial"/>
          <w:sz w:val="24"/>
          <w:szCs w:val="24"/>
          <w:highlight w:val="lightGray"/>
        </w:rPr>
      </w:pPr>
      <w:r>
        <w:br w:type="page"/>
      </w:r>
    </w:p>
    <w:p w:rsidR="00F9526A" w:rsidRPr="003A38BA" w:rsidRDefault="00F9526A" w:rsidP="007C21AF">
      <w:pPr>
        <w:pStyle w:val="Heading1"/>
        <w:numPr>
          <w:ilvl w:val="0"/>
          <w:numId w:val="5"/>
        </w:numPr>
        <w:jc w:val="both"/>
        <w:rPr>
          <w:sz w:val="24"/>
          <w:szCs w:val="24"/>
        </w:rPr>
      </w:pPr>
      <w:bookmarkStart w:id="7" w:name="_Toc12476235"/>
      <w:r>
        <w:rPr>
          <w:sz w:val="24"/>
          <w:szCs w:val="24"/>
        </w:rPr>
        <w:lastRenderedPageBreak/>
        <w:t>Obecné informace</w:t>
      </w:r>
      <w:bookmarkEnd w:id="7"/>
    </w:p>
    <w:p w:rsidR="00532584" w:rsidRPr="003A38BA" w:rsidRDefault="00F9526A" w:rsidP="007C21AF">
      <w:pPr>
        <w:spacing w:after="120"/>
        <w:ind w:left="0" w:firstLine="0"/>
        <w:jc w:val="both"/>
      </w:pPr>
      <w:r>
        <w:t>„Technické zkušební podmínky pro systémy značení (TP M)“ obsahují požadavky na zkoušky způsobilosti trvalých (bílých) a dočasných (žlutých) značení, která se vytváří se systémů značení. Ustanovení těchto zkušebních podmínek pro systémy značení (TP M) vychází ze zkušební normy DIN EN 13197. Upřesňují tuto normu v některých bodech a příp. stanoví, jaké parametry, které umožňuje norma DIN EN 13197, se mají aplikovat v Německu. Pokud dané oddíly neobsahují žádné rozlišení, platí ustanovení pro trvalá i dočasná značení.</w:t>
      </w:r>
    </w:p>
    <w:p w:rsidR="00A2285F" w:rsidRPr="003A38BA" w:rsidRDefault="00A2285F" w:rsidP="007C21AF">
      <w:pPr>
        <w:spacing w:after="120"/>
        <w:ind w:left="0" w:firstLine="0"/>
        <w:jc w:val="both"/>
      </w:pPr>
      <w:r>
        <w:t xml:space="preserve">Materiály použité pro značení a přídavné látky musí odpovídat „Technickým dodacím podmínkám pro materiály na značení (TL M)“. Kromě toho musí značení odpovídat „Dodatečným smluvním podmínkám a směrnicím pro silniční značení (ZTV M)“. </w:t>
      </w:r>
    </w:p>
    <w:p w:rsidR="00BE1620" w:rsidRPr="003A38BA" w:rsidRDefault="00BE1620" w:rsidP="007C21AF">
      <w:pPr>
        <w:spacing w:after="120"/>
        <w:ind w:left="0" w:firstLine="0"/>
        <w:jc w:val="both"/>
      </w:pPr>
      <w:r>
        <w:t>Stavební materiály a směsi stavebních materiálů pro silniční značení, které byly řádně vyrobeny v jiném členském státu Evropské unie nebo v Turecku a/nebo tam byly uvedeny do oběhu nebo byly řádně vyrobeny v některém státu EFTA, smluvní straně Dohody o společném evropském hospodářském prostoru, jsou v Německu schváleny, pokud trvale zajišťují úroveň ochrany, která odpovídá „Dodatečným smluvním podmínkám a směrnici pro silniční značení (ZTV M)“ a odpovídá „Technickým smluvním podmínkám pro materiály na značení (TL M)“ na definované úrovni.</w:t>
      </w:r>
    </w:p>
    <w:p w:rsidR="002A210D" w:rsidRPr="003A38BA" w:rsidRDefault="002A210D" w:rsidP="007C21AF">
      <w:pPr>
        <w:pStyle w:val="Heading1"/>
        <w:numPr>
          <w:ilvl w:val="0"/>
          <w:numId w:val="5"/>
        </w:numPr>
        <w:jc w:val="both"/>
        <w:rPr>
          <w:sz w:val="24"/>
          <w:szCs w:val="24"/>
        </w:rPr>
      </w:pPr>
      <w:bookmarkStart w:id="8" w:name="_Toc12476236"/>
      <w:r>
        <w:rPr>
          <w:sz w:val="24"/>
          <w:szCs w:val="24"/>
        </w:rPr>
        <w:t>Odkazy na normy</w:t>
      </w:r>
      <w:bookmarkEnd w:id="8"/>
    </w:p>
    <w:p w:rsidR="002A210D" w:rsidRPr="003A38BA" w:rsidRDefault="002A210D" w:rsidP="007C21AF">
      <w:pPr>
        <w:ind w:left="0" w:firstLine="0"/>
        <w:jc w:val="both"/>
      </w:pPr>
      <w:r>
        <w:t xml:space="preserve">Pro uplatnění tohoto dokumentu se požadují níže uvedené dokumenty. U datovaných odkazů platí jen v úvahu vzaté, uvedené vydání. U nedatovaných odkazů platí poslední vydání příslušného dokumentu. </w:t>
      </w:r>
    </w:p>
    <w:p w:rsidR="001E3D7B" w:rsidRPr="003A38BA" w:rsidRDefault="001E3D7B" w:rsidP="007C21AF">
      <w:pPr>
        <w:ind w:left="0" w:firstLine="0"/>
        <w:jc w:val="both"/>
        <w:rPr>
          <w:i/>
        </w:rPr>
      </w:pPr>
    </w:p>
    <w:p w:rsidR="00D74A8B" w:rsidRPr="003A38BA" w:rsidRDefault="008D2005" w:rsidP="007C21AF">
      <w:pPr>
        <w:spacing w:after="120"/>
        <w:ind w:left="0" w:firstLine="0"/>
        <w:jc w:val="both"/>
        <w:rPr>
          <w:i/>
        </w:rPr>
      </w:pPr>
      <w:r>
        <w:rPr>
          <w:i/>
        </w:rPr>
        <w:t xml:space="preserve">DIN EN 1423 Vodorovné dopravní značení - Materiály pro dopravní značení - Dodatečný posyp - Balotina, protismykové přísady a jejich směsi </w:t>
      </w:r>
    </w:p>
    <w:p w:rsidR="004C32A6" w:rsidRPr="003A38BA" w:rsidRDefault="008D2005" w:rsidP="007C21AF">
      <w:pPr>
        <w:spacing w:after="120"/>
        <w:ind w:left="0" w:firstLine="0"/>
        <w:jc w:val="both"/>
        <w:rPr>
          <w:i/>
        </w:rPr>
      </w:pPr>
      <w:r>
        <w:rPr>
          <w:i/>
        </w:rPr>
        <w:t>DIN EN 1424 Vodorovné dopravní značení - Materiály pro dopravní značení - Premixová balotina</w:t>
      </w:r>
    </w:p>
    <w:p w:rsidR="00D74A8B" w:rsidRPr="003A38BA" w:rsidRDefault="008D2005" w:rsidP="007C21AF">
      <w:pPr>
        <w:spacing w:after="120"/>
        <w:ind w:left="0" w:firstLine="0"/>
        <w:jc w:val="both"/>
        <w:rPr>
          <w:i/>
        </w:rPr>
      </w:pPr>
      <w:r>
        <w:rPr>
          <w:i/>
        </w:rPr>
        <w:t>DIN EN 1436 Vodorovné dopravní značení - Požadavky na dopravní značení</w:t>
      </w:r>
    </w:p>
    <w:p w:rsidR="00D74A8B" w:rsidRPr="003A38BA" w:rsidRDefault="008D2005" w:rsidP="007C21AF">
      <w:pPr>
        <w:spacing w:after="120"/>
        <w:ind w:left="0" w:firstLine="0"/>
        <w:jc w:val="both"/>
        <w:rPr>
          <w:i/>
        </w:rPr>
      </w:pPr>
      <w:r>
        <w:rPr>
          <w:i/>
        </w:rPr>
        <w:t>DIN EN 1790: 2013 Vodorovné dopravní značení - Materiály pro dopravní značení - Předem připravené vodorovné dopravní značení</w:t>
      </w:r>
    </w:p>
    <w:p w:rsidR="00D74A8B" w:rsidRPr="003A38BA" w:rsidRDefault="008D2005" w:rsidP="007C21AF">
      <w:pPr>
        <w:spacing w:after="120"/>
        <w:ind w:left="0" w:firstLine="0"/>
        <w:jc w:val="both"/>
        <w:rPr>
          <w:i/>
        </w:rPr>
      </w:pPr>
      <w:r>
        <w:rPr>
          <w:i/>
        </w:rPr>
        <w:t>DIN EN 1871: 2000 Vodorovné dopravní značení - Materiály pro dopravní značení - Fyzikální vlastnosti</w:t>
      </w:r>
    </w:p>
    <w:p w:rsidR="00D74A8B" w:rsidRPr="003A38BA" w:rsidRDefault="008D2005" w:rsidP="007C21AF">
      <w:pPr>
        <w:spacing w:after="120"/>
        <w:ind w:left="0" w:firstLine="0"/>
        <w:jc w:val="both"/>
        <w:rPr>
          <w:i/>
        </w:rPr>
      </w:pPr>
      <w:r>
        <w:rPr>
          <w:i/>
        </w:rPr>
        <w:t>DIN EN 12802: 2011 Vodorovné dopravní značení - Materiály pro dopravní značení - Laboratorní metody pro identifikaci</w:t>
      </w:r>
    </w:p>
    <w:p w:rsidR="001E5919" w:rsidRPr="003A38BA" w:rsidRDefault="007A6695" w:rsidP="007C21AF">
      <w:pPr>
        <w:spacing w:after="120"/>
        <w:ind w:left="0" w:firstLine="0"/>
        <w:jc w:val="both"/>
        <w:rPr>
          <w:i/>
        </w:rPr>
      </w:pPr>
      <w:r>
        <w:rPr>
          <w:i/>
        </w:rPr>
        <w:t>DIN EN 13036-1 Povrchové vlastnosti vozovek pozemních komunikací a letištních ploch - Zkušební metody - Část 1: Měření hloubky makrotextury povrchu vozovky odměrnou metodou</w:t>
      </w:r>
    </w:p>
    <w:p w:rsidR="00D74A8B" w:rsidRPr="003A38BA" w:rsidRDefault="008D2005" w:rsidP="007C21AF">
      <w:pPr>
        <w:spacing w:after="120"/>
        <w:ind w:left="0" w:firstLine="0"/>
        <w:jc w:val="both"/>
        <w:rPr>
          <w:i/>
        </w:rPr>
      </w:pPr>
      <w:r>
        <w:rPr>
          <w:i/>
        </w:rPr>
        <w:t>DIN EN 13197: 2014 Vodorovné dopravní značení - Simulátory opotřebení</w:t>
      </w:r>
    </w:p>
    <w:p w:rsidR="008D2005" w:rsidRPr="00A37E2F" w:rsidRDefault="008D2005" w:rsidP="007C21AF">
      <w:pPr>
        <w:spacing w:after="120"/>
        <w:ind w:left="0" w:firstLine="0"/>
        <w:jc w:val="both"/>
        <w:rPr>
          <w:bCs/>
          <w:i/>
        </w:rPr>
      </w:pPr>
      <w:r>
        <w:rPr>
          <w:bCs/>
          <w:i/>
        </w:rPr>
        <w:t xml:space="preserve">DIN EN ISO 11885: 2009 Jakost vod - Stanovení vybraných prvků optickou emisní spektrometrií s indukčně vázaným plazmatem (ICP-OES) </w:t>
      </w:r>
    </w:p>
    <w:p w:rsidR="008D2005" w:rsidRPr="003A38BA" w:rsidRDefault="008D2005" w:rsidP="007C21AF">
      <w:pPr>
        <w:spacing w:after="120"/>
        <w:ind w:left="0" w:firstLine="0"/>
        <w:jc w:val="both"/>
        <w:rPr>
          <w:i/>
        </w:rPr>
      </w:pPr>
      <w:r>
        <w:rPr>
          <w:i/>
        </w:rPr>
        <w:t>ISO 2811-1: 2011 Nátěrové hmoty - Stanovení hustoty - Část 1: Pyknometrická metoda</w:t>
      </w:r>
    </w:p>
    <w:p w:rsidR="008D2005" w:rsidRPr="003A38BA" w:rsidRDefault="008D2005" w:rsidP="007C21AF">
      <w:pPr>
        <w:spacing w:after="120"/>
        <w:ind w:left="0" w:firstLine="0"/>
        <w:jc w:val="both"/>
        <w:rPr>
          <w:i/>
        </w:rPr>
      </w:pPr>
      <w:r>
        <w:rPr>
          <w:bCs/>
          <w:i/>
        </w:rPr>
        <w:t>ISO 11466 Kvalita půdy – Extrakce stopových prvků rozpustných v lučavce královské</w:t>
      </w:r>
    </w:p>
    <w:p w:rsidR="00D74A8B" w:rsidRPr="003A38BA" w:rsidRDefault="008D2005" w:rsidP="007C21AF">
      <w:pPr>
        <w:spacing w:after="120"/>
        <w:ind w:left="0" w:firstLine="0"/>
        <w:jc w:val="both"/>
        <w:rPr>
          <w:i/>
        </w:rPr>
      </w:pPr>
      <w:r>
        <w:rPr>
          <w:i/>
        </w:rPr>
        <w:t>TL M Technické dodací podmínky pro materiály na značení</w:t>
      </w:r>
    </w:p>
    <w:p w:rsidR="00D74A8B" w:rsidRPr="003A38BA" w:rsidRDefault="00D74A8B" w:rsidP="007C21AF">
      <w:pPr>
        <w:spacing w:after="120"/>
        <w:ind w:left="0" w:firstLine="0"/>
        <w:jc w:val="both"/>
        <w:rPr>
          <w:i/>
        </w:rPr>
      </w:pPr>
      <w:r>
        <w:rPr>
          <w:i/>
        </w:rPr>
        <w:t>ZTV M Dodatečné technické smluvní podmínky a směrnice pro silniční značení</w:t>
      </w:r>
    </w:p>
    <w:p w:rsidR="00FC4346" w:rsidRPr="003A38BA" w:rsidRDefault="00FC4346" w:rsidP="007C21AF">
      <w:pPr>
        <w:pStyle w:val="Heading1"/>
        <w:numPr>
          <w:ilvl w:val="0"/>
          <w:numId w:val="5"/>
        </w:numPr>
        <w:jc w:val="both"/>
        <w:rPr>
          <w:sz w:val="24"/>
          <w:szCs w:val="24"/>
        </w:rPr>
      </w:pPr>
      <w:bookmarkStart w:id="9" w:name="_Toc12476237"/>
      <w:r>
        <w:rPr>
          <w:sz w:val="24"/>
          <w:szCs w:val="24"/>
        </w:rPr>
        <w:t>Termíny a definice</w:t>
      </w:r>
      <w:bookmarkEnd w:id="9"/>
    </w:p>
    <w:p w:rsidR="003000D1" w:rsidRPr="003A38BA" w:rsidRDefault="003000D1" w:rsidP="007C21AF">
      <w:pPr>
        <w:spacing w:after="120"/>
        <w:ind w:left="0" w:firstLine="0"/>
        <w:jc w:val="both"/>
      </w:pPr>
      <w:r>
        <w:t>Ustanovení pojmů materiálů na značení a přídavných látek lze vyčíst v TL M.</w:t>
      </w:r>
    </w:p>
    <w:p w:rsidR="00FC4346" w:rsidRPr="003A38BA" w:rsidRDefault="005E003F" w:rsidP="007C21AF">
      <w:pPr>
        <w:spacing w:after="120"/>
        <w:ind w:left="0" w:firstLine="0"/>
        <w:jc w:val="both"/>
      </w:pPr>
      <w:r>
        <w:rPr>
          <w:b/>
        </w:rPr>
        <w:t>Systémy značení</w:t>
      </w:r>
      <w:r>
        <w:t xml:space="preserve"> se skládají z materiálů na značení, a rovněž příslušných přídavných látek a jsou aplikovány za účelem zkoušky způsobilosti na speciální zkušební těleso.</w:t>
      </w:r>
    </w:p>
    <w:p w:rsidR="009E5CB3" w:rsidRPr="003A38BA" w:rsidRDefault="008D2830" w:rsidP="007C21AF">
      <w:pPr>
        <w:spacing w:after="120"/>
        <w:ind w:left="0" w:firstLine="0"/>
        <w:jc w:val="both"/>
      </w:pPr>
      <w:r>
        <w:rPr>
          <w:b/>
        </w:rPr>
        <w:lastRenderedPageBreak/>
        <w:t>Zkouška způsobilosti</w:t>
      </w:r>
      <w:r>
        <w:t xml:space="preserve"> systémů značení se skládá ze </w:t>
      </w:r>
      <w:r>
        <w:rPr>
          <w:b/>
        </w:rPr>
        <w:t>zátěžové zkoušky</w:t>
      </w:r>
      <w:r>
        <w:t xml:space="preserve"> na okružním zkušebním zařízení a </w:t>
      </w:r>
      <w:r>
        <w:rPr>
          <w:b/>
        </w:rPr>
        <w:t xml:space="preserve">chemicko-fyzikální zkoušky </w:t>
      </w:r>
      <w:r>
        <w:t>(zkouška původního vzorku).</w:t>
      </w:r>
    </w:p>
    <w:p w:rsidR="00C427EB" w:rsidRPr="003A38BA" w:rsidRDefault="00C427EB" w:rsidP="007C21AF">
      <w:pPr>
        <w:spacing w:after="120"/>
        <w:ind w:left="0" w:firstLine="0"/>
        <w:jc w:val="both"/>
      </w:pPr>
      <w:r>
        <w:rPr>
          <w:b/>
        </w:rPr>
        <w:t>Zadavatel</w:t>
      </w:r>
      <w:r>
        <w:t xml:space="preserve"> je ten, kdo požaduje zkoušku způsobilosti a kdo je pro akreditovanou zkušební laboratoř uveden jako kontaktní osoba.</w:t>
      </w:r>
    </w:p>
    <w:p w:rsidR="00C427EB" w:rsidRPr="003A38BA" w:rsidRDefault="00C427EB" w:rsidP="007C21AF">
      <w:pPr>
        <w:spacing w:after="120"/>
        <w:ind w:left="0" w:firstLine="0"/>
        <w:jc w:val="both"/>
      </w:pPr>
      <w:r>
        <w:rPr>
          <w:b/>
        </w:rPr>
        <w:t xml:space="preserve">Výrobce materiálu </w:t>
      </w:r>
      <w:r>
        <w:t>je ten, kdo materiál na značení vyrábí a uvádí na trh.</w:t>
      </w:r>
    </w:p>
    <w:p w:rsidR="00C427EB" w:rsidRPr="003A38BA" w:rsidRDefault="00C427EB" w:rsidP="007C21AF">
      <w:pPr>
        <w:spacing w:after="120"/>
        <w:ind w:left="0" w:firstLine="0"/>
        <w:jc w:val="both"/>
      </w:pPr>
      <w:r>
        <w:rPr>
          <w:b/>
        </w:rPr>
        <w:t xml:space="preserve">Výrobce posypového prostředku </w:t>
      </w:r>
      <w:r>
        <w:t>je ten, kdo posypový materiál vyrábí a uvádí na trh.</w:t>
      </w:r>
    </w:p>
    <w:p w:rsidR="00C427EB" w:rsidRPr="003A38BA" w:rsidRDefault="009A49D5" w:rsidP="007C21AF">
      <w:pPr>
        <w:spacing w:after="120"/>
        <w:ind w:left="0" w:firstLine="0"/>
        <w:jc w:val="both"/>
      </w:pPr>
      <w:r>
        <w:rPr>
          <w:b/>
        </w:rPr>
        <w:t>Zkušební certifikát</w:t>
      </w:r>
      <w:r>
        <w:t xml:space="preserve"> je vystaven, pokud jsou splněny minimální národní i evropské požadavky.</w:t>
      </w:r>
    </w:p>
    <w:p w:rsidR="00C427EB" w:rsidRPr="003A38BA" w:rsidRDefault="009A49D5" w:rsidP="007C21AF">
      <w:pPr>
        <w:spacing w:after="120"/>
        <w:ind w:left="0" w:firstLine="0"/>
        <w:jc w:val="both"/>
      </w:pPr>
      <w:r>
        <w:rPr>
          <w:b/>
        </w:rPr>
        <w:t>Osvědčení o zkoušce</w:t>
      </w:r>
      <w:r>
        <w:t xml:space="preserve"> je vystaveno, pokud jsou splněny minimální evropské požadavky.</w:t>
      </w:r>
    </w:p>
    <w:p w:rsidR="00D518B6" w:rsidRPr="003A38BA" w:rsidRDefault="007B7AA0" w:rsidP="007C21AF">
      <w:pPr>
        <w:spacing w:after="120"/>
        <w:ind w:left="0" w:firstLine="0"/>
        <w:jc w:val="both"/>
      </w:pPr>
      <w:r>
        <w:t xml:space="preserve">Zkratka </w:t>
      </w:r>
      <w:r>
        <w:rPr>
          <w:b/>
        </w:rPr>
        <w:t>NPD („no performance determined“ - výkon neurčen)</w:t>
      </w:r>
      <w:r>
        <w:t xml:space="preserve"> znamená, že pro příslušnou vlastnost systému značení není deklarován žádný výkon.</w:t>
      </w:r>
    </w:p>
    <w:p w:rsidR="000B6380" w:rsidRPr="003A38BA" w:rsidRDefault="00EC3056" w:rsidP="007C21AF">
      <w:pPr>
        <w:pStyle w:val="Heading1"/>
        <w:numPr>
          <w:ilvl w:val="0"/>
          <w:numId w:val="5"/>
        </w:numPr>
        <w:jc w:val="both"/>
        <w:rPr>
          <w:sz w:val="24"/>
          <w:szCs w:val="24"/>
        </w:rPr>
      </w:pPr>
      <w:bookmarkStart w:id="10" w:name="_Toc12476238"/>
      <w:r>
        <w:rPr>
          <w:sz w:val="24"/>
          <w:szCs w:val="24"/>
        </w:rPr>
        <w:t>Zátěžové zkoušky systémů značení</w:t>
      </w:r>
      <w:bookmarkEnd w:id="10"/>
    </w:p>
    <w:p w:rsidR="00B057A1" w:rsidRPr="003A38BA" w:rsidRDefault="004C2F96" w:rsidP="007C21AF">
      <w:pPr>
        <w:pStyle w:val="Heading1"/>
        <w:numPr>
          <w:ilvl w:val="1"/>
          <w:numId w:val="5"/>
        </w:numPr>
        <w:jc w:val="both"/>
        <w:rPr>
          <w:rFonts w:ascii="Arial" w:hAnsi="Arial" w:cs="Arial"/>
          <w:sz w:val="24"/>
          <w:szCs w:val="24"/>
        </w:rPr>
      </w:pPr>
      <w:bookmarkStart w:id="11" w:name="_Toc12476239"/>
      <w:r>
        <w:rPr>
          <w:sz w:val="24"/>
          <w:szCs w:val="24"/>
        </w:rPr>
        <w:t>Okružní zkušební zařízení</w:t>
      </w:r>
      <w:bookmarkEnd w:id="11"/>
    </w:p>
    <w:p w:rsidR="00F9526A" w:rsidRPr="003A38BA" w:rsidRDefault="00F9526A" w:rsidP="007C21AF">
      <w:pPr>
        <w:spacing w:after="120"/>
        <w:ind w:left="0" w:firstLine="0"/>
        <w:jc w:val="both"/>
      </w:pPr>
      <w:r>
        <w:t>Okružní zkušební zařízení (RPA) se skládá z horizontálně umístěného rotujícího kotouče s vnějším průměrem 6,4 m. Obvodová rychlost je postupně regulovatelná až na max. 120 km/h. Rotace může nastat oběma směry. Okraj rotujícího kotouče je opatřen radiálně umístěnými pouzdry pro upevnění zkušebního tělesa. Rozměry pouzder se odvíjejí od velikosti zkušebního tělesa (viz Oddíl 4.1.2). Rotační kotouč se nachází v plně klimatizované a uzavřené místnosti.</w:t>
      </w:r>
    </w:p>
    <w:p w:rsidR="004C2F96" w:rsidRPr="003A38BA" w:rsidRDefault="004C2F96" w:rsidP="007C21AF">
      <w:pPr>
        <w:pStyle w:val="Heading1"/>
        <w:numPr>
          <w:ilvl w:val="2"/>
          <w:numId w:val="5"/>
        </w:numPr>
        <w:ind w:left="1440" w:hanging="720"/>
        <w:jc w:val="both"/>
        <w:rPr>
          <w:rFonts w:ascii="Arial" w:hAnsi="Arial" w:cs="Arial"/>
          <w:sz w:val="24"/>
          <w:szCs w:val="24"/>
        </w:rPr>
      </w:pPr>
      <w:bookmarkStart w:id="12" w:name="_Toc12476240"/>
      <w:r>
        <w:rPr>
          <w:sz w:val="24"/>
          <w:szCs w:val="24"/>
        </w:rPr>
        <w:t>Kola</w:t>
      </w:r>
      <w:bookmarkEnd w:id="12"/>
    </w:p>
    <w:p w:rsidR="00B2761F" w:rsidRPr="003A38BA" w:rsidRDefault="00B2761F" w:rsidP="007C21AF">
      <w:pPr>
        <w:spacing w:after="120"/>
        <w:ind w:left="0" w:firstLine="0"/>
        <w:jc w:val="both"/>
      </w:pPr>
      <w:r>
        <w:t>Zatížení zkušebního tělesa je vyvíjen prostřednictvím přejíždění pevně stanoveného počtu kol. Počet kol, druh pneumatik, zatížení kol, tlak v pneumatikách, odklon kola a šikmý běh kola mají vliv na zatížení zkušebního tělesa.</w:t>
      </w:r>
    </w:p>
    <w:p w:rsidR="004F79C9" w:rsidRPr="003A38BA" w:rsidRDefault="00637513" w:rsidP="007C21AF">
      <w:pPr>
        <w:spacing w:after="120"/>
        <w:ind w:left="0" w:firstLine="0"/>
        <w:jc w:val="both"/>
      </w:pPr>
      <w:r>
        <w:t>Zatížení nastává zásadně podle DIN EN 13197 se 2 páry kol. Kola jednoho páru jsou umístěna proti sobě. Pokud je se 4 páry kol docíleno srovnatelných výsledků, může být zkouška provedena také odlišně se 4 páry kol místo 2 párů kol. Může být vycházeno ze srovnatelnosti výsledků, pokud se denní a noční viditelnost vzájemně neliší o více než 15 % a drsnost se neliší o více než max. ± 5 SRT jednotek.</w:t>
      </w:r>
    </w:p>
    <w:p w:rsidR="0093336E" w:rsidRPr="003A38BA" w:rsidRDefault="002210B7" w:rsidP="007C21AF">
      <w:pPr>
        <w:spacing w:after="120"/>
        <w:ind w:left="0" w:firstLine="0"/>
        <w:jc w:val="both"/>
      </w:pPr>
      <w:r>
        <w:t xml:space="preserve">Každá zkouška začíná s novými pneumatikami. Používány jsou běžně prodávané pneumatiky na osobní vozy. Pneumatiky by měly mít minimálně rozměr 205/60, aby byla dodržena šířka styku pneu s povrchem minimálně 150 mm. Pokud používaný typ pneumatiky nemůže být dále používán, je nutno provést srovnávací proces, aby se zajistilo, že s novým typem pneumatik bude docíleno srovnatelných výsledků. Pro určování srovnatelnosti platí ty samé meze, jako pro použití 4 párů kol. </w:t>
      </w:r>
    </w:p>
    <w:p w:rsidR="007B668F" w:rsidRPr="003A38BA" w:rsidRDefault="003000D1" w:rsidP="0023536B">
      <w:pPr>
        <w:keepNext/>
        <w:spacing w:after="120"/>
        <w:ind w:left="0" w:firstLine="0"/>
        <w:jc w:val="both"/>
      </w:pPr>
      <w:r>
        <w:t xml:space="preserve">Okružní zkušební zařízení musí splňovat následující technické rámcové podmínky: </w:t>
      </w:r>
    </w:p>
    <w:p w:rsidR="00F9526A" w:rsidRPr="003A38BA" w:rsidRDefault="00886145" w:rsidP="007C21AF">
      <w:pPr>
        <w:spacing w:after="120"/>
        <w:ind w:left="0" w:firstLine="0"/>
        <w:jc w:val="both"/>
      </w:pPr>
      <w:r>
        <w:t>Zatížení kola se musí nacházet mezi 0 N a 4000 N. Tlak v pneumatikách se musí nacházet mezi 0 MPa a 0,3 MPa. Rámcové podmínky pro zkoušku způsobilosti systémů značení jsou uvedeny v tabulce 3. Systém upevnění kol musí připouštět nastavení šikmého běhu kola s tolerancí ± 10‘ a odklonu kola s tolerancí ± 1°. Před započetím nového zkušebního chodu musí být zkontrolováno nastavení šikmého běhu a odklonu kola a rovněž tlak v pneumatikách. Po každém delším přerušení zkušebního chodu by měly být zkontrolovány parametry, a je-li to nutné, měly by být upraveny.</w:t>
      </w:r>
    </w:p>
    <w:p w:rsidR="00C145F2" w:rsidRPr="003A38BA" w:rsidRDefault="004C2F96" w:rsidP="007C21AF">
      <w:pPr>
        <w:pStyle w:val="Heading1"/>
        <w:numPr>
          <w:ilvl w:val="2"/>
          <w:numId w:val="5"/>
        </w:numPr>
        <w:ind w:left="1440" w:hanging="720"/>
        <w:jc w:val="both"/>
        <w:rPr>
          <w:rFonts w:ascii="Arial" w:hAnsi="Arial" w:cs="Arial"/>
          <w:sz w:val="24"/>
          <w:szCs w:val="24"/>
        </w:rPr>
      </w:pPr>
      <w:bookmarkStart w:id="13" w:name="_Toc12476241"/>
      <w:r>
        <w:rPr>
          <w:sz w:val="24"/>
          <w:szCs w:val="24"/>
        </w:rPr>
        <w:t>Zkušební těleso</w:t>
      </w:r>
      <w:bookmarkEnd w:id="13"/>
    </w:p>
    <w:p w:rsidR="008E7BF5" w:rsidRPr="003A38BA" w:rsidRDefault="0029168C" w:rsidP="007C21AF">
      <w:pPr>
        <w:spacing w:after="120"/>
        <w:ind w:left="0" w:firstLine="0"/>
        <w:jc w:val="both"/>
      </w:pPr>
      <w:r>
        <w:t xml:space="preserve">Prověřované systémy značení jsou upevněny na speciální zkušební tělesa. Zkušební tělesa musí disponovat dostatečnou pevností, aby se kvalita povrchu během zkoušky neměnila a musí umožňovat </w:t>
      </w:r>
      <w:r>
        <w:lastRenderedPageBreak/>
        <w:t xml:space="preserve">manipulaci při teplotách až do 50 °C bez viditelných deformací nebo lomů. K výrobě zkušebních těles se používá materiál s obsahem bitumenu (např. litý asfalt). Drsnost povrchu zkušebního tělesa je určována postupem, který odpovídá popisu v DIN EN 13036-1. Hloubka drsné vrstvy činí ≤ 0,6 mm a odpovídá třídě RG 1 podle DIN EN 13197. Velikost zkušebního tělesa činí </w:t>
      </w:r>
    </w:p>
    <w:p w:rsidR="008E7BF5" w:rsidRPr="003A38BA" w:rsidRDefault="008E7BF5" w:rsidP="00276C32">
      <w:pPr>
        <w:tabs>
          <w:tab w:val="left" w:pos="2835"/>
        </w:tabs>
        <w:ind w:left="1418" w:firstLine="0"/>
        <w:jc w:val="both"/>
      </w:pPr>
      <w:r>
        <w:t>Délka:</w:t>
      </w:r>
      <w:r>
        <w:tab/>
        <w:t>397 mm (± 2 mm)</w:t>
      </w:r>
    </w:p>
    <w:p w:rsidR="008E7BF5" w:rsidRPr="003A38BA" w:rsidRDefault="008E7BF5" w:rsidP="00276C32">
      <w:pPr>
        <w:tabs>
          <w:tab w:val="left" w:pos="2835"/>
        </w:tabs>
        <w:ind w:left="1418" w:firstLine="0"/>
        <w:jc w:val="both"/>
      </w:pPr>
      <w:r>
        <w:t>Šířka:</w:t>
      </w:r>
      <w:r>
        <w:tab/>
        <w:t>198 mm (± 2 mm)</w:t>
      </w:r>
    </w:p>
    <w:p w:rsidR="00DA60F8" w:rsidRPr="003A38BA" w:rsidRDefault="007B668F" w:rsidP="00276C32">
      <w:pPr>
        <w:tabs>
          <w:tab w:val="left" w:pos="2835"/>
        </w:tabs>
        <w:ind w:left="1418" w:firstLine="0"/>
        <w:jc w:val="both"/>
      </w:pPr>
      <w:r>
        <w:t>Tloušťka:</w:t>
      </w:r>
      <w:r>
        <w:tab/>
        <w:t>48 mm (± 2 mm).</w:t>
      </w:r>
    </w:p>
    <w:p w:rsidR="008E7BF5" w:rsidRPr="003A38BA" w:rsidRDefault="008E7BF5" w:rsidP="007C21AF">
      <w:pPr>
        <w:ind w:left="708" w:firstLine="708"/>
        <w:jc w:val="both"/>
      </w:pPr>
    </w:p>
    <w:p w:rsidR="00C145F2" w:rsidRPr="003A38BA" w:rsidRDefault="00C145F2" w:rsidP="007C21AF">
      <w:pPr>
        <w:spacing w:after="120"/>
        <w:ind w:left="0" w:firstLine="0"/>
        <w:jc w:val="both"/>
      </w:pPr>
      <w:r>
        <w:t>Upevnění zkušebního tělesa do pouzdra se postará o to, aby se horní části zkušebních těles nacházely ve stejné výši s vnější částí pouzdra, aby se zabránilo skokům. Musí vzniknout rovnoměrná pojížděná plocha bez skluzů nebo vibrací a zkušební tělesa musí být ve svých pouzdrech nepohyblivá.</w:t>
      </w:r>
    </w:p>
    <w:p w:rsidR="00234C80" w:rsidRPr="003A38BA" w:rsidRDefault="00234C80" w:rsidP="007C21AF">
      <w:pPr>
        <w:pStyle w:val="Heading1"/>
        <w:numPr>
          <w:ilvl w:val="2"/>
          <w:numId w:val="5"/>
        </w:numPr>
        <w:ind w:left="1440" w:hanging="720"/>
        <w:jc w:val="both"/>
        <w:rPr>
          <w:sz w:val="24"/>
          <w:szCs w:val="24"/>
        </w:rPr>
      </w:pPr>
      <w:bookmarkStart w:id="14" w:name="_Toc12476242"/>
      <w:r>
        <w:rPr>
          <w:sz w:val="24"/>
          <w:szCs w:val="24"/>
        </w:rPr>
        <w:t>Systém čištění</w:t>
      </w:r>
      <w:bookmarkEnd w:id="14"/>
    </w:p>
    <w:p w:rsidR="00234C80" w:rsidRPr="003A38BA" w:rsidRDefault="00234C80" w:rsidP="007C21AF">
      <w:pPr>
        <w:spacing w:after="120"/>
        <w:ind w:left="0" w:firstLine="0"/>
        <w:jc w:val="both"/>
      </w:pPr>
      <w:r>
        <w:t>Během zkoušky jsou z rotačního kotouče odstraňovány stlačeným vzduchem uvolněné částice, aby se zabránilo vzájemného ovlivnění zkušebních vzorků.</w:t>
      </w:r>
    </w:p>
    <w:p w:rsidR="00921E13" w:rsidRPr="003A38BA" w:rsidRDefault="00921E13" w:rsidP="007C21AF">
      <w:pPr>
        <w:spacing w:after="120"/>
        <w:ind w:left="0" w:firstLine="0"/>
        <w:jc w:val="both"/>
      </w:pPr>
      <w:r>
        <w:t>Navíc mohou být pneumatiky během zkoušky chlazeny pomocí rozprašování vody. Chlazení pneumatik je zásadně vyžadováno pro termoplastické aplikace.</w:t>
      </w:r>
    </w:p>
    <w:p w:rsidR="004C2F96" w:rsidRPr="003A38BA" w:rsidRDefault="000D70C0" w:rsidP="007C21AF">
      <w:pPr>
        <w:pStyle w:val="Heading1"/>
        <w:numPr>
          <w:ilvl w:val="1"/>
          <w:numId w:val="5"/>
        </w:numPr>
        <w:jc w:val="both"/>
        <w:rPr>
          <w:sz w:val="24"/>
          <w:szCs w:val="24"/>
        </w:rPr>
      </w:pPr>
      <w:bookmarkStart w:id="15" w:name="_Toc12476243"/>
      <w:r>
        <w:rPr>
          <w:sz w:val="24"/>
          <w:szCs w:val="24"/>
        </w:rPr>
        <w:t>Příprava zkušebních těles</w:t>
      </w:r>
      <w:bookmarkEnd w:id="15"/>
    </w:p>
    <w:p w:rsidR="000D70C0" w:rsidRPr="003A38BA" w:rsidRDefault="000D70C0" w:rsidP="007C21AF">
      <w:pPr>
        <w:pStyle w:val="Heading1"/>
        <w:numPr>
          <w:ilvl w:val="2"/>
          <w:numId w:val="5"/>
        </w:numPr>
        <w:ind w:left="1440" w:hanging="720"/>
        <w:jc w:val="both"/>
        <w:rPr>
          <w:sz w:val="24"/>
          <w:szCs w:val="24"/>
        </w:rPr>
      </w:pPr>
      <w:bookmarkStart w:id="16" w:name="_Toc12476244"/>
      <w:r>
        <w:rPr>
          <w:sz w:val="24"/>
          <w:szCs w:val="24"/>
        </w:rPr>
        <w:t>Aplikace</w:t>
      </w:r>
      <w:bookmarkEnd w:id="16"/>
    </w:p>
    <w:p w:rsidR="00F9526A" w:rsidRPr="003A38BA" w:rsidRDefault="00232406" w:rsidP="007C21AF">
      <w:pPr>
        <w:spacing w:after="120"/>
        <w:ind w:left="0" w:firstLine="0"/>
        <w:jc w:val="both"/>
      </w:pPr>
      <w:r>
        <w:t>Na zkoušku mají vliv různé faktory v rámci aplikace, hlavně druh aplikace a nanášené množství, směr aplikace a podmínky schnutí, příp. podmínky vytvrzování.</w:t>
      </w:r>
    </w:p>
    <w:p w:rsidR="008A7AD1" w:rsidRPr="003A38BA" w:rsidRDefault="008A7AD1" w:rsidP="007C21AF">
      <w:pPr>
        <w:spacing w:after="120"/>
        <w:ind w:left="0" w:firstLine="0"/>
        <w:jc w:val="both"/>
      </w:pPr>
      <w:r>
        <w:t>Systémy značení jsou aplikovány zásadně způsobem, jakým se aplikace předpokládá v praxi. Zadavatel musí udat všechny požadované údaje pro aplikaci, včetně všech požadovaných komponentů a jejich množství, a rovněž uvést druh aplikace. Aplikační postup (detailní označení podle tab. 1), a rovněž všechna data zjištěná během aplikace, jsou dokumentována v aplikačním protokolu. Aplikace je prováděna za dohledu akreditované zkušební laboratoře nebo zkušebnou, která je zkušební laboratoří akreditována. Pokud je to požadována, může být zadavatel přítomen při aplikaci.</w:t>
      </w:r>
    </w:p>
    <w:p w:rsidR="00921E13" w:rsidRPr="003A38BA" w:rsidRDefault="00921E13" w:rsidP="007C21AF">
      <w:pPr>
        <w:spacing w:after="120"/>
        <w:ind w:left="0" w:firstLine="0"/>
        <w:jc w:val="both"/>
      </w:pPr>
      <w:r>
        <w:t xml:space="preserve">Z pokusů vyplynulo, že reaktivní systémy, které se skládají se 2 nebo 3 složek (poměr daný recepturou 98:2 nebo 1:1), docilují s ohledem na dopravně-technické vlastnosti srovnatelných výsledků a mohou být aplikovány za dodržení podmínek výrobce pomocí jednoho nebo druhého poměru daného recepturou. Poměr daný recepturou není na zkušebním certifikátu uveden, pokud výrobce materiálu před započetím zkoušky písemně potvrdí, že materiál na značení může být aplikován jak v poměru daném recepturou 98:2, tak také v poměru daném recepturou 1:1 bez rozdílů v chemickém složení. Komponenty pro poměr 98 ze 2složkového materiálu odpovídají směsi komponentů A a B z 3složkového materiálu se směšovacím poměrem (odpovídajícím receptuře) 1:1. Z toho jsou vyjmuty systémy s reflexními perlami, které indukují tvrdnutí (tzv. reaktivní perly). </w:t>
      </w:r>
    </w:p>
    <w:p w:rsidR="000D70C0" w:rsidRPr="003A38BA" w:rsidRDefault="003E3497" w:rsidP="007C21AF">
      <w:pPr>
        <w:pStyle w:val="Subtitle"/>
        <w:ind w:left="1440" w:hanging="1440"/>
        <w:jc w:val="both"/>
        <w:rPr>
          <w:spacing w:val="0"/>
          <w:sz w:val="22"/>
          <w:szCs w:val="22"/>
        </w:rPr>
      </w:pPr>
      <w:r>
        <w:rPr>
          <w:sz w:val="22"/>
          <w:szCs w:val="22"/>
        </w:rPr>
        <w:t>Tabulka 1:</w:t>
      </w:r>
      <w:r>
        <w:rPr>
          <w:sz w:val="22"/>
          <w:szCs w:val="22"/>
        </w:rPr>
        <w:tab/>
        <w:t>Zjednodušená označení aplikačních technik v závislosti na používané skupině materiálů</w:t>
      </w: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25"/>
        <w:gridCol w:w="5103"/>
        <w:gridCol w:w="1701"/>
      </w:tblGrid>
      <w:tr w:rsidR="00D82DF7" w:rsidRPr="003A38BA" w:rsidTr="003E3497">
        <w:tc>
          <w:tcPr>
            <w:tcW w:w="2425" w:type="dxa"/>
            <w:shd w:val="clear" w:color="000000" w:fill="D8D8D8"/>
            <w:vAlign w:val="center"/>
            <w:hideMark/>
          </w:tcPr>
          <w:p w:rsidR="00D82DF7" w:rsidRPr="003A38BA" w:rsidRDefault="00706B86" w:rsidP="00D82DF7">
            <w:pPr>
              <w:ind w:left="0" w:firstLine="0"/>
              <w:jc w:val="center"/>
              <w:rPr>
                <w:rFonts w:ascii="Calibri" w:eastAsia="Times New Roman" w:hAnsi="Calibri" w:cs="Times New Roman"/>
                <w:b/>
                <w:bCs/>
                <w:color w:val="000000"/>
                <w:sz w:val="20"/>
                <w:szCs w:val="20"/>
              </w:rPr>
            </w:pPr>
            <w:r>
              <w:rPr>
                <w:rFonts w:ascii="Calibri" w:hAnsi="Calibri"/>
                <w:b/>
                <w:bCs/>
                <w:color w:val="000000"/>
                <w:sz w:val="20"/>
                <w:szCs w:val="20"/>
              </w:rPr>
              <w:t xml:space="preserve">Zjednodušené označení aplikačních technik </w:t>
            </w:r>
          </w:p>
        </w:tc>
        <w:tc>
          <w:tcPr>
            <w:tcW w:w="5103" w:type="dxa"/>
            <w:shd w:val="clear" w:color="000000" w:fill="D8D8D8"/>
            <w:noWrap/>
            <w:vAlign w:val="center"/>
            <w:hideMark/>
          </w:tcPr>
          <w:p w:rsidR="00D82DF7" w:rsidRPr="003A38BA" w:rsidRDefault="00706B86" w:rsidP="00D82DF7">
            <w:pPr>
              <w:ind w:left="0" w:firstLine="0"/>
              <w:jc w:val="center"/>
              <w:rPr>
                <w:rFonts w:ascii="Calibri" w:eastAsia="Times New Roman" w:hAnsi="Calibri" w:cs="Times New Roman"/>
                <w:b/>
                <w:bCs/>
                <w:color w:val="000000"/>
                <w:sz w:val="20"/>
                <w:szCs w:val="20"/>
              </w:rPr>
            </w:pPr>
            <w:r>
              <w:rPr>
                <w:rFonts w:ascii="Calibri" w:hAnsi="Calibri"/>
                <w:b/>
                <w:bCs/>
                <w:color w:val="000000"/>
                <w:sz w:val="20"/>
                <w:szCs w:val="20"/>
              </w:rPr>
              <w:t>Detailní označení v aplikačním protokolu</w:t>
            </w:r>
            <w:r w:rsidR="003000D1" w:rsidRPr="003A38BA">
              <w:rPr>
                <w:rStyle w:val="FootnoteReference"/>
                <w:rFonts w:ascii="Calibri" w:eastAsia="Times New Roman" w:hAnsi="Calibri" w:cs="Times New Roman"/>
                <w:b/>
                <w:bCs/>
                <w:color w:val="000000"/>
                <w:sz w:val="20"/>
                <w:szCs w:val="20"/>
                <w:lang w:eastAsia="de-DE"/>
              </w:rPr>
              <w:footnoteReference w:id="1"/>
            </w:r>
          </w:p>
        </w:tc>
        <w:tc>
          <w:tcPr>
            <w:tcW w:w="1701" w:type="dxa"/>
            <w:shd w:val="clear" w:color="000000" w:fill="D8D8D8"/>
            <w:noWrap/>
            <w:vAlign w:val="center"/>
            <w:hideMark/>
          </w:tcPr>
          <w:p w:rsidR="00D82DF7" w:rsidRPr="003A38BA" w:rsidRDefault="00D82DF7" w:rsidP="00D82DF7">
            <w:pPr>
              <w:ind w:left="0" w:firstLine="0"/>
              <w:jc w:val="center"/>
              <w:rPr>
                <w:rFonts w:ascii="Calibri" w:eastAsia="Times New Roman" w:hAnsi="Calibri" w:cs="Times New Roman"/>
                <w:b/>
                <w:bCs/>
                <w:color w:val="000000"/>
                <w:sz w:val="20"/>
                <w:szCs w:val="20"/>
              </w:rPr>
            </w:pPr>
            <w:r>
              <w:rPr>
                <w:rFonts w:ascii="Calibri" w:hAnsi="Calibri"/>
                <w:b/>
                <w:bCs/>
                <w:color w:val="000000"/>
                <w:sz w:val="20"/>
                <w:szCs w:val="20"/>
              </w:rPr>
              <w:t>Skupina materiálů</w:t>
            </w:r>
          </w:p>
        </w:tc>
      </w:tr>
      <w:tr w:rsidR="00D82DF7" w:rsidRPr="003A38BA" w:rsidTr="003E3497">
        <w:tc>
          <w:tcPr>
            <w:tcW w:w="2425" w:type="dxa"/>
            <w:vMerge w:val="restart"/>
            <w:shd w:val="clear" w:color="auto" w:fill="auto"/>
            <w:noWrap/>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Technika postřikem</w:t>
            </w: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Airless</w:t>
            </w:r>
          </w:p>
        </w:tc>
        <w:tc>
          <w:tcPr>
            <w:tcW w:w="1701" w:type="dxa"/>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 xml:space="preserve">Barvy, plastické materiály pro </w:t>
            </w:r>
            <w:r>
              <w:rPr>
                <w:rFonts w:ascii="Calibri" w:hAnsi="Calibri"/>
                <w:color w:val="000000"/>
                <w:sz w:val="20"/>
                <w:szCs w:val="20"/>
              </w:rPr>
              <w:lastRenderedPageBreak/>
              <w:t>postřik za studena, za tepla</w:t>
            </w: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Stlačený vzduch</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On Line</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Airless s perlami Intermix</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Termosprej</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Rozprašovaný vzduch v závislosti na dráze</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Rozprašovaný vzduch s vnějším mícháním - kapalné tvrdidlo</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Pravidelné aglomeráty</w:t>
            </w: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Multidot Line</w:t>
            </w:r>
          </w:p>
        </w:tc>
        <w:tc>
          <w:tcPr>
            <w:tcW w:w="1701" w:type="dxa"/>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Plastické materiály pro aplikaci za studena, za tepla</w:t>
            </w: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Pravidelné tečky (Dots)</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Termoextrudér</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Spotflex</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Extrudér / speciální značení</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Systém Visidot</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Nepravidelné aglomeráty</w:t>
            </w: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Extrudér</w:t>
            </w:r>
          </w:p>
        </w:tc>
        <w:tc>
          <w:tcPr>
            <w:tcW w:w="1701" w:type="dxa"/>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Plastické materiály pro aplikaci za studena, za tepla</w:t>
            </w: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Předepjaté ocelové plechové pružiny (systém Feichtner)</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Perforovaný plech</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Válec s bodci</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Posypová technika</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restart"/>
            <w:shd w:val="clear" w:color="auto" w:fill="auto"/>
            <w:noWrap/>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Plná čára</w:t>
            </w: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Stroj na výrobu vodorovného značení</w:t>
            </w:r>
          </w:p>
        </w:tc>
        <w:tc>
          <w:tcPr>
            <w:tcW w:w="1701" w:type="dxa"/>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Plastické materiály pro aplikaci za studena, za tepla</w:t>
            </w: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Extrudér</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restart"/>
            <w:shd w:val="clear" w:color="auto" w:fill="auto"/>
            <w:noWrap/>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Plná čára se strukturovaným povrchem</w:t>
            </w: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Stroj na výrobu čáry + zařízení na vytvoření struktury</w:t>
            </w:r>
          </w:p>
        </w:tc>
        <w:tc>
          <w:tcPr>
            <w:tcW w:w="1701" w:type="dxa"/>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Plastika za studena</w:t>
            </w: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Roller</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restart"/>
            <w:shd w:val="clear" w:color="auto" w:fill="auto"/>
            <w:noWrap/>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válcovaný</w:t>
            </w: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Předběžný nátěr (primer), válcovaný</w:t>
            </w:r>
          </w:p>
        </w:tc>
        <w:tc>
          <w:tcPr>
            <w:tcW w:w="1701" w:type="dxa"/>
            <w:vMerge w:val="restart"/>
            <w:shd w:val="clear" w:color="auto" w:fill="auto"/>
            <w:noWrap/>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Fólie</w:t>
            </w: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Bez primeru, válcovaný</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Bitumen plus, válcovaný</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Asfalt plus, válcovaný</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6E1AD5" w:rsidRPr="003A38BA" w:rsidTr="003E3497">
        <w:tc>
          <w:tcPr>
            <w:tcW w:w="2425" w:type="dxa"/>
            <w:vMerge w:val="restart"/>
            <w:shd w:val="clear" w:color="auto" w:fill="auto"/>
            <w:vAlign w:val="center"/>
            <w:hideMark/>
          </w:tcPr>
          <w:p w:rsidR="006E1AD5" w:rsidRPr="003A38BA" w:rsidRDefault="006E1AD5"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Prefabrikovaný systém značení</w:t>
            </w:r>
          </w:p>
        </w:tc>
        <w:tc>
          <w:tcPr>
            <w:tcW w:w="5103" w:type="dxa"/>
            <w:shd w:val="clear" w:color="auto" w:fill="auto"/>
            <w:vAlign w:val="bottom"/>
            <w:hideMark/>
          </w:tcPr>
          <w:p w:rsidR="006E1AD5" w:rsidRPr="003A38BA" w:rsidRDefault="006E1AD5"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Prefabrikovaný systém značení roztavitelný pomocí ručního hořáku</w:t>
            </w:r>
          </w:p>
        </w:tc>
        <w:tc>
          <w:tcPr>
            <w:tcW w:w="1701" w:type="dxa"/>
            <w:vMerge w:val="restart"/>
            <w:shd w:val="clear" w:color="auto" w:fill="auto"/>
            <w:noWrap/>
            <w:vAlign w:val="center"/>
            <w:hideMark/>
          </w:tcPr>
          <w:p w:rsidR="006E1AD5" w:rsidRPr="003A38BA" w:rsidRDefault="006E1AD5" w:rsidP="0023536B">
            <w:pPr>
              <w:ind w:left="0" w:firstLine="0"/>
              <w:jc w:val="center"/>
              <w:rPr>
                <w:rFonts w:ascii="Calibri" w:eastAsia="Times New Roman" w:hAnsi="Calibri" w:cs="Times New Roman"/>
                <w:color w:val="000000"/>
                <w:sz w:val="20"/>
                <w:szCs w:val="20"/>
              </w:rPr>
            </w:pPr>
            <w:r>
              <w:rPr>
                <w:rFonts w:ascii="Calibri" w:hAnsi="Calibri"/>
                <w:color w:val="000000"/>
                <w:sz w:val="20"/>
                <w:szCs w:val="20"/>
              </w:rPr>
              <w:t>Termoplast ev. v budoucnu také plastika za studena</w:t>
            </w:r>
          </w:p>
        </w:tc>
      </w:tr>
      <w:tr w:rsidR="006E1AD5" w:rsidRPr="003A38BA" w:rsidTr="003E3497">
        <w:tc>
          <w:tcPr>
            <w:tcW w:w="2425" w:type="dxa"/>
            <w:vMerge/>
            <w:vAlign w:val="center"/>
            <w:hideMark/>
          </w:tcPr>
          <w:p w:rsidR="006E1AD5" w:rsidRPr="003A38BA" w:rsidRDefault="006E1AD5"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6E1AD5" w:rsidRPr="003A38BA" w:rsidRDefault="006E1AD5"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prefabrikovaný systém značení roztavitelný pomocí ručního hořáku, s dodatečnými termoplastickými body (dots)</w:t>
            </w:r>
          </w:p>
        </w:tc>
        <w:tc>
          <w:tcPr>
            <w:tcW w:w="1701" w:type="dxa"/>
            <w:vMerge/>
            <w:shd w:val="clear" w:color="auto" w:fill="auto"/>
            <w:vAlign w:val="bottom"/>
            <w:hideMark/>
          </w:tcPr>
          <w:p w:rsidR="006E1AD5" w:rsidRPr="003A38BA" w:rsidRDefault="006E1AD5" w:rsidP="00D82DF7">
            <w:pPr>
              <w:ind w:left="0" w:firstLine="0"/>
              <w:jc w:val="center"/>
              <w:rPr>
                <w:rFonts w:ascii="Calibri" w:eastAsia="Times New Roman" w:hAnsi="Calibri" w:cs="Times New Roman"/>
                <w:color w:val="000000"/>
                <w:sz w:val="20"/>
                <w:szCs w:val="20"/>
                <w:lang w:eastAsia="de-DE"/>
              </w:rPr>
            </w:pPr>
          </w:p>
        </w:tc>
      </w:tr>
    </w:tbl>
    <w:p w:rsidR="00EB1650" w:rsidRPr="003A38BA" w:rsidRDefault="00EB1650" w:rsidP="007C21AF">
      <w:pPr>
        <w:spacing w:after="120"/>
        <w:ind w:left="0" w:firstLine="0"/>
        <w:jc w:val="both"/>
      </w:pPr>
      <w:r>
        <w:t xml:space="preserve">V protikladu k detailnímu označení aplikačního postupu v aplikačním protokolu jsou ve zkušebním certifikátu nebo v osvědčení o zkoušce udávána v tabulce 1 vypsaná zjednodušená označení aplikačních technik. </w:t>
      </w:r>
    </w:p>
    <w:p w:rsidR="00260651" w:rsidRPr="003A38BA" w:rsidRDefault="00260651" w:rsidP="007C21AF">
      <w:pPr>
        <w:spacing w:after="120"/>
        <w:ind w:left="0" w:firstLine="0"/>
        <w:jc w:val="both"/>
      </w:pPr>
      <w:r>
        <w:t xml:space="preserve">Systém značení je aplikován na 4 zkušebních tělesech. Pokud je nutno určit dobu sušení, je požadováno 5. zkušební těleso. Jedno zkušební těleso slouží jako zpětný vzorek a definuje nový stav. 3 zkušební tělesa jsou přejížděna v okružním zkušebním zařízení. </w:t>
      </w:r>
    </w:p>
    <w:p w:rsidR="00B2761F" w:rsidRPr="00A37E2F" w:rsidRDefault="00B2761F" w:rsidP="007C21AF">
      <w:pPr>
        <w:pStyle w:val="Heading1"/>
        <w:numPr>
          <w:ilvl w:val="2"/>
          <w:numId w:val="5"/>
        </w:numPr>
        <w:ind w:left="1440" w:hanging="720"/>
        <w:jc w:val="both"/>
        <w:rPr>
          <w:rFonts w:asciiTheme="minorHAnsi" w:hAnsiTheme="minorHAnsi"/>
          <w:sz w:val="24"/>
          <w:szCs w:val="24"/>
        </w:rPr>
      </w:pPr>
      <w:bookmarkStart w:id="17" w:name="_Toc12476245"/>
      <w:r>
        <w:rPr>
          <w:rFonts w:asciiTheme="minorHAnsi" w:hAnsiTheme="minorHAnsi"/>
          <w:sz w:val="24"/>
          <w:szCs w:val="24"/>
        </w:rPr>
        <w:t>Měření vztažená k aplikaci</w:t>
      </w:r>
      <w:bookmarkEnd w:id="17"/>
    </w:p>
    <w:p w:rsidR="000D70C0" w:rsidRPr="003A38BA" w:rsidRDefault="000D70C0" w:rsidP="007C21AF">
      <w:pPr>
        <w:spacing w:after="120"/>
        <w:ind w:left="0" w:firstLine="0"/>
        <w:jc w:val="both"/>
      </w:pPr>
      <w:r>
        <w:t xml:space="preserve">Značení musí být aplikováno při teplotě vzduchu mezi +10 °C a +35 °C a relativní vlhkosti vzduchu do max. 80 %. Teplota vzduchu, a rovněž relativní vlhkost vzduchu je nutno určit bezprostředně před začátkem aplikace a zdokumentovat ho. </w:t>
      </w:r>
    </w:p>
    <w:p w:rsidR="000503D0" w:rsidRPr="003A38BA" w:rsidRDefault="004F79C9" w:rsidP="007C21AF">
      <w:pPr>
        <w:spacing w:after="120"/>
        <w:ind w:left="0" w:firstLine="0"/>
        <w:jc w:val="both"/>
      </w:pPr>
      <w:r>
        <w:t>Doba sušení až do doby, kdy je možné přejíždět, musí být stanovena pro barvy a plastické hmoty s aplikací za studena způsobem který odpovídá zatřídění do tříd uvedených v tabulce 2, a zdokumentován společně s klimatickými podmínkami (teplota okolí, teplota povrchu zkušebních těles a relativní vlhkost vzduchu). Pro termoplastická značení je doba schnutí zásadně zatříděna do třídy T2 (≤ 10 min.). Značení je možno přejíždět, pokud při přejetí nenastanou žádné deformace materiálu na značení. Dobu sušení</w:t>
      </w:r>
      <w:r w:rsidR="00CD0A25" w:rsidRPr="003A38BA">
        <w:rPr>
          <w:rStyle w:val="FootnoteReference"/>
        </w:rPr>
        <w:footnoteReference w:id="2"/>
      </w:r>
      <w:r>
        <w:t xml:space="preserve"> je nutné vždy nastavit s ohledem na DIN EN 13197, Příloha A. </w:t>
      </w:r>
    </w:p>
    <w:p w:rsidR="000503D0" w:rsidRPr="003A38BA" w:rsidRDefault="003E3497" w:rsidP="00276C32">
      <w:pPr>
        <w:pStyle w:val="Subtitle"/>
        <w:keepNext/>
        <w:keepLines/>
        <w:ind w:left="1440" w:hanging="1440"/>
        <w:jc w:val="both"/>
        <w:rPr>
          <w:spacing w:val="0"/>
        </w:rPr>
      </w:pPr>
      <w:r>
        <w:lastRenderedPageBreak/>
        <w:t>Tabulka 2:</w:t>
      </w:r>
      <w:r>
        <w:tab/>
        <w:t>Třídy pro moment, kdy je možné již přejíždět</w:t>
      </w:r>
    </w:p>
    <w:tbl>
      <w:tblPr>
        <w:tblStyle w:val="TableGrid"/>
        <w:tblW w:w="0" w:type="auto"/>
        <w:tblInd w:w="108" w:type="dxa"/>
        <w:tblLook w:val="04A0" w:firstRow="1" w:lastRow="0" w:firstColumn="1" w:lastColumn="0" w:noHBand="0" w:noVBand="1"/>
      </w:tblPr>
      <w:tblGrid>
        <w:gridCol w:w="2209"/>
        <w:gridCol w:w="1040"/>
        <w:gridCol w:w="1005"/>
        <w:gridCol w:w="1006"/>
        <w:gridCol w:w="1007"/>
        <w:gridCol w:w="1007"/>
      </w:tblGrid>
      <w:tr w:rsidR="00921E13" w:rsidRPr="003A38BA" w:rsidTr="00EB1650">
        <w:tc>
          <w:tcPr>
            <w:tcW w:w="2209" w:type="dxa"/>
          </w:tcPr>
          <w:p w:rsidR="00921E13" w:rsidRPr="003A38BA" w:rsidRDefault="00921E13" w:rsidP="00A503EF">
            <w:pPr>
              <w:spacing w:after="120"/>
              <w:ind w:left="0" w:firstLine="0"/>
            </w:pPr>
            <w:r>
              <w:t>Třída pro moment, kdy je možné již přejíždět</w:t>
            </w:r>
          </w:p>
        </w:tc>
        <w:tc>
          <w:tcPr>
            <w:tcW w:w="1040" w:type="dxa"/>
          </w:tcPr>
          <w:p w:rsidR="00921E13" w:rsidRPr="003A38BA" w:rsidRDefault="00921E13" w:rsidP="000503D0">
            <w:pPr>
              <w:spacing w:after="120"/>
              <w:ind w:left="0" w:firstLine="0"/>
              <w:jc w:val="center"/>
            </w:pPr>
            <w:r>
              <w:t>T0</w:t>
            </w:r>
          </w:p>
        </w:tc>
        <w:tc>
          <w:tcPr>
            <w:tcW w:w="1005" w:type="dxa"/>
          </w:tcPr>
          <w:p w:rsidR="00921E13" w:rsidRPr="003A38BA" w:rsidRDefault="00921E13" w:rsidP="000503D0">
            <w:pPr>
              <w:spacing w:after="120"/>
              <w:ind w:left="0" w:firstLine="0"/>
              <w:jc w:val="center"/>
            </w:pPr>
            <w:r>
              <w:t>T1</w:t>
            </w:r>
          </w:p>
        </w:tc>
        <w:tc>
          <w:tcPr>
            <w:tcW w:w="1006" w:type="dxa"/>
          </w:tcPr>
          <w:p w:rsidR="00921E13" w:rsidRPr="003A38BA" w:rsidRDefault="00921E13" w:rsidP="000503D0">
            <w:pPr>
              <w:spacing w:after="120"/>
              <w:ind w:left="0" w:firstLine="0"/>
              <w:jc w:val="center"/>
            </w:pPr>
            <w:r>
              <w:t>T2</w:t>
            </w:r>
          </w:p>
        </w:tc>
        <w:tc>
          <w:tcPr>
            <w:tcW w:w="1007" w:type="dxa"/>
          </w:tcPr>
          <w:p w:rsidR="00921E13" w:rsidRPr="003A38BA" w:rsidRDefault="00921E13" w:rsidP="000503D0">
            <w:pPr>
              <w:spacing w:after="120"/>
              <w:ind w:left="0" w:firstLine="0"/>
              <w:jc w:val="center"/>
            </w:pPr>
            <w:r>
              <w:t>T3</w:t>
            </w:r>
          </w:p>
        </w:tc>
        <w:tc>
          <w:tcPr>
            <w:tcW w:w="1007" w:type="dxa"/>
          </w:tcPr>
          <w:p w:rsidR="00921E13" w:rsidRPr="003A38BA" w:rsidRDefault="00921E13" w:rsidP="000503D0">
            <w:pPr>
              <w:spacing w:after="120"/>
              <w:ind w:left="0" w:firstLine="0"/>
              <w:jc w:val="center"/>
            </w:pPr>
            <w:r>
              <w:t>T4</w:t>
            </w:r>
          </w:p>
        </w:tc>
      </w:tr>
      <w:tr w:rsidR="00921E13" w:rsidRPr="003A38BA" w:rsidTr="00EB1650">
        <w:tc>
          <w:tcPr>
            <w:tcW w:w="2209" w:type="dxa"/>
          </w:tcPr>
          <w:p w:rsidR="00921E13" w:rsidRPr="003A38BA" w:rsidRDefault="00CD0A25" w:rsidP="00CD0A25">
            <w:pPr>
              <w:spacing w:after="120"/>
              <w:ind w:left="0" w:firstLine="0"/>
            </w:pPr>
            <w:r>
              <w:t>Doba sušení v minutách</w:t>
            </w:r>
          </w:p>
        </w:tc>
        <w:tc>
          <w:tcPr>
            <w:tcW w:w="1040" w:type="dxa"/>
          </w:tcPr>
          <w:p w:rsidR="00921E13" w:rsidRPr="003A38BA" w:rsidRDefault="00921E13" w:rsidP="000503D0">
            <w:pPr>
              <w:spacing w:after="120"/>
              <w:ind w:left="0" w:firstLine="0"/>
              <w:jc w:val="center"/>
            </w:pPr>
            <w:r>
              <w:t>NPD</w:t>
            </w:r>
          </w:p>
        </w:tc>
        <w:tc>
          <w:tcPr>
            <w:tcW w:w="1005" w:type="dxa"/>
          </w:tcPr>
          <w:p w:rsidR="00921E13" w:rsidRPr="003A38BA" w:rsidRDefault="00921E13" w:rsidP="000503D0">
            <w:pPr>
              <w:spacing w:after="120"/>
              <w:ind w:left="0" w:firstLine="0"/>
              <w:jc w:val="center"/>
            </w:pPr>
            <w:r>
              <w:t>≤ 1</w:t>
            </w:r>
          </w:p>
        </w:tc>
        <w:tc>
          <w:tcPr>
            <w:tcW w:w="1006" w:type="dxa"/>
          </w:tcPr>
          <w:p w:rsidR="00921E13" w:rsidRPr="003A38BA" w:rsidRDefault="00921E13" w:rsidP="000503D0">
            <w:pPr>
              <w:spacing w:after="120"/>
              <w:ind w:left="0" w:firstLine="0"/>
              <w:jc w:val="center"/>
            </w:pPr>
            <w:r>
              <w:t>≤ 10</w:t>
            </w:r>
          </w:p>
        </w:tc>
        <w:tc>
          <w:tcPr>
            <w:tcW w:w="1007" w:type="dxa"/>
          </w:tcPr>
          <w:p w:rsidR="00921E13" w:rsidRPr="003A38BA" w:rsidRDefault="00921E13" w:rsidP="000503D0">
            <w:pPr>
              <w:spacing w:after="120"/>
              <w:ind w:left="0" w:firstLine="0"/>
              <w:jc w:val="center"/>
            </w:pPr>
            <w:r>
              <w:t>≤ 20</w:t>
            </w:r>
          </w:p>
        </w:tc>
        <w:tc>
          <w:tcPr>
            <w:tcW w:w="1007" w:type="dxa"/>
          </w:tcPr>
          <w:p w:rsidR="00921E13" w:rsidRPr="003A38BA" w:rsidRDefault="00921E13" w:rsidP="000503D0">
            <w:pPr>
              <w:spacing w:after="120"/>
              <w:ind w:left="0" w:firstLine="0"/>
              <w:jc w:val="center"/>
            </w:pPr>
            <w:r>
              <w:t>≤ 30</w:t>
            </w:r>
          </w:p>
        </w:tc>
      </w:tr>
    </w:tbl>
    <w:p w:rsidR="000503D0" w:rsidRPr="003A38BA" w:rsidRDefault="000503D0" w:rsidP="00A503EF">
      <w:pPr>
        <w:spacing w:after="120"/>
        <w:ind w:left="0" w:firstLine="0"/>
      </w:pPr>
    </w:p>
    <w:p w:rsidR="004F79C9" w:rsidRPr="003A38BA" w:rsidRDefault="004F79C9" w:rsidP="007C21AF">
      <w:pPr>
        <w:spacing w:after="120"/>
        <w:ind w:left="0" w:firstLine="0"/>
        <w:jc w:val="both"/>
      </w:pPr>
      <w:r>
        <w:t>Během aplikace systému značení musí být určena množství materiálu aplikovaného skutečně na zkušebních tělesech, a rovněž všechny přídavné látky.</w:t>
      </w:r>
    </w:p>
    <w:p w:rsidR="00B53040" w:rsidRPr="003A38BA" w:rsidRDefault="00B53040" w:rsidP="007C21AF">
      <w:pPr>
        <w:spacing w:after="120"/>
        <w:ind w:left="0" w:firstLine="0"/>
        <w:jc w:val="both"/>
      </w:pPr>
      <w:r>
        <w:t>Aplikovaná množství materiálu značení se udávají pomocí tloušťky vrstvy. Tloušťku vrstvy je nutné vždy stanovit s ohledem na DIN EN 13197, Příloha C. V některých případech může nastat určení aplikovaného množství prostřednictvím sukcesivního vážení zkušebního tělesa po aplikaci různých komponentů (materiál, posypový prostředek). Tloušťka vrstvy je pak určena z účinného aplikačního množství. Aplikační množství u aglomerátů je zjišťováno díky zvážení množství materiálu bez posypových prostředků. Pro tenkovrstvé systémy je obecně praktičtější měřit tloušťku mokrého filmu pomocí uzemněné kalibrované měřicího komory.</w:t>
      </w:r>
    </w:p>
    <w:p w:rsidR="004F79C9" w:rsidRPr="003A38BA" w:rsidRDefault="004F79C9" w:rsidP="007C21AF">
      <w:pPr>
        <w:spacing w:after="120"/>
        <w:ind w:left="0" w:firstLine="0"/>
        <w:jc w:val="both"/>
      </w:pPr>
      <w:r>
        <w:t>Výsledky je nutno dokumentovat v aplikačním protokolu.</w:t>
      </w:r>
    </w:p>
    <w:p w:rsidR="000766A6" w:rsidRPr="003A38BA" w:rsidRDefault="000766A6" w:rsidP="007C21AF">
      <w:pPr>
        <w:pStyle w:val="Heading1"/>
        <w:numPr>
          <w:ilvl w:val="2"/>
          <w:numId w:val="5"/>
        </w:numPr>
        <w:ind w:left="1440" w:hanging="720"/>
        <w:jc w:val="both"/>
        <w:rPr>
          <w:rFonts w:ascii="Arial" w:hAnsi="Arial" w:cs="Arial"/>
          <w:sz w:val="24"/>
          <w:szCs w:val="24"/>
        </w:rPr>
      </w:pPr>
      <w:bookmarkStart w:id="18" w:name="_Toc12476246"/>
      <w:r>
        <w:rPr>
          <w:sz w:val="24"/>
          <w:szCs w:val="24"/>
        </w:rPr>
        <w:t>Odběr vzorků</w:t>
      </w:r>
      <w:bookmarkEnd w:id="18"/>
    </w:p>
    <w:p w:rsidR="000766A6" w:rsidRPr="003A38BA" w:rsidRDefault="000766A6" w:rsidP="007C21AF">
      <w:pPr>
        <w:spacing w:after="120"/>
        <w:ind w:left="0" w:firstLine="0"/>
        <w:jc w:val="both"/>
      </w:pPr>
      <w:r>
        <w:t>Za účelem identifikace jsou z každého materiálu na značení, ze všech součástí vícesložkového materiálu, a rovněž z přídavných látek odebírány vzorky během aplikace. Na prováděných vzorcích jsou prováděna chemicko-fyzikální zkoumání za účelem identifikace systému značení.</w:t>
      </w:r>
    </w:p>
    <w:p w:rsidR="00260651" w:rsidRPr="003A38BA" w:rsidRDefault="00260651" w:rsidP="007C21AF">
      <w:pPr>
        <w:pStyle w:val="Heading1"/>
        <w:numPr>
          <w:ilvl w:val="2"/>
          <w:numId w:val="5"/>
        </w:numPr>
        <w:ind w:left="1440" w:hanging="720"/>
        <w:jc w:val="both"/>
        <w:rPr>
          <w:rFonts w:ascii="Arial" w:hAnsi="Arial" w:cs="Arial"/>
          <w:sz w:val="24"/>
          <w:szCs w:val="24"/>
        </w:rPr>
      </w:pPr>
      <w:bookmarkStart w:id="19" w:name="_Toc12476247"/>
      <w:r>
        <w:rPr>
          <w:sz w:val="24"/>
          <w:szCs w:val="24"/>
        </w:rPr>
        <w:t>Doba přípravy</w:t>
      </w:r>
      <w:bookmarkEnd w:id="19"/>
    </w:p>
    <w:p w:rsidR="00260651" w:rsidRPr="003A38BA" w:rsidRDefault="00C8360F" w:rsidP="007C21AF">
      <w:pPr>
        <w:spacing w:after="120"/>
        <w:ind w:left="0" w:firstLine="0"/>
        <w:jc w:val="both"/>
      </w:pPr>
      <w:r>
        <w:t>Barvy s obsahem rozpouštědel smí být přejížděny poprvé v okružním zkušebním zařízení nejdříve 8 a nejpozději 12 dnů po provedené aplikaci. Časový prostor pro disperze musí být o jeden týden delší, než pro barvy obsahující rozpouštědla. Všechny ostatní systémy značení smí být poprvé přejížděny nejdříve 48 hodin po provedené aplikaci.</w:t>
      </w:r>
    </w:p>
    <w:p w:rsidR="005517CE" w:rsidRPr="003A38BA" w:rsidRDefault="005517CE" w:rsidP="007C21AF">
      <w:pPr>
        <w:spacing w:after="120"/>
        <w:ind w:left="0" w:firstLine="0"/>
        <w:jc w:val="both"/>
      </w:pPr>
      <w:r>
        <w:t xml:space="preserve">Připravená zkušební tělesa musí být uskladněna v klimatizované místnosti při teplotě 20° ±5 °C a relativní vlhkosti mezi 45 % a 75 %, aby se usušila, příp. vytvrdila. </w:t>
      </w:r>
    </w:p>
    <w:p w:rsidR="005517CE" w:rsidRPr="003A38BA" w:rsidRDefault="005517CE" w:rsidP="007C21AF">
      <w:pPr>
        <w:pStyle w:val="Heading1"/>
        <w:numPr>
          <w:ilvl w:val="2"/>
          <w:numId w:val="5"/>
        </w:numPr>
        <w:ind w:left="1440" w:hanging="720"/>
        <w:jc w:val="both"/>
        <w:rPr>
          <w:sz w:val="24"/>
          <w:szCs w:val="24"/>
        </w:rPr>
      </w:pPr>
      <w:bookmarkStart w:id="20" w:name="_Toc12476248"/>
      <w:r>
        <w:rPr>
          <w:sz w:val="24"/>
          <w:szCs w:val="24"/>
        </w:rPr>
        <w:t>Směr aplikace</w:t>
      </w:r>
      <w:bookmarkEnd w:id="20"/>
    </w:p>
    <w:p w:rsidR="005517CE" w:rsidRPr="003A38BA" w:rsidRDefault="005517CE" w:rsidP="007C21AF">
      <w:pPr>
        <w:spacing w:after="120"/>
        <w:ind w:left="0" w:firstLine="0"/>
        <w:jc w:val="both"/>
      </w:pPr>
      <w:r>
        <w:t xml:space="preserve">Při aplikaci na zkušební tělesa je nutno zohlednit, že zkušební tělesa musí být v okružním zkušebním zařízení vyrovnána tak, aby systémy značení mohly být přejížděny ve směru i v protisměru aplikace. </w:t>
      </w:r>
    </w:p>
    <w:p w:rsidR="006D5959" w:rsidRPr="003A38BA" w:rsidRDefault="006D5959" w:rsidP="007C21AF">
      <w:pPr>
        <w:pStyle w:val="Heading1"/>
        <w:numPr>
          <w:ilvl w:val="1"/>
          <w:numId w:val="5"/>
        </w:numPr>
        <w:jc w:val="both"/>
        <w:rPr>
          <w:rFonts w:ascii="Arial" w:hAnsi="Arial" w:cs="Arial"/>
          <w:sz w:val="24"/>
          <w:szCs w:val="24"/>
        </w:rPr>
      </w:pPr>
      <w:bookmarkStart w:id="21" w:name="_Toc12476249"/>
      <w:r>
        <w:rPr>
          <w:sz w:val="24"/>
          <w:szCs w:val="24"/>
        </w:rPr>
        <w:t>Referenční vzorek</w:t>
      </w:r>
      <w:bookmarkEnd w:id="21"/>
    </w:p>
    <w:p w:rsidR="00EB7D09" w:rsidRPr="003A38BA" w:rsidRDefault="006D5959" w:rsidP="007C21AF">
      <w:pPr>
        <w:spacing w:after="120"/>
        <w:ind w:left="0" w:firstLine="0"/>
        <w:jc w:val="both"/>
      </w:pPr>
      <w:r>
        <w:t xml:space="preserve">V každém zkušebním běhu musí kvůli kontrole bezvadného zkušebního procesu obsaženo minimálně jedno zkušební těleso, které je potaženo standardním systémem značení (referenční vzorek). Musí být stanoven materiál značení, a rovněž pokyny pro aplikaci na referenční vzorek. </w:t>
      </w:r>
    </w:p>
    <w:p w:rsidR="006D5959" w:rsidRPr="003A38BA" w:rsidRDefault="006D5959" w:rsidP="007C21AF">
      <w:pPr>
        <w:spacing w:after="120"/>
        <w:ind w:left="0" w:firstLine="0"/>
        <w:jc w:val="both"/>
      </w:pPr>
      <w:r>
        <w:t xml:space="preserve">Výsledky, kterých se docílí pomocí referenčního vzorku v každé jednotlivé zkoušce, slouží k zabezpečení kvality (viz Oddíl 4.4.5). </w:t>
      </w:r>
    </w:p>
    <w:p w:rsidR="00B2761F" w:rsidRPr="003A38BA" w:rsidRDefault="00B2761F" w:rsidP="007C21AF">
      <w:pPr>
        <w:pStyle w:val="Heading1"/>
        <w:numPr>
          <w:ilvl w:val="1"/>
          <w:numId w:val="5"/>
        </w:numPr>
        <w:jc w:val="both"/>
        <w:rPr>
          <w:sz w:val="24"/>
          <w:szCs w:val="24"/>
        </w:rPr>
      </w:pPr>
      <w:bookmarkStart w:id="22" w:name="_Toc12476250"/>
      <w:r>
        <w:rPr>
          <w:sz w:val="24"/>
          <w:szCs w:val="24"/>
        </w:rPr>
        <w:t>Provedení zkoušky</w:t>
      </w:r>
      <w:bookmarkEnd w:id="22"/>
    </w:p>
    <w:p w:rsidR="00D1262E" w:rsidRPr="003A38BA" w:rsidRDefault="00AD7468" w:rsidP="007C21AF">
      <w:pPr>
        <w:spacing w:after="120"/>
        <w:ind w:left="0" w:firstLine="0"/>
        <w:jc w:val="both"/>
      </w:pPr>
      <w:r>
        <w:t>Připravená zkušební tělesa nesmí být přejížděna dříve, než je dodržena stanovená doba přípravy. Zkušební tělesa, která nejsou zcela vysušena nebo vytvrzena, ovlivní podle okolností ostatní zkušební tělesa, proto nesmí být podrobena zkoušce. K pokrytí požadované plochy měření min. 800 cm</w:t>
      </w:r>
      <w:r>
        <w:rPr>
          <w:vertAlign w:val="superscript"/>
        </w:rPr>
        <w:t>2</w:t>
      </w:r>
      <w:r>
        <w:t xml:space="preserve"> je </w:t>
      </w:r>
      <w:r>
        <w:lastRenderedPageBreak/>
        <w:t xml:space="preserve">nutno použít minimálně nutný počet 3 zkušebních těles, na která je aplikována vždy minimální tloušťka vrstvy na 20 cm. Uspořádání zkušebních těles na okružním zkušebním zařízení probíhá náhodně. 3 zkušební tělesa jednoho systému značení nejsou přitom oddělena, ale jsou umístěna přímo vedle sebe. </w:t>
      </w:r>
    </w:p>
    <w:p w:rsidR="00B2761F" w:rsidRPr="003A38BA" w:rsidRDefault="008C64DB" w:rsidP="007C21AF">
      <w:pPr>
        <w:spacing w:after="120"/>
        <w:ind w:left="0" w:firstLine="0"/>
        <w:jc w:val="both"/>
      </w:pPr>
      <w:r>
        <w:t>Při zkoušce termoplastických materiálů je vyžadováno systematické uspořádání. Zkušební tělesa jsou umístěna tak, aby kolo mohlo pojíždět střídavě přes skupinu zkušebních těles a jednu stejně velkou skupinu prázdných desek. Z rozsahu kola a rozměru zkušebního tělesa, příp. prázdných desek vyplývá že vždy 2 systémy značení, které se skládají vždy ze 3 zkušebních těles, jsou umístěny vedle sebe. Poté následuje 6 prázdných desek, dříve, než jsou umístěny další 2 systémy značení.</w:t>
      </w:r>
    </w:p>
    <w:p w:rsidR="006D5959" w:rsidRPr="003A38BA" w:rsidRDefault="006D5959" w:rsidP="007C21AF">
      <w:pPr>
        <w:pStyle w:val="Heading1"/>
        <w:numPr>
          <w:ilvl w:val="2"/>
          <w:numId w:val="5"/>
        </w:numPr>
        <w:ind w:left="1440" w:hanging="720"/>
        <w:jc w:val="both"/>
        <w:rPr>
          <w:rFonts w:ascii="Arial" w:hAnsi="Arial" w:cs="Arial"/>
          <w:sz w:val="24"/>
          <w:szCs w:val="24"/>
        </w:rPr>
      </w:pPr>
      <w:bookmarkStart w:id="23" w:name="_Toc12476251"/>
      <w:r>
        <w:rPr>
          <w:sz w:val="24"/>
          <w:szCs w:val="24"/>
        </w:rPr>
        <w:t>Zkušební podmínky</w:t>
      </w:r>
      <w:bookmarkEnd w:id="23"/>
    </w:p>
    <w:p w:rsidR="00AD7468" w:rsidRPr="003A38BA" w:rsidRDefault="00AD7468" w:rsidP="007C21AF">
      <w:pPr>
        <w:spacing w:after="120"/>
        <w:ind w:left="0" w:firstLine="0"/>
        <w:jc w:val="both"/>
      </w:pPr>
      <w:r>
        <w:t>Zkušební podmínky a měřicí cykly jsou definovány v tabulkách 3 a 4.</w:t>
      </w:r>
    </w:p>
    <w:p w:rsidR="004D7F92" w:rsidRPr="003A38BA" w:rsidRDefault="004D7F92" w:rsidP="007C21AF">
      <w:pPr>
        <w:spacing w:after="120"/>
        <w:ind w:left="0" w:firstLine="0"/>
        <w:jc w:val="both"/>
      </w:pPr>
      <w:r>
        <w:t>Počet současně zkoušených vzorků pro barvy, fólie a plastické materiály aplikované za studen je omezen počtem pouzder na otočném kotouči. Pro termoplastické systémy značení je počet zásadně omezen na 12 vzorků.</w:t>
      </w:r>
    </w:p>
    <w:p w:rsidR="004D7F92" w:rsidRPr="003A38BA" w:rsidRDefault="004D7F92" w:rsidP="007C21AF">
      <w:pPr>
        <w:spacing w:after="120"/>
        <w:ind w:left="0" w:firstLine="0"/>
        <w:jc w:val="both"/>
      </w:pPr>
      <w:r>
        <w:t>Značení z různých materiálů na značení nejsou zásadně zkoušena současně. Rozlišuje se mezi: barvou (barva s obsahem rozpouštědel, disperze), plastické materiály s aplikací za studena, fólie na bázi hliníku, fólie na jiné bázi, termoplastické materiály.</w:t>
      </w:r>
    </w:p>
    <w:p w:rsidR="00C34F3E" w:rsidRPr="003A38BA" w:rsidRDefault="003E3497" w:rsidP="00A11530">
      <w:pPr>
        <w:pStyle w:val="Subtitle"/>
        <w:keepNext/>
        <w:ind w:left="1440" w:hanging="1440"/>
        <w:jc w:val="both"/>
        <w:rPr>
          <w:spacing w:val="0"/>
        </w:rPr>
      </w:pPr>
      <w:r>
        <w:t>Tabulka 3:</w:t>
      </w:r>
      <w:r>
        <w:tab/>
        <w:t>Zkušební podmínky</w:t>
      </w:r>
    </w:p>
    <w:tbl>
      <w:tblPr>
        <w:tblStyle w:val="TableGrid"/>
        <w:tblW w:w="0" w:type="auto"/>
        <w:tblLook w:val="04A0" w:firstRow="1" w:lastRow="0" w:firstColumn="1" w:lastColumn="0" w:noHBand="0" w:noVBand="1"/>
      </w:tblPr>
      <w:tblGrid>
        <w:gridCol w:w="4606"/>
        <w:gridCol w:w="4606"/>
      </w:tblGrid>
      <w:tr w:rsidR="00AD7468" w:rsidRPr="003A38BA" w:rsidTr="00AD7468">
        <w:tc>
          <w:tcPr>
            <w:tcW w:w="4606" w:type="dxa"/>
          </w:tcPr>
          <w:p w:rsidR="00AD7468" w:rsidRPr="003A38BA" w:rsidRDefault="00AD7468" w:rsidP="00A503EF">
            <w:pPr>
              <w:spacing w:after="120"/>
              <w:ind w:left="0" w:firstLine="0"/>
            </w:pPr>
            <w:r>
              <w:t>Počet zkušebních kol</w:t>
            </w:r>
          </w:p>
        </w:tc>
        <w:tc>
          <w:tcPr>
            <w:tcW w:w="4606" w:type="dxa"/>
          </w:tcPr>
          <w:p w:rsidR="00AD7468" w:rsidRPr="003A38BA" w:rsidRDefault="00AD7468" w:rsidP="00A503EF">
            <w:pPr>
              <w:spacing w:after="120"/>
              <w:ind w:left="0" w:firstLine="0"/>
            </w:pPr>
            <w:r>
              <w:t>4 nebo 8, v závislosti na zkoušeném materiálu (viz Oddíl 4.1.1)</w:t>
            </w:r>
          </w:p>
        </w:tc>
      </w:tr>
      <w:tr w:rsidR="00AD7468" w:rsidRPr="003A38BA" w:rsidTr="00AD7468">
        <w:tc>
          <w:tcPr>
            <w:tcW w:w="4606" w:type="dxa"/>
          </w:tcPr>
          <w:p w:rsidR="00AD7468" w:rsidRPr="003A38BA" w:rsidRDefault="00AD7468" w:rsidP="00A503EF">
            <w:pPr>
              <w:spacing w:after="120"/>
              <w:ind w:left="0" w:firstLine="0"/>
            </w:pPr>
            <w:r>
              <w:t>Typ zkušebních pneumatik</w:t>
            </w:r>
          </w:p>
        </w:tc>
        <w:tc>
          <w:tcPr>
            <w:tcW w:w="4606" w:type="dxa"/>
          </w:tcPr>
          <w:p w:rsidR="00AD7468" w:rsidRPr="003A38BA" w:rsidRDefault="00AD7468" w:rsidP="00A503EF">
            <w:pPr>
              <w:spacing w:after="120"/>
              <w:ind w:left="0" w:firstLine="0"/>
            </w:pPr>
            <w:r>
              <w:t>Přípustné běžně prodávané pneumatiky podle Oddílu 4.1.1</w:t>
            </w:r>
          </w:p>
          <w:p w:rsidR="00AD7468" w:rsidRPr="003A38BA" w:rsidRDefault="00AD7468" w:rsidP="00A503EF">
            <w:pPr>
              <w:spacing w:after="120"/>
              <w:ind w:left="0" w:firstLine="0"/>
            </w:pPr>
            <w:r>
              <w:t>Nové pneumatiky pro každou zkoušku</w:t>
            </w:r>
            <w:r w:rsidR="00D1262E" w:rsidRPr="003A38BA">
              <w:rPr>
                <w:rStyle w:val="FootnoteReference"/>
              </w:rPr>
              <w:footnoteReference w:id="3"/>
            </w:r>
          </w:p>
        </w:tc>
      </w:tr>
      <w:tr w:rsidR="00AD7468" w:rsidRPr="003A38BA" w:rsidTr="00AD7468">
        <w:tc>
          <w:tcPr>
            <w:tcW w:w="4606" w:type="dxa"/>
          </w:tcPr>
          <w:p w:rsidR="00AD7468" w:rsidRPr="003A38BA" w:rsidRDefault="00AD7468" w:rsidP="00A503EF">
            <w:pPr>
              <w:spacing w:after="120"/>
              <w:ind w:left="0" w:firstLine="0"/>
            </w:pPr>
            <w:r>
              <w:t>Tlak v pneumatikách</w:t>
            </w:r>
          </w:p>
        </w:tc>
        <w:tc>
          <w:tcPr>
            <w:tcW w:w="4606" w:type="dxa"/>
          </w:tcPr>
          <w:p w:rsidR="00AD7468" w:rsidRPr="003A38BA" w:rsidRDefault="00AD7468" w:rsidP="00A503EF">
            <w:pPr>
              <w:spacing w:after="120"/>
              <w:ind w:left="0" w:firstLine="0"/>
            </w:pPr>
            <w:r>
              <w:t>0,25 ± 0,02 MPa</w:t>
            </w:r>
          </w:p>
        </w:tc>
      </w:tr>
      <w:tr w:rsidR="00AD7468" w:rsidRPr="003A38BA" w:rsidTr="00AD7468">
        <w:tc>
          <w:tcPr>
            <w:tcW w:w="4606" w:type="dxa"/>
          </w:tcPr>
          <w:p w:rsidR="00AD7468" w:rsidRPr="003A38BA" w:rsidRDefault="00AD7468" w:rsidP="00A503EF">
            <w:pPr>
              <w:spacing w:after="120"/>
              <w:ind w:left="0" w:firstLine="0"/>
            </w:pPr>
            <w:r>
              <w:t>Zatížení kola</w:t>
            </w:r>
          </w:p>
        </w:tc>
        <w:tc>
          <w:tcPr>
            <w:tcW w:w="4606" w:type="dxa"/>
          </w:tcPr>
          <w:p w:rsidR="00AD7468" w:rsidRPr="003A38BA" w:rsidRDefault="00AD7468" w:rsidP="00A503EF">
            <w:pPr>
              <w:spacing w:after="120"/>
              <w:ind w:left="0" w:firstLine="0"/>
            </w:pPr>
            <w:r>
              <w:t>3000 ± 300 N</w:t>
            </w:r>
          </w:p>
        </w:tc>
      </w:tr>
      <w:tr w:rsidR="00AD7468" w:rsidRPr="003A38BA" w:rsidTr="00AD7468">
        <w:tc>
          <w:tcPr>
            <w:tcW w:w="4606" w:type="dxa"/>
          </w:tcPr>
          <w:p w:rsidR="00AD7468" w:rsidRPr="003A38BA" w:rsidRDefault="00AD7468" w:rsidP="00A503EF">
            <w:pPr>
              <w:spacing w:after="120"/>
              <w:ind w:left="0" w:firstLine="0"/>
            </w:pPr>
            <w:r>
              <w:t>Odklon kola</w:t>
            </w:r>
          </w:p>
        </w:tc>
        <w:tc>
          <w:tcPr>
            <w:tcW w:w="4606" w:type="dxa"/>
          </w:tcPr>
          <w:p w:rsidR="00AD7468" w:rsidRPr="003A38BA" w:rsidRDefault="00AD7468" w:rsidP="00921E13">
            <w:pPr>
              <w:spacing w:after="120"/>
              <w:ind w:left="0" w:firstLine="0"/>
            </w:pPr>
            <w:r>
              <w:t>0° až k maximální odchylce ± 1°</w:t>
            </w:r>
          </w:p>
        </w:tc>
      </w:tr>
      <w:tr w:rsidR="00AD7468" w:rsidRPr="003A38BA" w:rsidTr="00AD7468">
        <w:tc>
          <w:tcPr>
            <w:tcW w:w="4606" w:type="dxa"/>
          </w:tcPr>
          <w:p w:rsidR="00AD7468" w:rsidRPr="003A38BA" w:rsidRDefault="00AD7468" w:rsidP="00A503EF">
            <w:pPr>
              <w:spacing w:after="120"/>
              <w:ind w:left="0" w:firstLine="0"/>
            </w:pPr>
            <w:r>
              <w:t>Šikmý běh kola</w:t>
            </w:r>
          </w:p>
        </w:tc>
        <w:tc>
          <w:tcPr>
            <w:tcW w:w="4606" w:type="dxa"/>
          </w:tcPr>
          <w:p w:rsidR="00AD7468" w:rsidRPr="003A38BA" w:rsidRDefault="00AD7468" w:rsidP="00A503EF">
            <w:pPr>
              <w:spacing w:after="120"/>
              <w:ind w:left="0" w:firstLine="0"/>
            </w:pPr>
            <w:r>
              <w:t>Podle kola proměnlivý +1° (±10‘) / -1° (±10‘)</w:t>
            </w:r>
          </w:p>
        </w:tc>
      </w:tr>
      <w:tr w:rsidR="00AD7468" w:rsidRPr="003A38BA" w:rsidTr="00AD7468">
        <w:tc>
          <w:tcPr>
            <w:tcW w:w="4606" w:type="dxa"/>
          </w:tcPr>
          <w:p w:rsidR="00AD7468" w:rsidRPr="003A38BA" w:rsidRDefault="00AD7468" w:rsidP="00A503EF">
            <w:pPr>
              <w:spacing w:after="120"/>
              <w:ind w:left="0" w:firstLine="0"/>
            </w:pPr>
            <w:r>
              <w:t>Rychlost</w:t>
            </w:r>
          </w:p>
        </w:tc>
        <w:tc>
          <w:tcPr>
            <w:tcW w:w="4606" w:type="dxa"/>
          </w:tcPr>
          <w:p w:rsidR="00AD7468" w:rsidRPr="003A38BA" w:rsidRDefault="00AD7468" w:rsidP="00A503EF">
            <w:pPr>
              <w:spacing w:after="120"/>
              <w:ind w:left="0" w:firstLine="0"/>
            </w:pPr>
            <w:r>
              <w:t>15 km/h ± 1 km/h při zavodnění</w:t>
            </w:r>
          </w:p>
          <w:p w:rsidR="00AD7468" w:rsidRPr="003A38BA" w:rsidRDefault="00AD7468" w:rsidP="00A503EF">
            <w:pPr>
              <w:spacing w:after="120"/>
              <w:ind w:left="0" w:firstLine="0"/>
            </w:pPr>
            <w:r>
              <w:t>60 km/h ± 3 km/h</w:t>
            </w:r>
          </w:p>
        </w:tc>
      </w:tr>
      <w:tr w:rsidR="00AD7468" w:rsidRPr="003A38BA" w:rsidTr="00AD7468">
        <w:tc>
          <w:tcPr>
            <w:tcW w:w="4606" w:type="dxa"/>
          </w:tcPr>
          <w:p w:rsidR="00AD7468" w:rsidRPr="003A38BA" w:rsidRDefault="00AD7468" w:rsidP="00A503EF">
            <w:pPr>
              <w:spacing w:after="120"/>
              <w:ind w:left="0" w:firstLine="0"/>
            </w:pPr>
            <w:r>
              <w:t>Směr otáčení</w:t>
            </w:r>
          </w:p>
        </w:tc>
        <w:tc>
          <w:tcPr>
            <w:tcW w:w="4606" w:type="dxa"/>
          </w:tcPr>
          <w:p w:rsidR="00AD7468" w:rsidRPr="003A38BA" w:rsidRDefault="00AD7468" w:rsidP="00BF3220">
            <w:pPr>
              <w:spacing w:after="120"/>
              <w:ind w:left="0" w:firstLine="0"/>
            </w:pPr>
            <w:r>
              <w:t>50 % do každého směru</w:t>
            </w:r>
          </w:p>
        </w:tc>
      </w:tr>
      <w:tr w:rsidR="00AD7468" w:rsidRPr="003A38BA" w:rsidTr="00AD7468">
        <w:tc>
          <w:tcPr>
            <w:tcW w:w="4606" w:type="dxa"/>
          </w:tcPr>
          <w:p w:rsidR="00AD7468" w:rsidRPr="003A38BA" w:rsidRDefault="0043206D" w:rsidP="00A503EF">
            <w:pPr>
              <w:spacing w:after="120"/>
              <w:ind w:left="0" w:firstLine="0"/>
            </w:pPr>
            <w:r>
              <w:t>Intervaly měření</w:t>
            </w:r>
          </w:p>
        </w:tc>
        <w:tc>
          <w:tcPr>
            <w:tcW w:w="4606" w:type="dxa"/>
          </w:tcPr>
          <w:p w:rsidR="00AD7468" w:rsidRPr="003A38BA" w:rsidRDefault="0043206D" w:rsidP="00A503EF">
            <w:pPr>
              <w:spacing w:after="120"/>
              <w:ind w:left="0" w:firstLine="0"/>
            </w:pPr>
            <w:r>
              <w:t>0; 0,01; 0,1; 0,2; 0,5; 1,0; 2,0; 3,0 a 4,0 x 10</w:t>
            </w:r>
            <w:r>
              <w:rPr>
                <w:vertAlign w:val="superscript"/>
              </w:rPr>
              <w:t>6</w:t>
            </w:r>
          </w:p>
        </w:tc>
      </w:tr>
      <w:tr w:rsidR="0043206D" w:rsidRPr="003A38BA" w:rsidTr="00AD7468">
        <w:tc>
          <w:tcPr>
            <w:tcW w:w="4606" w:type="dxa"/>
          </w:tcPr>
          <w:p w:rsidR="0043206D" w:rsidRPr="003A38BA" w:rsidRDefault="0043206D" w:rsidP="00A503EF">
            <w:pPr>
              <w:spacing w:after="120"/>
              <w:ind w:left="0" w:firstLine="0"/>
            </w:pPr>
            <w:r>
              <w:t>Pokojová teplota</w:t>
            </w:r>
          </w:p>
        </w:tc>
        <w:tc>
          <w:tcPr>
            <w:tcW w:w="4606" w:type="dxa"/>
          </w:tcPr>
          <w:p w:rsidR="0043206D" w:rsidRPr="003A38BA" w:rsidRDefault="0043206D" w:rsidP="00A503EF">
            <w:pPr>
              <w:spacing w:after="120"/>
              <w:ind w:left="0" w:firstLine="0"/>
            </w:pPr>
            <w:r>
              <w:t>5 °C až 10 °C</w:t>
            </w:r>
          </w:p>
        </w:tc>
      </w:tr>
    </w:tbl>
    <w:p w:rsidR="00AD7468" w:rsidRPr="003A38BA" w:rsidRDefault="00AD7468" w:rsidP="00D9642C">
      <w:pPr>
        <w:spacing w:after="120"/>
        <w:ind w:left="0" w:firstLine="0"/>
      </w:pPr>
    </w:p>
    <w:p w:rsidR="00D9642C" w:rsidRPr="003A38BA" w:rsidRDefault="00D9642C" w:rsidP="00A11530">
      <w:pPr>
        <w:pStyle w:val="Subtitle"/>
        <w:keepNext/>
        <w:ind w:left="1440" w:hanging="1440"/>
        <w:jc w:val="both"/>
        <w:rPr>
          <w:spacing w:val="0"/>
        </w:rPr>
      </w:pPr>
      <w:r>
        <w:t>Tabulka 4:</w:t>
      </w:r>
      <w:r>
        <w:tab/>
        <w:t>Měřicí cyklus</w:t>
      </w:r>
    </w:p>
    <w:tbl>
      <w:tblPr>
        <w:tblStyle w:val="TableGrid"/>
        <w:tblW w:w="0" w:type="auto"/>
        <w:tblLook w:val="04A0" w:firstRow="1" w:lastRow="0" w:firstColumn="1" w:lastColumn="0" w:noHBand="0" w:noVBand="1"/>
      </w:tblPr>
      <w:tblGrid>
        <w:gridCol w:w="1316"/>
        <w:gridCol w:w="1316"/>
        <w:gridCol w:w="1316"/>
        <w:gridCol w:w="1316"/>
        <w:gridCol w:w="1316"/>
        <w:gridCol w:w="1316"/>
        <w:gridCol w:w="1316"/>
      </w:tblGrid>
      <w:tr w:rsidR="00C34F3E" w:rsidRPr="003A38BA" w:rsidTr="00C34F3E">
        <w:tc>
          <w:tcPr>
            <w:tcW w:w="1316" w:type="dxa"/>
          </w:tcPr>
          <w:p w:rsidR="00C34F3E" w:rsidRPr="003A38BA" w:rsidRDefault="00C34F3E" w:rsidP="00A503EF">
            <w:pPr>
              <w:spacing w:after="120"/>
              <w:ind w:left="0" w:firstLine="0"/>
              <w:rPr>
                <w:b/>
                <w:sz w:val="18"/>
                <w:szCs w:val="18"/>
              </w:rPr>
            </w:pPr>
            <w:r>
              <w:rPr>
                <w:b/>
                <w:sz w:val="18"/>
                <w:szCs w:val="18"/>
              </w:rPr>
              <w:t>Měřicí cyklus</w:t>
            </w:r>
          </w:p>
        </w:tc>
        <w:tc>
          <w:tcPr>
            <w:tcW w:w="1316" w:type="dxa"/>
          </w:tcPr>
          <w:p w:rsidR="00C34F3E" w:rsidRPr="003A38BA" w:rsidRDefault="00C34F3E" w:rsidP="00A503EF">
            <w:pPr>
              <w:spacing w:after="120"/>
              <w:ind w:left="0" w:firstLine="0"/>
              <w:rPr>
                <w:b/>
                <w:sz w:val="18"/>
                <w:szCs w:val="18"/>
              </w:rPr>
            </w:pPr>
            <w:r>
              <w:rPr>
                <w:b/>
                <w:sz w:val="18"/>
                <w:szCs w:val="18"/>
              </w:rPr>
              <w:t>Přejetí v měřicím cyklu</w:t>
            </w:r>
          </w:p>
        </w:tc>
        <w:tc>
          <w:tcPr>
            <w:tcW w:w="1316" w:type="dxa"/>
          </w:tcPr>
          <w:p w:rsidR="00C34F3E" w:rsidRPr="003A38BA" w:rsidRDefault="00C34F3E" w:rsidP="00A503EF">
            <w:pPr>
              <w:spacing w:after="120"/>
              <w:ind w:left="0" w:firstLine="0"/>
              <w:rPr>
                <w:b/>
                <w:sz w:val="18"/>
                <w:szCs w:val="18"/>
              </w:rPr>
            </w:pPr>
            <w:r>
              <w:rPr>
                <w:b/>
                <w:sz w:val="18"/>
                <w:szCs w:val="18"/>
              </w:rPr>
              <w:t>Přejetí při zavodnění na začátku</w:t>
            </w:r>
          </w:p>
        </w:tc>
        <w:tc>
          <w:tcPr>
            <w:tcW w:w="1316" w:type="dxa"/>
          </w:tcPr>
          <w:p w:rsidR="00C34F3E" w:rsidRPr="003A38BA" w:rsidRDefault="00C34F3E" w:rsidP="00A503EF">
            <w:pPr>
              <w:spacing w:after="120"/>
              <w:ind w:left="0" w:firstLine="0"/>
              <w:rPr>
                <w:b/>
                <w:sz w:val="18"/>
                <w:szCs w:val="18"/>
              </w:rPr>
            </w:pPr>
            <w:r>
              <w:rPr>
                <w:b/>
                <w:sz w:val="18"/>
                <w:szCs w:val="18"/>
              </w:rPr>
              <w:t>Přejetí za sucha</w:t>
            </w:r>
          </w:p>
        </w:tc>
        <w:tc>
          <w:tcPr>
            <w:tcW w:w="1316" w:type="dxa"/>
          </w:tcPr>
          <w:p w:rsidR="00C34F3E" w:rsidRPr="003A38BA" w:rsidRDefault="00C34F3E" w:rsidP="00A503EF">
            <w:pPr>
              <w:spacing w:after="120"/>
              <w:ind w:left="0" w:firstLine="0"/>
              <w:rPr>
                <w:b/>
                <w:sz w:val="18"/>
                <w:szCs w:val="18"/>
              </w:rPr>
            </w:pPr>
            <w:r>
              <w:rPr>
                <w:b/>
                <w:sz w:val="18"/>
                <w:szCs w:val="18"/>
              </w:rPr>
              <w:t>Přejetí při zavodnění na konci *)</w:t>
            </w:r>
          </w:p>
        </w:tc>
        <w:tc>
          <w:tcPr>
            <w:tcW w:w="1316" w:type="dxa"/>
          </w:tcPr>
          <w:p w:rsidR="00C34F3E" w:rsidRPr="003A38BA" w:rsidRDefault="00C34F3E" w:rsidP="00A503EF">
            <w:pPr>
              <w:spacing w:after="120"/>
              <w:ind w:left="0" w:firstLine="0"/>
              <w:rPr>
                <w:b/>
                <w:sz w:val="18"/>
                <w:szCs w:val="18"/>
              </w:rPr>
            </w:pPr>
            <w:r>
              <w:rPr>
                <w:b/>
                <w:sz w:val="18"/>
                <w:szCs w:val="18"/>
              </w:rPr>
              <w:t xml:space="preserve">Přejetí při změně směru otáčení </w:t>
            </w:r>
          </w:p>
        </w:tc>
        <w:tc>
          <w:tcPr>
            <w:tcW w:w="1316" w:type="dxa"/>
          </w:tcPr>
          <w:p w:rsidR="00C34F3E" w:rsidRPr="003A38BA" w:rsidRDefault="00C34F3E" w:rsidP="00A503EF">
            <w:pPr>
              <w:spacing w:after="120"/>
              <w:ind w:left="0" w:firstLine="0"/>
              <w:rPr>
                <w:b/>
                <w:sz w:val="18"/>
                <w:szCs w:val="18"/>
              </w:rPr>
            </w:pPr>
            <w:r>
              <w:rPr>
                <w:b/>
                <w:sz w:val="18"/>
                <w:szCs w:val="18"/>
              </w:rPr>
              <w:t>Přejetí celkem</w:t>
            </w:r>
          </w:p>
        </w:tc>
      </w:tr>
      <w:tr w:rsidR="00C34F3E" w:rsidRPr="003A38BA" w:rsidTr="00C34F3E">
        <w:tc>
          <w:tcPr>
            <w:tcW w:w="1316" w:type="dxa"/>
          </w:tcPr>
          <w:p w:rsidR="00C34F3E" w:rsidRPr="003A38BA" w:rsidRDefault="00EB7D09" w:rsidP="00C34F3E">
            <w:pPr>
              <w:spacing w:after="120"/>
              <w:ind w:left="0" w:firstLine="0"/>
              <w:jc w:val="center"/>
            </w:pPr>
            <w:r>
              <w:t>1</w:t>
            </w:r>
          </w:p>
        </w:tc>
        <w:tc>
          <w:tcPr>
            <w:tcW w:w="1316" w:type="dxa"/>
          </w:tcPr>
          <w:p w:rsidR="00C34F3E" w:rsidRPr="003A38BA" w:rsidRDefault="00EB7D09" w:rsidP="00C34F3E">
            <w:pPr>
              <w:spacing w:after="120"/>
              <w:ind w:left="0" w:firstLine="0"/>
              <w:jc w:val="center"/>
            </w:pPr>
            <w:r>
              <w:t>10 000</w:t>
            </w:r>
          </w:p>
        </w:tc>
        <w:tc>
          <w:tcPr>
            <w:tcW w:w="1316" w:type="dxa"/>
          </w:tcPr>
          <w:p w:rsidR="00C34F3E" w:rsidRPr="003A38BA" w:rsidRDefault="00EB7D09" w:rsidP="00C34F3E">
            <w:pPr>
              <w:spacing w:after="120"/>
              <w:ind w:left="0" w:firstLine="0"/>
              <w:jc w:val="center"/>
            </w:pPr>
            <w:r>
              <w:t>1 750</w:t>
            </w:r>
          </w:p>
        </w:tc>
        <w:tc>
          <w:tcPr>
            <w:tcW w:w="1316" w:type="dxa"/>
          </w:tcPr>
          <w:p w:rsidR="00C34F3E" w:rsidRPr="003A38BA" w:rsidRDefault="00EB7D09" w:rsidP="00C34F3E">
            <w:pPr>
              <w:spacing w:after="120"/>
              <w:ind w:left="0" w:firstLine="0"/>
              <w:jc w:val="center"/>
            </w:pPr>
            <w:r>
              <w:t>6 500</w:t>
            </w:r>
          </w:p>
        </w:tc>
        <w:tc>
          <w:tcPr>
            <w:tcW w:w="1316" w:type="dxa"/>
          </w:tcPr>
          <w:p w:rsidR="00C34F3E" w:rsidRPr="003A38BA" w:rsidRDefault="00EB7D09" w:rsidP="00C34F3E">
            <w:pPr>
              <w:spacing w:after="120"/>
              <w:ind w:left="0" w:firstLine="0"/>
              <w:jc w:val="center"/>
            </w:pPr>
            <w:r>
              <w:t>1 750</w:t>
            </w:r>
          </w:p>
        </w:tc>
        <w:tc>
          <w:tcPr>
            <w:tcW w:w="1316" w:type="dxa"/>
          </w:tcPr>
          <w:p w:rsidR="00C34F3E" w:rsidRPr="003A38BA" w:rsidRDefault="00EB7D09" w:rsidP="00C34F3E">
            <w:pPr>
              <w:spacing w:after="120"/>
              <w:ind w:left="0" w:firstLine="0"/>
              <w:jc w:val="center"/>
            </w:pPr>
            <w:r>
              <w:t>5 000</w:t>
            </w:r>
          </w:p>
        </w:tc>
        <w:tc>
          <w:tcPr>
            <w:tcW w:w="1316" w:type="dxa"/>
          </w:tcPr>
          <w:p w:rsidR="00C34F3E" w:rsidRPr="003A38BA" w:rsidRDefault="00EB7D09" w:rsidP="00C34F3E">
            <w:pPr>
              <w:spacing w:after="120"/>
              <w:ind w:left="0" w:firstLine="0"/>
              <w:jc w:val="center"/>
            </w:pPr>
            <w:r>
              <w:t>10 000</w:t>
            </w:r>
          </w:p>
        </w:tc>
      </w:tr>
      <w:tr w:rsidR="00C34F3E" w:rsidRPr="003A38BA" w:rsidTr="00C34F3E">
        <w:tc>
          <w:tcPr>
            <w:tcW w:w="1316" w:type="dxa"/>
          </w:tcPr>
          <w:p w:rsidR="00C34F3E" w:rsidRPr="003A38BA" w:rsidRDefault="00EB7D09" w:rsidP="003114C1">
            <w:pPr>
              <w:spacing w:after="120"/>
              <w:ind w:left="0" w:firstLine="0"/>
              <w:jc w:val="center"/>
            </w:pPr>
            <w:r>
              <w:t xml:space="preserve">2 </w:t>
            </w:r>
          </w:p>
        </w:tc>
        <w:tc>
          <w:tcPr>
            <w:tcW w:w="1316" w:type="dxa"/>
          </w:tcPr>
          <w:p w:rsidR="00C34F3E" w:rsidRPr="003A38BA" w:rsidRDefault="003114C1" w:rsidP="00C34F3E">
            <w:pPr>
              <w:spacing w:after="120"/>
              <w:ind w:left="0" w:firstLine="0"/>
              <w:jc w:val="center"/>
            </w:pPr>
            <w:r>
              <w:t>90 000</w:t>
            </w:r>
          </w:p>
        </w:tc>
        <w:tc>
          <w:tcPr>
            <w:tcW w:w="1316" w:type="dxa"/>
          </w:tcPr>
          <w:p w:rsidR="00C34F3E" w:rsidRPr="003A38BA" w:rsidRDefault="00EB7D09" w:rsidP="00C34F3E">
            <w:pPr>
              <w:spacing w:after="120"/>
              <w:ind w:left="0" w:firstLine="0"/>
              <w:jc w:val="center"/>
            </w:pPr>
            <w:r>
              <w:t>-</w:t>
            </w:r>
          </w:p>
        </w:tc>
        <w:tc>
          <w:tcPr>
            <w:tcW w:w="1316" w:type="dxa"/>
          </w:tcPr>
          <w:p w:rsidR="00C34F3E" w:rsidRPr="003A38BA" w:rsidRDefault="003114C1" w:rsidP="00C34F3E">
            <w:pPr>
              <w:spacing w:after="120"/>
              <w:ind w:left="0" w:firstLine="0"/>
              <w:jc w:val="center"/>
            </w:pPr>
            <w:r>
              <w:t>88 250</w:t>
            </w:r>
          </w:p>
        </w:tc>
        <w:tc>
          <w:tcPr>
            <w:tcW w:w="1316" w:type="dxa"/>
          </w:tcPr>
          <w:p w:rsidR="00C34F3E" w:rsidRPr="003A38BA" w:rsidRDefault="003114C1" w:rsidP="00C34F3E">
            <w:pPr>
              <w:spacing w:after="120"/>
              <w:ind w:left="0" w:firstLine="0"/>
              <w:jc w:val="center"/>
            </w:pPr>
            <w:r>
              <w:t>1 750</w:t>
            </w:r>
          </w:p>
        </w:tc>
        <w:tc>
          <w:tcPr>
            <w:tcW w:w="1316" w:type="dxa"/>
          </w:tcPr>
          <w:p w:rsidR="00C34F3E" w:rsidRPr="003A38BA" w:rsidRDefault="003114C1" w:rsidP="00C34F3E">
            <w:pPr>
              <w:spacing w:after="120"/>
              <w:ind w:left="0" w:firstLine="0"/>
              <w:jc w:val="center"/>
            </w:pPr>
            <w:r>
              <w:t>25 000</w:t>
            </w:r>
          </w:p>
        </w:tc>
        <w:tc>
          <w:tcPr>
            <w:tcW w:w="1316" w:type="dxa"/>
          </w:tcPr>
          <w:p w:rsidR="00C34F3E" w:rsidRPr="003A38BA" w:rsidRDefault="003114C1" w:rsidP="00C34F3E">
            <w:pPr>
              <w:spacing w:after="120"/>
              <w:ind w:left="0" w:firstLine="0"/>
              <w:jc w:val="center"/>
            </w:pPr>
            <w:r>
              <w:t>100 000</w:t>
            </w:r>
          </w:p>
        </w:tc>
      </w:tr>
      <w:tr w:rsidR="003114C1" w:rsidRPr="003A38BA" w:rsidTr="00C34F3E">
        <w:tc>
          <w:tcPr>
            <w:tcW w:w="1316" w:type="dxa"/>
          </w:tcPr>
          <w:p w:rsidR="003114C1" w:rsidRPr="003A38BA" w:rsidRDefault="003114C1" w:rsidP="00C34F3E">
            <w:pPr>
              <w:spacing w:after="120"/>
              <w:ind w:left="0" w:firstLine="0"/>
              <w:jc w:val="center"/>
            </w:pPr>
            <w:r>
              <w:lastRenderedPageBreak/>
              <w:t>3</w:t>
            </w:r>
          </w:p>
        </w:tc>
        <w:tc>
          <w:tcPr>
            <w:tcW w:w="1316" w:type="dxa"/>
          </w:tcPr>
          <w:p w:rsidR="003114C1" w:rsidRPr="003A38BA" w:rsidRDefault="003114C1" w:rsidP="003114C1">
            <w:pPr>
              <w:spacing w:after="120"/>
              <w:ind w:left="0" w:firstLine="0"/>
              <w:jc w:val="center"/>
            </w:pPr>
            <w:r>
              <w:t>100 000</w:t>
            </w:r>
          </w:p>
        </w:tc>
        <w:tc>
          <w:tcPr>
            <w:tcW w:w="1316" w:type="dxa"/>
          </w:tcPr>
          <w:p w:rsidR="003114C1" w:rsidRPr="003A38BA" w:rsidRDefault="003114C1" w:rsidP="003114C1">
            <w:pPr>
              <w:spacing w:after="120"/>
              <w:ind w:left="0" w:firstLine="0"/>
              <w:jc w:val="center"/>
            </w:pPr>
            <w:r>
              <w:t>-</w:t>
            </w:r>
          </w:p>
        </w:tc>
        <w:tc>
          <w:tcPr>
            <w:tcW w:w="1316" w:type="dxa"/>
          </w:tcPr>
          <w:p w:rsidR="003114C1" w:rsidRPr="003A38BA" w:rsidRDefault="003114C1" w:rsidP="003114C1">
            <w:pPr>
              <w:spacing w:after="120"/>
              <w:ind w:left="0" w:firstLine="0"/>
              <w:jc w:val="center"/>
            </w:pPr>
            <w:r>
              <w:t>96 500</w:t>
            </w:r>
          </w:p>
        </w:tc>
        <w:tc>
          <w:tcPr>
            <w:tcW w:w="1316" w:type="dxa"/>
          </w:tcPr>
          <w:p w:rsidR="003114C1" w:rsidRPr="003A38BA" w:rsidRDefault="003114C1" w:rsidP="003114C1">
            <w:pPr>
              <w:spacing w:after="120"/>
              <w:ind w:left="0" w:firstLine="0"/>
              <w:jc w:val="center"/>
            </w:pPr>
            <w:r>
              <w:t>3 500</w:t>
            </w:r>
          </w:p>
        </w:tc>
        <w:tc>
          <w:tcPr>
            <w:tcW w:w="1316" w:type="dxa"/>
          </w:tcPr>
          <w:p w:rsidR="003114C1" w:rsidRPr="003A38BA" w:rsidRDefault="003114C1" w:rsidP="003114C1">
            <w:pPr>
              <w:spacing w:after="120"/>
              <w:ind w:left="0" w:firstLine="0"/>
              <w:jc w:val="center"/>
            </w:pPr>
            <w:r>
              <w:t>25 000</w:t>
            </w:r>
          </w:p>
        </w:tc>
        <w:tc>
          <w:tcPr>
            <w:tcW w:w="1316" w:type="dxa"/>
          </w:tcPr>
          <w:p w:rsidR="003114C1" w:rsidRPr="003A38BA" w:rsidRDefault="003114C1" w:rsidP="003114C1">
            <w:pPr>
              <w:spacing w:after="120"/>
              <w:ind w:left="0" w:firstLine="0"/>
              <w:jc w:val="center"/>
            </w:pPr>
            <w:r>
              <w:t>200 000</w:t>
            </w:r>
          </w:p>
        </w:tc>
      </w:tr>
      <w:tr w:rsidR="003114C1" w:rsidRPr="003A38BA" w:rsidTr="00C34F3E">
        <w:tc>
          <w:tcPr>
            <w:tcW w:w="1316" w:type="dxa"/>
          </w:tcPr>
          <w:p w:rsidR="003114C1" w:rsidRPr="003A38BA" w:rsidRDefault="003114C1" w:rsidP="00C34F3E">
            <w:pPr>
              <w:spacing w:after="120"/>
              <w:ind w:left="0" w:firstLine="0"/>
              <w:jc w:val="center"/>
            </w:pPr>
            <w:r>
              <w:t>4</w:t>
            </w:r>
          </w:p>
        </w:tc>
        <w:tc>
          <w:tcPr>
            <w:tcW w:w="1316" w:type="dxa"/>
          </w:tcPr>
          <w:p w:rsidR="003114C1" w:rsidRPr="003A38BA" w:rsidRDefault="003114C1" w:rsidP="003114C1">
            <w:pPr>
              <w:spacing w:after="120"/>
              <w:ind w:left="0" w:firstLine="0"/>
              <w:jc w:val="center"/>
            </w:pPr>
            <w:r>
              <w:t>300 000</w:t>
            </w:r>
          </w:p>
        </w:tc>
        <w:tc>
          <w:tcPr>
            <w:tcW w:w="1316" w:type="dxa"/>
          </w:tcPr>
          <w:p w:rsidR="003114C1" w:rsidRPr="003A38BA" w:rsidRDefault="003114C1" w:rsidP="003114C1">
            <w:pPr>
              <w:spacing w:after="120"/>
              <w:ind w:left="0" w:firstLine="0"/>
              <w:jc w:val="center"/>
            </w:pPr>
            <w:r>
              <w:t>-</w:t>
            </w:r>
          </w:p>
        </w:tc>
        <w:tc>
          <w:tcPr>
            <w:tcW w:w="1316" w:type="dxa"/>
          </w:tcPr>
          <w:p w:rsidR="003114C1" w:rsidRPr="003A38BA" w:rsidRDefault="003114C1" w:rsidP="003114C1">
            <w:pPr>
              <w:spacing w:after="120"/>
              <w:ind w:left="0" w:firstLine="0"/>
              <w:jc w:val="center"/>
            </w:pPr>
            <w:r>
              <w:t>290 000</w:t>
            </w:r>
          </w:p>
        </w:tc>
        <w:tc>
          <w:tcPr>
            <w:tcW w:w="1316" w:type="dxa"/>
          </w:tcPr>
          <w:p w:rsidR="003114C1" w:rsidRPr="003A38BA" w:rsidRDefault="003114C1" w:rsidP="003114C1">
            <w:pPr>
              <w:spacing w:after="120"/>
              <w:ind w:left="0" w:firstLine="0"/>
              <w:jc w:val="center"/>
            </w:pPr>
            <w:r>
              <w:t>10 000</w:t>
            </w:r>
          </w:p>
        </w:tc>
        <w:tc>
          <w:tcPr>
            <w:tcW w:w="1316" w:type="dxa"/>
          </w:tcPr>
          <w:p w:rsidR="003114C1" w:rsidRPr="003A38BA" w:rsidRDefault="003114C1" w:rsidP="003114C1">
            <w:pPr>
              <w:spacing w:after="120"/>
              <w:ind w:left="0" w:firstLine="0"/>
              <w:jc w:val="center"/>
            </w:pPr>
            <w:r>
              <w:t>25 000</w:t>
            </w:r>
          </w:p>
        </w:tc>
        <w:tc>
          <w:tcPr>
            <w:tcW w:w="1316" w:type="dxa"/>
          </w:tcPr>
          <w:p w:rsidR="003114C1" w:rsidRPr="003A38BA" w:rsidRDefault="003114C1" w:rsidP="003114C1">
            <w:pPr>
              <w:spacing w:after="120"/>
              <w:ind w:left="0" w:firstLine="0"/>
              <w:jc w:val="center"/>
            </w:pPr>
            <w:r>
              <w:t>500 000</w:t>
            </w:r>
          </w:p>
        </w:tc>
      </w:tr>
      <w:tr w:rsidR="003114C1" w:rsidRPr="003A38BA" w:rsidTr="00C34F3E">
        <w:tc>
          <w:tcPr>
            <w:tcW w:w="1316" w:type="dxa"/>
          </w:tcPr>
          <w:p w:rsidR="003114C1" w:rsidRPr="003A38BA" w:rsidRDefault="003114C1" w:rsidP="00C34F3E">
            <w:pPr>
              <w:spacing w:after="120"/>
              <w:ind w:left="0" w:firstLine="0"/>
              <w:jc w:val="center"/>
            </w:pPr>
            <w:r>
              <w:t>5</w:t>
            </w:r>
          </w:p>
        </w:tc>
        <w:tc>
          <w:tcPr>
            <w:tcW w:w="1316" w:type="dxa"/>
          </w:tcPr>
          <w:p w:rsidR="003114C1" w:rsidRPr="003A38BA" w:rsidRDefault="003114C1" w:rsidP="003114C1">
            <w:pPr>
              <w:spacing w:after="120"/>
              <w:ind w:left="0" w:firstLine="0"/>
              <w:jc w:val="center"/>
            </w:pPr>
            <w:r>
              <w:t>500 000</w:t>
            </w:r>
          </w:p>
        </w:tc>
        <w:tc>
          <w:tcPr>
            <w:tcW w:w="1316" w:type="dxa"/>
          </w:tcPr>
          <w:p w:rsidR="003114C1" w:rsidRPr="003A38BA" w:rsidRDefault="003114C1" w:rsidP="003114C1">
            <w:pPr>
              <w:spacing w:after="120"/>
              <w:ind w:left="0" w:firstLine="0"/>
              <w:jc w:val="center"/>
            </w:pPr>
            <w:r>
              <w:t>-</w:t>
            </w:r>
          </w:p>
        </w:tc>
        <w:tc>
          <w:tcPr>
            <w:tcW w:w="1316" w:type="dxa"/>
          </w:tcPr>
          <w:p w:rsidR="003114C1" w:rsidRPr="003A38BA" w:rsidRDefault="003114C1" w:rsidP="003114C1">
            <w:pPr>
              <w:spacing w:after="120"/>
              <w:ind w:left="0" w:firstLine="0"/>
              <w:jc w:val="center"/>
            </w:pPr>
            <w:r>
              <w:t>490 000</w:t>
            </w:r>
          </w:p>
        </w:tc>
        <w:tc>
          <w:tcPr>
            <w:tcW w:w="1316" w:type="dxa"/>
          </w:tcPr>
          <w:p w:rsidR="003114C1" w:rsidRPr="003A38BA" w:rsidRDefault="003114C1" w:rsidP="003114C1">
            <w:pPr>
              <w:spacing w:after="120"/>
              <w:ind w:left="0" w:firstLine="0"/>
              <w:jc w:val="center"/>
            </w:pPr>
            <w:r>
              <w:t>10 000</w:t>
            </w:r>
          </w:p>
        </w:tc>
        <w:tc>
          <w:tcPr>
            <w:tcW w:w="1316" w:type="dxa"/>
          </w:tcPr>
          <w:p w:rsidR="003114C1" w:rsidRPr="003A38BA" w:rsidRDefault="003114C1" w:rsidP="003114C1">
            <w:pPr>
              <w:spacing w:after="120"/>
              <w:ind w:left="0" w:firstLine="0"/>
              <w:jc w:val="center"/>
            </w:pPr>
            <w:r>
              <w:t>25 000</w:t>
            </w:r>
          </w:p>
        </w:tc>
        <w:tc>
          <w:tcPr>
            <w:tcW w:w="1316" w:type="dxa"/>
          </w:tcPr>
          <w:p w:rsidR="003114C1" w:rsidRPr="003A38BA" w:rsidRDefault="003114C1" w:rsidP="003114C1">
            <w:pPr>
              <w:spacing w:after="120"/>
              <w:ind w:left="0" w:firstLine="0"/>
              <w:jc w:val="center"/>
            </w:pPr>
            <w:r>
              <w:t>1 000 000</w:t>
            </w:r>
          </w:p>
        </w:tc>
      </w:tr>
      <w:tr w:rsidR="003114C1" w:rsidRPr="003A38BA" w:rsidTr="00C34F3E">
        <w:tc>
          <w:tcPr>
            <w:tcW w:w="1316" w:type="dxa"/>
          </w:tcPr>
          <w:p w:rsidR="003114C1" w:rsidRPr="003A38BA" w:rsidRDefault="003114C1" w:rsidP="00C34F3E">
            <w:pPr>
              <w:spacing w:after="120"/>
              <w:ind w:left="0" w:firstLine="0"/>
              <w:jc w:val="center"/>
            </w:pPr>
            <w:r>
              <w:t>6</w:t>
            </w:r>
          </w:p>
        </w:tc>
        <w:tc>
          <w:tcPr>
            <w:tcW w:w="1316" w:type="dxa"/>
          </w:tcPr>
          <w:p w:rsidR="003114C1" w:rsidRPr="003A38BA" w:rsidRDefault="003114C1" w:rsidP="003114C1">
            <w:pPr>
              <w:spacing w:after="120"/>
              <w:ind w:left="0" w:firstLine="0"/>
              <w:jc w:val="center"/>
            </w:pPr>
            <w:r>
              <w:t>1 000 000</w:t>
            </w:r>
          </w:p>
        </w:tc>
        <w:tc>
          <w:tcPr>
            <w:tcW w:w="1316" w:type="dxa"/>
          </w:tcPr>
          <w:p w:rsidR="003114C1" w:rsidRPr="003A38BA" w:rsidRDefault="003114C1" w:rsidP="003114C1">
            <w:pPr>
              <w:spacing w:after="120"/>
              <w:ind w:left="0" w:firstLine="0"/>
              <w:jc w:val="center"/>
            </w:pPr>
            <w:r>
              <w:t>-</w:t>
            </w:r>
          </w:p>
        </w:tc>
        <w:tc>
          <w:tcPr>
            <w:tcW w:w="1316" w:type="dxa"/>
          </w:tcPr>
          <w:p w:rsidR="003114C1" w:rsidRPr="003A38BA" w:rsidRDefault="003114C1" w:rsidP="003114C1">
            <w:pPr>
              <w:spacing w:after="120"/>
              <w:ind w:left="0" w:firstLine="0"/>
              <w:jc w:val="center"/>
            </w:pPr>
            <w:r>
              <w:t>980 000</w:t>
            </w:r>
          </w:p>
        </w:tc>
        <w:tc>
          <w:tcPr>
            <w:tcW w:w="1316" w:type="dxa"/>
          </w:tcPr>
          <w:p w:rsidR="003114C1" w:rsidRPr="003A38BA" w:rsidRDefault="003114C1" w:rsidP="003114C1">
            <w:pPr>
              <w:spacing w:after="120"/>
              <w:ind w:left="0" w:firstLine="0"/>
              <w:jc w:val="center"/>
            </w:pPr>
            <w:r>
              <w:t>20 000</w:t>
            </w:r>
          </w:p>
        </w:tc>
        <w:tc>
          <w:tcPr>
            <w:tcW w:w="1316" w:type="dxa"/>
          </w:tcPr>
          <w:p w:rsidR="003114C1" w:rsidRPr="003A38BA" w:rsidRDefault="003114C1" w:rsidP="003114C1">
            <w:pPr>
              <w:spacing w:after="120"/>
              <w:ind w:left="0" w:firstLine="0"/>
              <w:jc w:val="center"/>
            </w:pPr>
            <w:r>
              <w:t>25 000</w:t>
            </w:r>
          </w:p>
        </w:tc>
        <w:tc>
          <w:tcPr>
            <w:tcW w:w="1316" w:type="dxa"/>
          </w:tcPr>
          <w:p w:rsidR="003114C1" w:rsidRPr="003A38BA" w:rsidRDefault="003114C1" w:rsidP="003114C1">
            <w:pPr>
              <w:spacing w:after="120"/>
              <w:ind w:left="0" w:firstLine="0"/>
              <w:jc w:val="center"/>
            </w:pPr>
            <w:r>
              <w:t>2 000 000</w:t>
            </w:r>
          </w:p>
        </w:tc>
      </w:tr>
      <w:tr w:rsidR="003114C1" w:rsidRPr="003A38BA" w:rsidTr="00C34F3E">
        <w:tc>
          <w:tcPr>
            <w:tcW w:w="1316" w:type="dxa"/>
          </w:tcPr>
          <w:p w:rsidR="003114C1" w:rsidRPr="003A38BA" w:rsidRDefault="003114C1" w:rsidP="00C34F3E">
            <w:pPr>
              <w:spacing w:after="120"/>
              <w:ind w:left="0" w:firstLine="0"/>
              <w:jc w:val="center"/>
            </w:pPr>
            <w:r>
              <w:t>7</w:t>
            </w:r>
          </w:p>
        </w:tc>
        <w:tc>
          <w:tcPr>
            <w:tcW w:w="1316" w:type="dxa"/>
          </w:tcPr>
          <w:p w:rsidR="003114C1" w:rsidRPr="003A38BA" w:rsidRDefault="003114C1" w:rsidP="003114C1">
            <w:pPr>
              <w:spacing w:after="120"/>
              <w:ind w:left="0" w:firstLine="0"/>
              <w:jc w:val="center"/>
            </w:pPr>
            <w:r>
              <w:t>1 000 000</w:t>
            </w:r>
          </w:p>
        </w:tc>
        <w:tc>
          <w:tcPr>
            <w:tcW w:w="1316" w:type="dxa"/>
          </w:tcPr>
          <w:p w:rsidR="003114C1" w:rsidRPr="003A38BA" w:rsidRDefault="003114C1" w:rsidP="003114C1">
            <w:pPr>
              <w:spacing w:after="120"/>
              <w:ind w:left="0" w:firstLine="0"/>
              <w:jc w:val="center"/>
            </w:pPr>
            <w:r>
              <w:t>-</w:t>
            </w:r>
          </w:p>
        </w:tc>
        <w:tc>
          <w:tcPr>
            <w:tcW w:w="1316" w:type="dxa"/>
          </w:tcPr>
          <w:p w:rsidR="003114C1" w:rsidRPr="003A38BA" w:rsidRDefault="003114C1" w:rsidP="003114C1">
            <w:pPr>
              <w:spacing w:after="120"/>
              <w:ind w:left="0" w:firstLine="0"/>
              <w:jc w:val="center"/>
            </w:pPr>
            <w:r>
              <w:t>980 000</w:t>
            </w:r>
          </w:p>
        </w:tc>
        <w:tc>
          <w:tcPr>
            <w:tcW w:w="1316" w:type="dxa"/>
          </w:tcPr>
          <w:p w:rsidR="003114C1" w:rsidRPr="003A38BA" w:rsidRDefault="003114C1" w:rsidP="003114C1">
            <w:pPr>
              <w:spacing w:after="120"/>
              <w:ind w:left="0" w:firstLine="0"/>
              <w:jc w:val="center"/>
            </w:pPr>
            <w:r>
              <w:t>20 000</w:t>
            </w:r>
          </w:p>
        </w:tc>
        <w:tc>
          <w:tcPr>
            <w:tcW w:w="1316" w:type="dxa"/>
          </w:tcPr>
          <w:p w:rsidR="003114C1" w:rsidRPr="003A38BA" w:rsidRDefault="003114C1" w:rsidP="003114C1">
            <w:pPr>
              <w:spacing w:after="120"/>
              <w:ind w:left="0" w:firstLine="0"/>
              <w:jc w:val="center"/>
            </w:pPr>
            <w:r>
              <w:t>25 000</w:t>
            </w:r>
          </w:p>
        </w:tc>
        <w:tc>
          <w:tcPr>
            <w:tcW w:w="1316" w:type="dxa"/>
          </w:tcPr>
          <w:p w:rsidR="003114C1" w:rsidRPr="003A38BA" w:rsidRDefault="003114C1" w:rsidP="003114C1">
            <w:pPr>
              <w:spacing w:after="120"/>
              <w:ind w:left="0" w:firstLine="0"/>
              <w:jc w:val="center"/>
            </w:pPr>
            <w:r>
              <w:t>3 000 000</w:t>
            </w:r>
          </w:p>
        </w:tc>
      </w:tr>
      <w:tr w:rsidR="003114C1" w:rsidRPr="003A38BA" w:rsidTr="00C34F3E">
        <w:tc>
          <w:tcPr>
            <w:tcW w:w="1316" w:type="dxa"/>
          </w:tcPr>
          <w:p w:rsidR="003114C1" w:rsidRPr="003A38BA" w:rsidRDefault="003114C1" w:rsidP="00EB7D09">
            <w:pPr>
              <w:spacing w:after="120"/>
              <w:ind w:left="0" w:firstLine="0"/>
              <w:jc w:val="center"/>
            </w:pPr>
            <w:r>
              <w:t>8</w:t>
            </w:r>
          </w:p>
        </w:tc>
        <w:tc>
          <w:tcPr>
            <w:tcW w:w="1316" w:type="dxa"/>
          </w:tcPr>
          <w:p w:rsidR="003114C1" w:rsidRPr="003A38BA" w:rsidRDefault="003114C1" w:rsidP="003114C1">
            <w:pPr>
              <w:spacing w:after="120"/>
              <w:ind w:left="0" w:firstLine="0"/>
              <w:jc w:val="center"/>
            </w:pPr>
            <w:r>
              <w:t>1 000 000</w:t>
            </w:r>
          </w:p>
        </w:tc>
        <w:tc>
          <w:tcPr>
            <w:tcW w:w="1316" w:type="dxa"/>
          </w:tcPr>
          <w:p w:rsidR="003114C1" w:rsidRPr="003A38BA" w:rsidRDefault="003114C1" w:rsidP="003114C1">
            <w:pPr>
              <w:spacing w:after="120"/>
              <w:ind w:left="0" w:firstLine="0"/>
              <w:jc w:val="center"/>
            </w:pPr>
            <w:r>
              <w:t>-</w:t>
            </w:r>
          </w:p>
        </w:tc>
        <w:tc>
          <w:tcPr>
            <w:tcW w:w="1316" w:type="dxa"/>
          </w:tcPr>
          <w:p w:rsidR="003114C1" w:rsidRPr="003A38BA" w:rsidRDefault="003114C1" w:rsidP="003114C1">
            <w:pPr>
              <w:spacing w:after="120"/>
              <w:ind w:left="0" w:firstLine="0"/>
              <w:jc w:val="center"/>
            </w:pPr>
            <w:r>
              <w:t>980 000</w:t>
            </w:r>
          </w:p>
        </w:tc>
        <w:tc>
          <w:tcPr>
            <w:tcW w:w="1316" w:type="dxa"/>
          </w:tcPr>
          <w:p w:rsidR="003114C1" w:rsidRPr="003A38BA" w:rsidRDefault="003114C1" w:rsidP="003114C1">
            <w:pPr>
              <w:spacing w:after="120"/>
              <w:ind w:left="0" w:firstLine="0"/>
              <w:jc w:val="center"/>
            </w:pPr>
            <w:r>
              <w:t>20 000</w:t>
            </w:r>
          </w:p>
        </w:tc>
        <w:tc>
          <w:tcPr>
            <w:tcW w:w="1316" w:type="dxa"/>
          </w:tcPr>
          <w:p w:rsidR="003114C1" w:rsidRPr="003A38BA" w:rsidRDefault="003114C1" w:rsidP="003114C1">
            <w:pPr>
              <w:spacing w:after="120"/>
              <w:ind w:left="0" w:firstLine="0"/>
              <w:jc w:val="center"/>
            </w:pPr>
            <w:r>
              <w:t>25 000</w:t>
            </w:r>
          </w:p>
        </w:tc>
        <w:tc>
          <w:tcPr>
            <w:tcW w:w="1316" w:type="dxa"/>
          </w:tcPr>
          <w:p w:rsidR="003114C1" w:rsidRPr="003A38BA" w:rsidRDefault="003114C1" w:rsidP="003114C1">
            <w:pPr>
              <w:spacing w:after="120"/>
              <w:ind w:left="0" w:firstLine="0"/>
              <w:jc w:val="center"/>
            </w:pPr>
            <w:r>
              <w:t>4 000 000</w:t>
            </w:r>
          </w:p>
        </w:tc>
      </w:tr>
      <w:tr w:rsidR="003114C1" w:rsidRPr="003A38BA" w:rsidTr="00234C80">
        <w:tc>
          <w:tcPr>
            <w:tcW w:w="9212" w:type="dxa"/>
            <w:gridSpan w:val="7"/>
          </w:tcPr>
          <w:p w:rsidR="003114C1" w:rsidRPr="003A38BA" w:rsidRDefault="003114C1" w:rsidP="00C94718">
            <w:pPr>
              <w:spacing w:after="120"/>
              <w:ind w:left="0" w:firstLine="0"/>
            </w:pPr>
            <w:r>
              <w:t xml:space="preserve">*) K zavodnění má být použita výhradně voda bez jakýchkoli přídavných látek. Při zkoušce termoplastických systémů značení je počet přejetí při zavodnění zvýšen o 50 %. Počet přejetí v suchém stavu je odpovídajícím způsobem přizpůsoben. </w:t>
            </w:r>
          </w:p>
        </w:tc>
      </w:tr>
    </w:tbl>
    <w:p w:rsidR="00B2761F" w:rsidRPr="003A38BA" w:rsidRDefault="00B2761F" w:rsidP="007C21AF">
      <w:pPr>
        <w:pStyle w:val="Heading1"/>
        <w:numPr>
          <w:ilvl w:val="2"/>
          <w:numId w:val="5"/>
        </w:numPr>
        <w:ind w:left="1440" w:hanging="720"/>
        <w:jc w:val="both"/>
        <w:rPr>
          <w:sz w:val="24"/>
          <w:szCs w:val="24"/>
        </w:rPr>
      </w:pPr>
      <w:bookmarkStart w:id="24" w:name="_Toc12476252"/>
      <w:r>
        <w:rPr>
          <w:sz w:val="24"/>
          <w:szCs w:val="24"/>
        </w:rPr>
        <w:t>Měření týkající se zařízení a zkušební podmínky</w:t>
      </w:r>
      <w:bookmarkEnd w:id="24"/>
    </w:p>
    <w:p w:rsidR="009759A4" w:rsidRPr="003A38BA" w:rsidRDefault="00061E4E" w:rsidP="007C21AF">
      <w:pPr>
        <w:spacing w:after="120"/>
        <w:ind w:left="0" w:firstLine="0"/>
        <w:jc w:val="both"/>
      </w:pPr>
      <w:r>
        <w:t>Tlak v pneumatikách, odklon kola a úhel přiložení je nutno prověřit způsobem odpovídajícím oddílu 4.1.1, a je-li to nutné, zkorigovat.</w:t>
      </w:r>
    </w:p>
    <w:p w:rsidR="00061E4E" w:rsidRPr="003A38BA" w:rsidRDefault="00061E4E" w:rsidP="007C21AF">
      <w:pPr>
        <w:spacing w:after="120"/>
        <w:ind w:left="0" w:firstLine="0"/>
        <w:jc w:val="both"/>
      </w:pPr>
      <w:r>
        <w:t>Teplota v místnosti, teplota povrchu zkušebních desek, zatížení kola, rychlost a počet přejetí je nutno během zkoušky průběžně sledovat a evidovat.</w:t>
      </w:r>
    </w:p>
    <w:p w:rsidR="00B2761F" w:rsidRPr="003A38BA" w:rsidRDefault="00B2761F" w:rsidP="007C21AF">
      <w:pPr>
        <w:pStyle w:val="Heading1"/>
        <w:numPr>
          <w:ilvl w:val="2"/>
          <w:numId w:val="5"/>
        </w:numPr>
        <w:ind w:left="1440" w:hanging="720"/>
        <w:jc w:val="both"/>
        <w:rPr>
          <w:sz w:val="24"/>
          <w:szCs w:val="24"/>
        </w:rPr>
      </w:pPr>
      <w:bookmarkStart w:id="25" w:name="_Toc12476253"/>
      <w:r>
        <w:rPr>
          <w:sz w:val="24"/>
          <w:szCs w:val="24"/>
        </w:rPr>
        <w:t>Měření dopravně-technických vlastností systémů značení</w:t>
      </w:r>
      <w:bookmarkEnd w:id="25"/>
    </w:p>
    <w:p w:rsidR="00DF3B72" w:rsidRPr="003A38BA" w:rsidRDefault="00DF3B72" w:rsidP="007C21AF">
      <w:pPr>
        <w:spacing w:after="120"/>
        <w:ind w:left="0" w:firstLine="0"/>
        <w:jc w:val="both"/>
      </w:pPr>
      <w:r>
        <w:t>Dopravně technické vlastnosti systémů značení jsou určovány průběžně během zkoušky způsobilosti. Měření probíhají zásadně způsobem odpovídajícím zadáním normy DIN EN 1436.</w:t>
      </w:r>
    </w:p>
    <w:p w:rsidR="00D9642C" w:rsidRPr="003A38BA" w:rsidRDefault="00D9642C" w:rsidP="007C21AF">
      <w:pPr>
        <w:spacing w:after="120"/>
        <w:ind w:left="0" w:firstLine="0"/>
        <w:jc w:val="both"/>
      </w:pPr>
      <w:r>
        <w:t>Zjišťována je viditelnost za sucha na základě koeficientů jasu u difúzního osvětlení Qd a podíly normované barvy (x,y) z místa umístění barvy, viditelnost za noci v suchém stavu na základě koeficientů jasu u zpětné reflexe RL (za sucha), viditelnost za noci ve vlhkém stavu na základě koeficientů jasu u zpětné reflexe RL (za vlhka) u typu značení II, drsnost v jednotkách SRT a opotřebení v procentech.</w:t>
      </w:r>
    </w:p>
    <w:p w:rsidR="001D17DA" w:rsidRPr="003A38BA" w:rsidRDefault="001D17DA" w:rsidP="007C21AF">
      <w:pPr>
        <w:spacing w:after="120"/>
        <w:ind w:left="0" w:firstLine="0"/>
        <w:jc w:val="both"/>
      </w:pPr>
      <w:r>
        <w:t xml:space="preserve">Zjištění koeficientů jasu u zpětné reflexe RL (za vlhka) nastává při 2% příčném sklonu zkušebních desek. </w:t>
      </w:r>
    </w:p>
    <w:p w:rsidR="00A13538" w:rsidRPr="003A38BA" w:rsidRDefault="00A13538" w:rsidP="007C21AF">
      <w:pPr>
        <w:spacing w:after="120"/>
        <w:ind w:left="0" w:firstLine="0"/>
        <w:jc w:val="both"/>
      </w:pPr>
      <w:r>
        <w:t>Pro opotřebení je určován poměr plochy zakryté značením v přejetém stavu vůči stejné ploše, která není ve stavu, kdy je přejížděna. Přesné údaje k tomuto obsahuje přepracovaný návod pro aglomerovaná značení (nyní předložen jako návrh).</w:t>
      </w:r>
    </w:p>
    <w:p w:rsidR="00D9642C" w:rsidRPr="003A38BA" w:rsidRDefault="00D9642C" w:rsidP="007C21AF">
      <w:pPr>
        <w:spacing w:after="120"/>
        <w:ind w:left="0" w:firstLine="0"/>
        <w:jc w:val="both"/>
      </w:pPr>
      <w:r>
        <w:t>Měření probíhají na všech 3 zkušebních deskách a jako výsledek je udávána vždy vypočtená střední hodnota. Plocha zakrytá při měřeních na všech 3 zkušebních deskách by měla činit minimálně 400 cm².</w:t>
      </w:r>
    </w:p>
    <w:p w:rsidR="008B4E60" w:rsidRPr="003A38BA" w:rsidRDefault="00D9642C" w:rsidP="007C21AF">
      <w:pPr>
        <w:spacing w:after="120"/>
        <w:ind w:left="0" w:firstLine="0"/>
        <w:jc w:val="both"/>
      </w:pPr>
      <w:r>
        <w:t>Měření probíhají před začátkem přejíždění a po ukončení měřicího cyklu. Pro světelně-technické vlastnosti je měřen nový stav po 10 000 přejetí. Měření světelně-technických vlastností před začátkem přejíždění slouží výhradně pro informaci a není pro výsledek zkoušky relevantní.</w:t>
      </w:r>
    </w:p>
    <w:p w:rsidR="00D9642C" w:rsidRPr="003A38BA" w:rsidRDefault="001D17DA" w:rsidP="007C21AF">
      <w:pPr>
        <w:spacing w:after="120"/>
        <w:ind w:left="0" w:firstLine="0"/>
        <w:jc w:val="both"/>
      </w:pPr>
      <w:r>
        <w:t>Při měření drsnosti je měřen nový stav před započetím přejíždění. Členění měřicích cyklů se mimo jiné řídí podle tříd provozu a může být zjištěno v tabulce 5. Měřicí cyklus 1 končí po 10 000 přejetí.</w:t>
      </w:r>
    </w:p>
    <w:p w:rsidR="003114C1" w:rsidRPr="003A38BA" w:rsidRDefault="003E3497" w:rsidP="00A11530">
      <w:pPr>
        <w:pStyle w:val="Subtitle"/>
        <w:keepNext/>
        <w:ind w:left="1440" w:hanging="1440"/>
        <w:jc w:val="both"/>
        <w:rPr>
          <w:spacing w:val="0"/>
        </w:rPr>
      </w:pPr>
      <w:r>
        <w:t>Tabulka 5:</w:t>
      </w:r>
      <w:r>
        <w:tab/>
        <w:t>Přiřazení tříd provozu k měřicím cyklům</w:t>
      </w:r>
    </w:p>
    <w:tbl>
      <w:tblPr>
        <w:tblStyle w:val="TableGrid"/>
        <w:tblW w:w="0" w:type="auto"/>
        <w:tblInd w:w="357" w:type="dxa"/>
        <w:tblLook w:val="04A0" w:firstRow="1" w:lastRow="0" w:firstColumn="1" w:lastColumn="0" w:noHBand="0" w:noVBand="1"/>
      </w:tblPr>
      <w:tblGrid>
        <w:gridCol w:w="2965"/>
        <w:gridCol w:w="2984"/>
        <w:gridCol w:w="2982"/>
      </w:tblGrid>
      <w:tr w:rsidR="003114C1" w:rsidRPr="003A38BA" w:rsidTr="003114C1">
        <w:tc>
          <w:tcPr>
            <w:tcW w:w="2965" w:type="dxa"/>
          </w:tcPr>
          <w:p w:rsidR="003114C1" w:rsidRPr="003A38BA" w:rsidRDefault="003114C1" w:rsidP="003114C1">
            <w:pPr>
              <w:ind w:left="0" w:firstLine="0"/>
              <w:jc w:val="center"/>
            </w:pPr>
            <w:r>
              <w:t>Měřicí cyklus</w:t>
            </w:r>
          </w:p>
        </w:tc>
        <w:tc>
          <w:tcPr>
            <w:tcW w:w="2984" w:type="dxa"/>
          </w:tcPr>
          <w:p w:rsidR="003114C1" w:rsidRPr="003A38BA" w:rsidRDefault="003114C1" w:rsidP="003114C1">
            <w:pPr>
              <w:ind w:left="0" w:firstLine="0"/>
              <w:jc w:val="center"/>
            </w:pPr>
            <w:r>
              <w:t>Třída provozu</w:t>
            </w:r>
          </w:p>
        </w:tc>
        <w:tc>
          <w:tcPr>
            <w:tcW w:w="2982" w:type="dxa"/>
          </w:tcPr>
          <w:p w:rsidR="003114C1" w:rsidRPr="003A38BA" w:rsidRDefault="003114C1" w:rsidP="003114C1">
            <w:pPr>
              <w:ind w:left="0" w:firstLine="0"/>
              <w:jc w:val="center"/>
            </w:pPr>
            <w:r>
              <w:t>Počet přejetí</w:t>
            </w:r>
          </w:p>
        </w:tc>
      </w:tr>
      <w:tr w:rsidR="003114C1" w:rsidRPr="003A38BA" w:rsidTr="003114C1">
        <w:tc>
          <w:tcPr>
            <w:tcW w:w="2965" w:type="dxa"/>
          </w:tcPr>
          <w:p w:rsidR="003114C1" w:rsidRPr="003A38BA" w:rsidRDefault="003114C1" w:rsidP="003114C1">
            <w:pPr>
              <w:ind w:left="0" w:firstLine="0"/>
              <w:jc w:val="center"/>
            </w:pPr>
            <w:r>
              <w:t>1</w:t>
            </w:r>
          </w:p>
        </w:tc>
        <w:tc>
          <w:tcPr>
            <w:tcW w:w="2984" w:type="dxa"/>
          </w:tcPr>
          <w:p w:rsidR="003114C1" w:rsidRPr="003A38BA" w:rsidRDefault="003114C1" w:rsidP="003114C1">
            <w:pPr>
              <w:ind w:left="0" w:firstLine="0"/>
              <w:jc w:val="center"/>
            </w:pPr>
            <w:r>
              <w:t>P0</w:t>
            </w:r>
          </w:p>
        </w:tc>
        <w:tc>
          <w:tcPr>
            <w:tcW w:w="2982" w:type="dxa"/>
          </w:tcPr>
          <w:p w:rsidR="003114C1" w:rsidRPr="003A38BA" w:rsidRDefault="003114C1" w:rsidP="003114C1">
            <w:pPr>
              <w:ind w:left="0" w:firstLine="0"/>
              <w:jc w:val="center"/>
            </w:pPr>
            <w:r>
              <w:t>&lt; 50 000</w:t>
            </w:r>
          </w:p>
        </w:tc>
      </w:tr>
      <w:tr w:rsidR="003114C1" w:rsidRPr="003A38BA" w:rsidTr="003114C1">
        <w:tc>
          <w:tcPr>
            <w:tcW w:w="2965" w:type="dxa"/>
          </w:tcPr>
          <w:p w:rsidR="003114C1" w:rsidRPr="003A38BA" w:rsidRDefault="003114C1" w:rsidP="003114C1">
            <w:pPr>
              <w:ind w:left="0" w:firstLine="0"/>
              <w:jc w:val="center"/>
            </w:pPr>
            <w:r>
              <w:t>2</w:t>
            </w:r>
          </w:p>
        </w:tc>
        <w:tc>
          <w:tcPr>
            <w:tcW w:w="2984" w:type="dxa"/>
          </w:tcPr>
          <w:p w:rsidR="003114C1" w:rsidRPr="003A38BA" w:rsidRDefault="003114C1" w:rsidP="003114C1">
            <w:pPr>
              <w:ind w:left="0" w:firstLine="0"/>
              <w:jc w:val="center"/>
            </w:pPr>
            <w:r>
              <w:t>P2</w:t>
            </w:r>
          </w:p>
        </w:tc>
        <w:tc>
          <w:tcPr>
            <w:tcW w:w="2982" w:type="dxa"/>
          </w:tcPr>
          <w:p w:rsidR="003114C1" w:rsidRPr="003A38BA" w:rsidRDefault="003114C1" w:rsidP="003114C1">
            <w:pPr>
              <w:ind w:left="0" w:firstLine="0"/>
              <w:jc w:val="center"/>
            </w:pPr>
            <w:r>
              <w:t>100 000</w:t>
            </w:r>
          </w:p>
        </w:tc>
      </w:tr>
      <w:tr w:rsidR="003114C1" w:rsidRPr="003A38BA" w:rsidTr="003114C1">
        <w:tc>
          <w:tcPr>
            <w:tcW w:w="2965" w:type="dxa"/>
          </w:tcPr>
          <w:p w:rsidR="003114C1" w:rsidRPr="003A38BA" w:rsidRDefault="003114C1" w:rsidP="003114C1">
            <w:pPr>
              <w:ind w:left="0" w:firstLine="0"/>
              <w:jc w:val="center"/>
            </w:pPr>
            <w:r>
              <w:t>3</w:t>
            </w:r>
          </w:p>
        </w:tc>
        <w:tc>
          <w:tcPr>
            <w:tcW w:w="2984" w:type="dxa"/>
          </w:tcPr>
          <w:p w:rsidR="003114C1" w:rsidRPr="003A38BA" w:rsidRDefault="003114C1" w:rsidP="003114C1">
            <w:pPr>
              <w:ind w:left="0" w:firstLine="0"/>
              <w:jc w:val="center"/>
            </w:pPr>
            <w:r>
              <w:t>P3</w:t>
            </w:r>
          </w:p>
        </w:tc>
        <w:tc>
          <w:tcPr>
            <w:tcW w:w="2982" w:type="dxa"/>
          </w:tcPr>
          <w:p w:rsidR="003114C1" w:rsidRPr="003A38BA" w:rsidRDefault="003114C1" w:rsidP="003114C1">
            <w:pPr>
              <w:ind w:left="0" w:firstLine="0"/>
              <w:jc w:val="center"/>
            </w:pPr>
            <w:r>
              <w:t>200 000</w:t>
            </w:r>
          </w:p>
        </w:tc>
      </w:tr>
      <w:tr w:rsidR="003114C1" w:rsidRPr="003A38BA" w:rsidTr="003114C1">
        <w:tc>
          <w:tcPr>
            <w:tcW w:w="2965" w:type="dxa"/>
          </w:tcPr>
          <w:p w:rsidR="003114C1" w:rsidRPr="003A38BA" w:rsidRDefault="003114C1" w:rsidP="003114C1">
            <w:pPr>
              <w:ind w:left="0" w:firstLine="0"/>
              <w:jc w:val="center"/>
            </w:pPr>
            <w:r>
              <w:t>4</w:t>
            </w:r>
          </w:p>
        </w:tc>
        <w:tc>
          <w:tcPr>
            <w:tcW w:w="2984" w:type="dxa"/>
          </w:tcPr>
          <w:p w:rsidR="003114C1" w:rsidRPr="003A38BA" w:rsidRDefault="003114C1" w:rsidP="003114C1">
            <w:pPr>
              <w:ind w:left="0" w:firstLine="0"/>
              <w:jc w:val="center"/>
            </w:pPr>
            <w:r>
              <w:t>P4</w:t>
            </w:r>
          </w:p>
        </w:tc>
        <w:tc>
          <w:tcPr>
            <w:tcW w:w="2982" w:type="dxa"/>
          </w:tcPr>
          <w:p w:rsidR="003114C1" w:rsidRPr="003A38BA" w:rsidRDefault="003114C1" w:rsidP="003114C1">
            <w:pPr>
              <w:ind w:left="0" w:firstLine="0"/>
              <w:jc w:val="center"/>
            </w:pPr>
            <w:r>
              <w:t>500 000</w:t>
            </w:r>
          </w:p>
        </w:tc>
      </w:tr>
      <w:tr w:rsidR="003114C1" w:rsidRPr="003A38BA" w:rsidTr="003114C1">
        <w:tc>
          <w:tcPr>
            <w:tcW w:w="2965" w:type="dxa"/>
          </w:tcPr>
          <w:p w:rsidR="003114C1" w:rsidRPr="003A38BA" w:rsidRDefault="003114C1" w:rsidP="003114C1">
            <w:pPr>
              <w:ind w:left="0" w:firstLine="0"/>
              <w:jc w:val="center"/>
            </w:pPr>
            <w:r>
              <w:t>5</w:t>
            </w:r>
          </w:p>
        </w:tc>
        <w:tc>
          <w:tcPr>
            <w:tcW w:w="2984" w:type="dxa"/>
          </w:tcPr>
          <w:p w:rsidR="003114C1" w:rsidRPr="003A38BA" w:rsidRDefault="003114C1" w:rsidP="003114C1">
            <w:pPr>
              <w:ind w:left="0" w:firstLine="0"/>
              <w:jc w:val="center"/>
            </w:pPr>
            <w:r>
              <w:t>P5</w:t>
            </w:r>
          </w:p>
        </w:tc>
        <w:tc>
          <w:tcPr>
            <w:tcW w:w="2982" w:type="dxa"/>
          </w:tcPr>
          <w:p w:rsidR="003114C1" w:rsidRPr="003A38BA" w:rsidRDefault="003114C1" w:rsidP="003114C1">
            <w:pPr>
              <w:ind w:left="0" w:firstLine="0"/>
              <w:jc w:val="center"/>
            </w:pPr>
            <w:r>
              <w:t>1 000 000</w:t>
            </w:r>
          </w:p>
        </w:tc>
      </w:tr>
      <w:tr w:rsidR="003114C1" w:rsidRPr="003A38BA" w:rsidTr="003114C1">
        <w:tc>
          <w:tcPr>
            <w:tcW w:w="2965" w:type="dxa"/>
          </w:tcPr>
          <w:p w:rsidR="003114C1" w:rsidRPr="003A38BA" w:rsidRDefault="003114C1" w:rsidP="003114C1">
            <w:pPr>
              <w:ind w:left="0" w:firstLine="0"/>
              <w:jc w:val="center"/>
            </w:pPr>
            <w:r>
              <w:lastRenderedPageBreak/>
              <w:t>6</w:t>
            </w:r>
          </w:p>
        </w:tc>
        <w:tc>
          <w:tcPr>
            <w:tcW w:w="2984" w:type="dxa"/>
          </w:tcPr>
          <w:p w:rsidR="003114C1" w:rsidRPr="003A38BA" w:rsidRDefault="003114C1" w:rsidP="003114C1">
            <w:pPr>
              <w:ind w:left="0" w:firstLine="0"/>
              <w:jc w:val="center"/>
            </w:pPr>
            <w:r>
              <w:t>P6</w:t>
            </w:r>
          </w:p>
        </w:tc>
        <w:tc>
          <w:tcPr>
            <w:tcW w:w="2982" w:type="dxa"/>
          </w:tcPr>
          <w:p w:rsidR="003114C1" w:rsidRPr="003A38BA" w:rsidRDefault="003114C1" w:rsidP="003114C1">
            <w:pPr>
              <w:ind w:left="0" w:firstLine="0"/>
              <w:jc w:val="center"/>
            </w:pPr>
            <w:r>
              <w:t>2 000 000</w:t>
            </w:r>
          </w:p>
        </w:tc>
      </w:tr>
      <w:tr w:rsidR="003114C1" w:rsidRPr="003A38BA" w:rsidTr="003114C1">
        <w:tc>
          <w:tcPr>
            <w:tcW w:w="2965" w:type="dxa"/>
          </w:tcPr>
          <w:p w:rsidR="003114C1" w:rsidRPr="003A38BA" w:rsidRDefault="003114C1" w:rsidP="003114C1">
            <w:pPr>
              <w:ind w:left="0" w:firstLine="0"/>
              <w:jc w:val="center"/>
            </w:pPr>
            <w:r>
              <w:t>7</w:t>
            </w:r>
          </w:p>
        </w:tc>
        <w:tc>
          <w:tcPr>
            <w:tcW w:w="2984" w:type="dxa"/>
          </w:tcPr>
          <w:p w:rsidR="003114C1" w:rsidRPr="003A38BA" w:rsidRDefault="003114C1" w:rsidP="003114C1">
            <w:pPr>
              <w:ind w:left="0" w:firstLine="0"/>
              <w:jc w:val="center"/>
            </w:pPr>
            <w:r>
              <w:t>-</w:t>
            </w:r>
          </w:p>
        </w:tc>
        <w:tc>
          <w:tcPr>
            <w:tcW w:w="2982" w:type="dxa"/>
          </w:tcPr>
          <w:p w:rsidR="003114C1" w:rsidRPr="003A38BA" w:rsidRDefault="003114C1" w:rsidP="003114C1">
            <w:pPr>
              <w:ind w:left="0" w:firstLine="0"/>
              <w:jc w:val="center"/>
            </w:pPr>
            <w:r>
              <w:t>3 000 000</w:t>
            </w:r>
          </w:p>
        </w:tc>
      </w:tr>
      <w:tr w:rsidR="003114C1" w:rsidRPr="003A38BA" w:rsidTr="003114C1">
        <w:tc>
          <w:tcPr>
            <w:tcW w:w="2965" w:type="dxa"/>
          </w:tcPr>
          <w:p w:rsidR="003114C1" w:rsidRPr="003A38BA" w:rsidRDefault="003114C1" w:rsidP="003114C1">
            <w:pPr>
              <w:ind w:left="0" w:firstLine="0"/>
              <w:jc w:val="center"/>
            </w:pPr>
            <w:r>
              <w:t>8</w:t>
            </w:r>
          </w:p>
        </w:tc>
        <w:tc>
          <w:tcPr>
            <w:tcW w:w="2984" w:type="dxa"/>
          </w:tcPr>
          <w:p w:rsidR="003114C1" w:rsidRPr="003A38BA" w:rsidRDefault="003114C1" w:rsidP="003114C1">
            <w:pPr>
              <w:ind w:left="0" w:firstLine="0"/>
              <w:jc w:val="center"/>
            </w:pPr>
            <w:r>
              <w:t>P7</w:t>
            </w:r>
          </w:p>
        </w:tc>
        <w:tc>
          <w:tcPr>
            <w:tcW w:w="2982" w:type="dxa"/>
          </w:tcPr>
          <w:p w:rsidR="003114C1" w:rsidRPr="003A38BA" w:rsidRDefault="003114C1" w:rsidP="003114C1">
            <w:pPr>
              <w:ind w:left="0" w:firstLine="0"/>
              <w:jc w:val="center"/>
            </w:pPr>
            <w:r>
              <w:t>4 000 000</w:t>
            </w:r>
          </w:p>
        </w:tc>
      </w:tr>
    </w:tbl>
    <w:p w:rsidR="00993CFC" w:rsidRPr="003A38BA" w:rsidRDefault="00993CFC" w:rsidP="007C21AF">
      <w:pPr>
        <w:pStyle w:val="Heading1"/>
        <w:numPr>
          <w:ilvl w:val="2"/>
          <w:numId w:val="5"/>
        </w:numPr>
        <w:ind w:left="1440" w:hanging="720"/>
        <w:jc w:val="both"/>
        <w:rPr>
          <w:sz w:val="24"/>
          <w:szCs w:val="24"/>
        </w:rPr>
      </w:pPr>
      <w:bookmarkStart w:id="26" w:name="_Toc12476254"/>
      <w:r>
        <w:rPr>
          <w:sz w:val="24"/>
          <w:szCs w:val="24"/>
        </w:rPr>
        <w:t>Hodnocení zkoušek</w:t>
      </w:r>
      <w:bookmarkEnd w:id="26"/>
    </w:p>
    <w:p w:rsidR="00993CFC" w:rsidRPr="003A38BA" w:rsidRDefault="00993CFC" w:rsidP="007C21AF">
      <w:pPr>
        <w:spacing w:after="120"/>
        <w:ind w:left="0" w:firstLine="0"/>
        <w:jc w:val="both"/>
      </w:pPr>
      <w:r>
        <w:t>Výsledky zkoušky způsobilosti jsou shrnuty v tabulce naměřených hodnot. Pokud jsou splněny minimální požadavky podle ZTV M pro nový a opotřebovaný stav, a rovněž požadavky TL M, může být vystaveno ve zkušebním certifikátu (viz Příloha A). Pro minimální požadavky podle ZTV M byly pro světelně-technické vlastnosti zvoleny vyšší třídy podle DIN EN 1436. Pokud jsou minimální požadavky nižší, než povoluje ZTV M a/nebo nejsou splněny požadavky podle TL M, minimální požadavky podle DIN EN 1436 ovšem splněny jsou, může být vystaveno osvědčení o zkoušce (viz Příloha A). V případě osvědčení dle DIN EN 1436, na rozdíl od zkušebního certifikátu podle ZTV M, není možné specifikovat výkon pro jednu nebo více vlastností, pokud to žadatel požaduje.</w:t>
      </w:r>
    </w:p>
    <w:p w:rsidR="00617E85" w:rsidRPr="003A38BA" w:rsidRDefault="00617E85" w:rsidP="007C21AF">
      <w:pPr>
        <w:spacing w:after="120"/>
        <w:ind w:left="0" w:firstLine="0"/>
        <w:jc w:val="both"/>
      </w:pPr>
      <w:r>
        <w:t>Pro určení drsnosti byly na základě provedených příčných srovnání měřených hodnot drsnosti na zkušebních polích a RPA stanoveny odlišné požadavky pro RPA. K hodnotě SRT zjištěné na RPA při zkoušce je připočítáno 5 bodů, takže je nejnižší třída S1 hodnocena jako splněná vždy při hodnotě SRT 40. Toto pravidlo ovšem neplatí pro měření drsnosti v novém stavu před započetím přejíždění. Zde je vyžadována SRT hodnota 45.</w:t>
      </w:r>
    </w:p>
    <w:p w:rsidR="00D9642C" w:rsidRPr="003A38BA" w:rsidRDefault="00D9642C" w:rsidP="007C21AF">
      <w:pPr>
        <w:pStyle w:val="Heading1"/>
        <w:numPr>
          <w:ilvl w:val="2"/>
          <w:numId w:val="5"/>
        </w:numPr>
        <w:ind w:left="1440" w:hanging="720"/>
        <w:jc w:val="both"/>
        <w:rPr>
          <w:sz w:val="24"/>
          <w:szCs w:val="24"/>
        </w:rPr>
      </w:pPr>
      <w:bookmarkStart w:id="27" w:name="_Toc12476255"/>
      <w:r>
        <w:rPr>
          <w:sz w:val="24"/>
          <w:szCs w:val="24"/>
        </w:rPr>
        <w:t>Kontrola zkoušek (reprodukovatelnost)</w:t>
      </w:r>
      <w:bookmarkEnd w:id="27"/>
    </w:p>
    <w:p w:rsidR="00D9642C" w:rsidRPr="003A38BA" w:rsidRDefault="00D9642C" w:rsidP="007C21AF">
      <w:pPr>
        <w:spacing w:after="120"/>
        <w:ind w:left="0" w:firstLine="0"/>
        <w:jc w:val="both"/>
      </w:pPr>
      <w:r>
        <w:t xml:space="preserve">V každém zkušebním chodu je kvůli kontrole bezvadného průběhu zkoušky obsažen jeden referenční vzorek. </w:t>
      </w:r>
    </w:p>
    <w:p w:rsidR="00D9642C" w:rsidRPr="003A38BA" w:rsidRDefault="00946519" w:rsidP="007C21AF">
      <w:pPr>
        <w:spacing w:after="120"/>
        <w:ind w:left="0" w:firstLine="0"/>
        <w:jc w:val="both"/>
      </w:pPr>
      <w:r>
        <w:t>Na každém referenčním vzorku je nutno v rámci zkoušky způsobilosti stejně tak měřit všechny vlastnosti uvedené v Oddílu 4.4.3. Výsledky měření by se neměly odchýlit od původních výsledků měření pro zvolený vzorek s ohledem na následně uvedené tolerance.</w:t>
      </w:r>
    </w:p>
    <w:p w:rsidR="00946519" w:rsidRPr="003A38BA" w:rsidRDefault="00946519" w:rsidP="007C21AF">
      <w:pPr>
        <w:spacing w:after="120"/>
        <w:ind w:left="0" w:firstLine="0"/>
        <w:jc w:val="both"/>
      </w:pPr>
      <w:r>
        <w:t>15 % pro viditelnost za dne</w:t>
      </w:r>
    </w:p>
    <w:p w:rsidR="00946519" w:rsidRPr="003A38BA" w:rsidRDefault="00946519" w:rsidP="007C21AF">
      <w:pPr>
        <w:spacing w:after="120"/>
        <w:ind w:left="0" w:firstLine="0"/>
        <w:jc w:val="both"/>
      </w:pPr>
      <w:r>
        <w:t>15 % pro noční viditelnost po 100 000 přejetí</w:t>
      </w:r>
    </w:p>
    <w:p w:rsidR="00DF3B72" w:rsidRPr="003A38BA" w:rsidRDefault="00946519" w:rsidP="007C21AF">
      <w:pPr>
        <w:spacing w:after="120"/>
        <w:ind w:left="0" w:firstLine="0"/>
        <w:jc w:val="both"/>
      </w:pPr>
      <w:r>
        <w:t>± 5 SRT jednotek pro drsnost</w:t>
      </w:r>
    </w:p>
    <w:p w:rsidR="00993CFC" w:rsidRPr="003A38BA" w:rsidRDefault="00F653D9" w:rsidP="007C21AF">
      <w:pPr>
        <w:spacing w:after="120"/>
        <w:ind w:left="0" w:firstLine="0"/>
        <w:jc w:val="both"/>
      </w:pPr>
      <w:r>
        <w:t>Pokud jsou odchylky větší, je nutno prověřit rámcové podmínky zkoušky, a rovněž referenční materiál samotný, aby mohlo být vycházeno z toho, že průběh zkoušky je bezvadný.</w:t>
      </w:r>
    </w:p>
    <w:p w:rsidR="00536458" w:rsidRPr="003A38BA" w:rsidRDefault="00536458" w:rsidP="007C21AF">
      <w:pPr>
        <w:pStyle w:val="Heading1"/>
        <w:numPr>
          <w:ilvl w:val="0"/>
          <w:numId w:val="5"/>
        </w:numPr>
        <w:jc w:val="both"/>
        <w:rPr>
          <w:sz w:val="24"/>
          <w:szCs w:val="24"/>
        </w:rPr>
      </w:pPr>
      <w:bookmarkStart w:id="28" w:name="_Toc353893698"/>
      <w:bookmarkStart w:id="29" w:name="_Toc12476256"/>
      <w:r>
        <w:rPr>
          <w:sz w:val="24"/>
          <w:szCs w:val="24"/>
        </w:rPr>
        <w:t>Chemicko-fyzikální zkoušky materiálů značení a přídavných látek (zkouška původního vzorku)</w:t>
      </w:r>
      <w:bookmarkEnd w:id="28"/>
      <w:bookmarkEnd w:id="29"/>
    </w:p>
    <w:p w:rsidR="00536458" w:rsidRPr="003A38BA" w:rsidRDefault="00536458" w:rsidP="007C21AF">
      <w:pPr>
        <w:pStyle w:val="Heading1"/>
        <w:numPr>
          <w:ilvl w:val="1"/>
          <w:numId w:val="5"/>
        </w:numPr>
        <w:jc w:val="both"/>
        <w:rPr>
          <w:sz w:val="24"/>
          <w:szCs w:val="24"/>
        </w:rPr>
      </w:pPr>
      <w:bookmarkStart w:id="30" w:name="_Toc86465553"/>
      <w:bookmarkStart w:id="31" w:name="_Toc115598045"/>
      <w:bookmarkStart w:id="32" w:name="_Toc120375499"/>
      <w:bookmarkStart w:id="33" w:name="_Toc150173015"/>
      <w:bookmarkStart w:id="34" w:name="_Toc150819913"/>
      <w:bookmarkStart w:id="35" w:name="_Toc353893699"/>
      <w:bookmarkStart w:id="36" w:name="_Toc12476257"/>
      <w:r>
        <w:rPr>
          <w:sz w:val="24"/>
          <w:szCs w:val="24"/>
        </w:rPr>
        <w:t>Obecné informace</w:t>
      </w:r>
      <w:bookmarkEnd w:id="30"/>
      <w:bookmarkEnd w:id="31"/>
      <w:bookmarkEnd w:id="32"/>
      <w:bookmarkEnd w:id="33"/>
      <w:bookmarkEnd w:id="34"/>
      <w:bookmarkEnd w:id="35"/>
      <w:bookmarkEnd w:id="36"/>
    </w:p>
    <w:p w:rsidR="00536458" w:rsidRPr="003A38BA" w:rsidRDefault="00536458" w:rsidP="007C21AF">
      <w:pPr>
        <w:spacing w:after="120"/>
        <w:ind w:left="0" w:firstLine="0"/>
        <w:jc w:val="both"/>
      </w:pPr>
      <w:r>
        <w:t>Zkoušky původního vzorku slouží pro zajištění kvality a pro kontrolu materiálů na značení, zda neobsahují zakázané nebezpečné látky. Současně slouží zkouška původního vzorku jako podklad pro pozdější zkoušky shody vzorků. V DIN EN 1871 jsou stanoveny chemicko-fyzikální požadavky na materiály na značení jako součást systémů značení. Požadavky na posyp a premix skleněných perel se řídí podle DIN EN 1423 a DIN EN 1424. Zkoušky k identifikaci materiálu na značení a fólií na značení jsou popsány v normách DIN EN 12802 a DIN EN 1790.</w:t>
      </w:r>
    </w:p>
    <w:p w:rsidR="00536458" w:rsidRPr="003A38BA" w:rsidRDefault="00536458" w:rsidP="007C21AF">
      <w:pPr>
        <w:spacing w:after="120"/>
        <w:ind w:left="0" w:firstLine="0"/>
        <w:jc w:val="both"/>
      </w:pPr>
      <w:r>
        <w:t xml:space="preserve">Analýzy původních vzorků, které je nutno při zkoušce způsobilosti systémů značení provést, jsou uvedeny v tabulce 7. Nutné odchylky od stávajících postupů jsou popsány v Oddílu 5.3. </w:t>
      </w:r>
    </w:p>
    <w:p w:rsidR="00536458" w:rsidRPr="003A38BA" w:rsidRDefault="00536458" w:rsidP="007C21AF">
      <w:pPr>
        <w:pStyle w:val="Subtitle"/>
        <w:keepNext/>
        <w:ind w:left="1440" w:hanging="1440"/>
        <w:jc w:val="both"/>
        <w:rPr>
          <w:spacing w:val="0"/>
        </w:rPr>
      </w:pPr>
      <w:r>
        <w:lastRenderedPageBreak/>
        <w:t>Tabulka 7 Přehled standardních zkušebních postupů</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559"/>
        <w:gridCol w:w="992"/>
        <w:gridCol w:w="992"/>
        <w:gridCol w:w="1134"/>
        <w:gridCol w:w="993"/>
        <w:gridCol w:w="1417"/>
      </w:tblGrid>
      <w:tr w:rsidR="00536458" w:rsidRPr="003A38BA" w:rsidTr="003E3497">
        <w:tc>
          <w:tcPr>
            <w:tcW w:w="2197" w:type="dxa"/>
            <w:tcBorders>
              <w:top w:val="single" w:sz="12" w:space="0" w:color="auto"/>
              <w:left w:val="single" w:sz="12" w:space="0" w:color="auto"/>
              <w:bottom w:val="single" w:sz="12" w:space="0" w:color="auto"/>
              <w:right w:val="nil"/>
            </w:tcBorders>
          </w:tcPr>
          <w:p w:rsidR="00536458" w:rsidRPr="003A38BA" w:rsidRDefault="00536458" w:rsidP="00536458">
            <w:pPr>
              <w:pStyle w:val="Tab-Kopf"/>
              <w:rPr>
                <w:sz w:val="22"/>
                <w:szCs w:val="22"/>
              </w:rPr>
            </w:pPr>
            <w:r>
              <w:rPr>
                <w:sz w:val="22"/>
                <w:szCs w:val="22"/>
              </w:rPr>
              <w:t>Parametr</w:t>
            </w:r>
          </w:p>
        </w:tc>
        <w:tc>
          <w:tcPr>
            <w:tcW w:w="1559" w:type="dxa"/>
            <w:tcBorders>
              <w:top w:val="single" w:sz="12" w:space="0" w:color="auto"/>
              <w:left w:val="single" w:sz="4" w:space="0" w:color="auto"/>
              <w:bottom w:val="single" w:sz="12" w:space="0" w:color="auto"/>
            </w:tcBorders>
          </w:tcPr>
          <w:p w:rsidR="00536458" w:rsidRPr="003A38BA" w:rsidRDefault="00536458" w:rsidP="00536458">
            <w:pPr>
              <w:pStyle w:val="Tab-Kopf"/>
              <w:rPr>
                <w:sz w:val="22"/>
                <w:szCs w:val="22"/>
              </w:rPr>
            </w:pPr>
            <w:r>
              <w:rPr>
                <w:sz w:val="22"/>
                <w:szCs w:val="22"/>
              </w:rPr>
              <w:t>Barvy obsahující rozpouštědlo (primery)</w:t>
            </w:r>
          </w:p>
        </w:tc>
        <w:tc>
          <w:tcPr>
            <w:tcW w:w="992" w:type="dxa"/>
            <w:tcBorders>
              <w:top w:val="single" w:sz="12" w:space="0" w:color="auto"/>
              <w:bottom w:val="single" w:sz="12" w:space="0" w:color="auto"/>
            </w:tcBorders>
          </w:tcPr>
          <w:p w:rsidR="00536458" w:rsidRPr="003A38BA" w:rsidRDefault="00536458" w:rsidP="00536458">
            <w:pPr>
              <w:pStyle w:val="Tab-Kopf"/>
              <w:rPr>
                <w:sz w:val="22"/>
                <w:szCs w:val="22"/>
              </w:rPr>
            </w:pPr>
            <w:r>
              <w:rPr>
                <w:sz w:val="22"/>
                <w:szCs w:val="22"/>
              </w:rPr>
              <w:t>Disperze</w:t>
            </w:r>
          </w:p>
        </w:tc>
        <w:tc>
          <w:tcPr>
            <w:tcW w:w="992" w:type="dxa"/>
            <w:tcBorders>
              <w:top w:val="single" w:sz="12" w:space="0" w:color="auto"/>
              <w:bottom w:val="single" w:sz="12" w:space="0" w:color="auto"/>
            </w:tcBorders>
          </w:tcPr>
          <w:p w:rsidR="00536458" w:rsidRPr="003A38BA" w:rsidRDefault="00536458" w:rsidP="00536458">
            <w:pPr>
              <w:pStyle w:val="Tab-Kopf"/>
              <w:rPr>
                <w:sz w:val="22"/>
                <w:szCs w:val="22"/>
              </w:rPr>
            </w:pPr>
            <w:r>
              <w:rPr>
                <w:sz w:val="22"/>
                <w:szCs w:val="22"/>
              </w:rPr>
              <w:t>Reaktivní látky</w:t>
            </w:r>
          </w:p>
        </w:tc>
        <w:tc>
          <w:tcPr>
            <w:tcW w:w="1134" w:type="dxa"/>
            <w:tcBorders>
              <w:top w:val="single" w:sz="12" w:space="0" w:color="auto"/>
              <w:bottom w:val="single" w:sz="12" w:space="0" w:color="auto"/>
            </w:tcBorders>
          </w:tcPr>
          <w:p w:rsidR="00536458" w:rsidRPr="003A38BA" w:rsidRDefault="00536458" w:rsidP="00536458">
            <w:pPr>
              <w:pStyle w:val="Tab-Kopf"/>
              <w:rPr>
                <w:sz w:val="22"/>
                <w:szCs w:val="22"/>
              </w:rPr>
            </w:pPr>
            <w:r>
              <w:rPr>
                <w:sz w:val="22"/>
                <w:szCs w:val="22"/>
              </w:rPr>
              <w:t>Termoplastické látky</w:t>
            </w:r>
          </w:p>
        </w:tc>
        <w:tc>
          <w:tcPr>
            <w:tcW w:w="993" w:type="dxa"/>
            <w:tcBorders>
              <w:top w:val="single" w:sz="12" w:space="0" w:color="auto"/>
              <w:bottom w:val="single" w:sz="12" w:space="0" w:color="auto"/>
            </w:tcBorders>
          </w:tcPr>
          <w:p w:rsidR="00536458" w:rsidRPr="003A38BA" w:rsidRDefault="00536458" w:rsidP="00536458">
            <w:pPr>
              <w:pStyle w:val="Tab-Kopf"/>
              <w:rPr>
                <w:sz w:val="22"/>
                <w:szCs w:val="22"/>
              </w:rPr>
            </w:pPr>
            <w:r>
              <w:rPr>
                <w:sz w:val="22"/>
                <w:szCs w:val="22"/>
              </w:rPr>
              <w:t>Fólie</w:t>
            </w:r>
          </w:p>
        </w:tc>
        <w:tc>
          <w:tcPr>
            <w:tcW w:w="1417" w:type="dxa"/>
            <w:tcBorders>
              <w:top w:val="single" w:sz="12" w:space="0" w:color="auto"/>
              <w:bottom w:val="single" w:sz="12" w:space="0" w:color="auto"/>
              <w:right w:val="single" w:sz="12" w:space="0" w:color="auto"/>
            </w:tcBorders>
          </w:tcPr>
          <w:p w:rsidR="00536458" w:rsidRPr="003A38BA" w:rsidRDefault="00536458" w:rsidP="00536458">
            <w:pPr>
              <w:pStyle w:val="Tab-Kopf"/>
              <w:rPr>
                <w:kern w:val="0"/>
                <w:sz w:val="22"/>
                <w:szCs w:val="22"/>
              </w:rPr>
            </w:pPr>
            <w:r>
              <w:rPr>
                <w:sz w:val="22"/>
                <w:szCs w:val="22"/>
              </w:rPr>
              <w:t>Odkaz</w:t>
            </w:r>
          </w:p>
        </w:tc>
      </w:tr>
      <w:tr w:rsidR="00536458" w:rsidRPr="003A38BA" w:rsidTr="003E3497">
        <w:tc>
          <w:tcPr>
            <w:tcW w:w="2197" w:type="dxa"/>
            <w:tcBorders>
              <w:top w:val="single" w:sz="12" w:space="0" w:color="auto"/>
              <w:left w:val="single" w:sz="12" w:space="0" w:color="auto"/>
            </w:tcBorders>
          </w:tcPr>
          <w:p w:rsidR="00536458" w:rsidRPr="003A38BA" w:rsidRDefault="00536458" w:rsidP="00536458">
            <w:pPr>
              <w:spacing w:line="280" w:lineRule="exact"/>
              <w:ind w:left="0" w:firstLine="0"/>
            </w:pPr>
            <w:r>
              <w:t>Hustota</w:t>
            </w:r>
          </w:p>
        </w:tc>
        <w:tc>
          <w:tcPr>
            <w:tcW w:w="1559" w:type="dxa"/>
            <w:tcBorders>
              <w:top w:val="single" w:sz="12" w:space="0" w:color="auto"/>
            </w:tcBorders>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szCs w:val="20"/>
              </w:rPr>
              <w:t>X</w:t>
            </w:r>
          </w:p>
        </w:tc>
        <w:tc>
          <w:tcPr>
            <w:tcW w:w="992" w:type="dxa"/>
            <w:tcBorders>
              <w:top w:val="single" w:sz="12" w:space="0" w:color="auto"/>
            </w:tcBorders>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2" w:type="dxa"/>
            <w:tcBorders>
              <w:top w:val="single" w:sz="12" w:space="0" w:color="auto"/>
            </w:tcBorders>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szCs w:val="20"/>
              </w:rPr>
              <w:t>X</w:t>
            </w:r>
          </w:p>
        </w:tc>
        <w:tc>
          <w:tcPr>
            <w:tcW w:w="1134" w:type="dxa"/>
            <w:tcBorders>
              <w:top w:val="single" w:sz="12" w:space="0" w:color="auto"/>
            </w:tcBorders>
            <w:vAlign w:val="center"/>
          </w:tcPr>
          <w:p w:rsidR="00536458" w:rsidRPr="003A38BA" w:rsidRDefault="00536458" w:rsidP="0088418C">
            <w:pPr>
              <w:spacing w:after="80" w:line="300" w:lineRule="exact"/>
              <w:jc w:val="center"/>
              <w:rPr>
                <w:rFonts w:ascii="Arial" w:hAnsi="Arial" w:cs="Arial"/>
                <w:bCs/>
                <w:sz w:val="20"/>
                <w:szCs w:val="20"/>
              </w:rPr>
            </w:pPr>
          </w:p>
        </w:tc>
        <w:tc>
          <w:tcPr>
            <w:tcW w:w="993" w:type="dxa"/>
            <w:tcBorders>
              <w:top w:val="single" w:sz="12" w:space="0" w:color="auto"/>
            </w:tcBorders>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top w:val="single" w:sz="12" w:space="0" w:color="auto"/>
              <w:right w:val="single" w:sz="12" w:space="0" w:color="auto"/>
            </w:tcBorders>
          </w:tcPr>
          <w:p w:rsidR="00536458" w:rsidRPr="003A38BA" w:rsidRDefault="00536458" w:rsidP="00536458">
            <w:pPr>
              <w:pStyle w:val="Einzug-1"/>
              <w:rPr>
                <w:rFonts w:asciiTheme="minorHAnsi" w:hAnsiTheme="minorHAnsi"/>
                <w:sz w:val="22"/>
                <w:szCs w:val="22"/>
              </w:rPr>
            </w:pPr>
            <w:r>
              <w:rPr>
                <w:rFonts w:asciiTheme="minorHAnsi" w:hAnsiTheme="minorHAnsi"/>
                <w:sz w:val="22"/>
                <w:szCs w:val="22"/>
              </w:rPr>
              <w:t>ISO – 2811-1</w:t>
            </w:r>
          </w:p>
        </w:tc>
      </w:tr>
      <w:tr w:rsidR="00536458" w:rsidRPr="003A38BA" w:rsidTr="003E3497">
        <w:tc>
          <w:tcPr>
            <w:tcW w:w="2197" w:type="dxa"/>
            <w:tcBorders>
              <w:left w:val="single" w:sz="12" w:space="0" w:color="auto"/>
            </w:tcBorders>
          </w:tcPr>
          <w:p w:rsidR="00536458" w:rsidRPr="003A38BA" w:rsidRDefault="00536458" w:rsidP="00536458">
            <w:pPr>
              <w:spacing w:line="280" w:lineRule="exact"/>
              <w:ind w:left="0" w:firstLine="0"/>
            </w:pPr>
            <w:r>
              <w:t>Podíl prchavých materiálů</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3E3497">
        <w:tc>
          <w:tcPr>
            <w:tcW w:w="2197" w:type="dxa"/>
            <w:tcBorders>
              <w:left w:val="single" w:sz="12" w:space="0" w:color="auto"/>
            </w:tcBorders>
          </w:tcPr>
          <w:p w:rsidR="00536458" w:rsidRPr="003A38BA" w:rsidRDefault="00536458" w:rsidP="00536458">
            <w:pPr>
              <w:spacing w:line="280" w:lineRule="exact"/>
              <w:ind w:left="0" w:firstLine="0"/>
            </w:pPr>
            <w:r>
              <w:t>Podíl pojiva</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szCs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3E3497">
        <w:tc>
          <w:tcPr>
            <w:tcW w:w="2197" w:type="dxa"/>
            <w:tcBorders>
              <w:left w:val="single" w:sz="12" w:space="0" w:color="auto"/>
            </w:tcBorders>
          </w:tcPr>
          <w:p w:rsidR="00536458" w:rsidRPr="003A38BA" w:rsidRDefault="00536458" w:rsidP="00536458">
            <w:pPr>
              <w:spacing w:line="280" w:lineRule="exact"/>
              <w:ind w:left="0" w:firstLine="0"/>
            </w:pPr>
            <w:r>
              <w:t>Obsah oxidu titaničitého</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szCs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3E3497">
        <w:tc>
          <w:tcPr>
            <w:tcW w:w="2197" w:type="dxa"/>
            <w:tcBorders>
              <w:left w:val="single" w:sz="12" w:space="0" w:color="auto"/>
            </w:tcBorders>
          </w:tcPr>
          <w:p w:rsidR="00536458" w:rsidRPr="003A38BA" w:rsidRDefault="00536458" w:rsidP="00536458">
            <w:pPr>
              <w:pStyle w:val="Header"/>
              <w:tabs>
                <w:tab w:val="clear" w:pos="4536"/>
                <w:tab w:val="clear" w:pos="9072"/>
              </w:tabs>
              <w:spacing w:before="60" w:after="60" w:line="240" w:lineRule="exact"/>
              <w:rPr>
                <w:rFonts w:asciiTheme="minorHAnsi" w:hAnsiTheme="minorHAnsi"/>
                <w:sz w:val="22"/>
                <w:szCs w:val="22"/>
              </w:rPr>
            </w:pPr>
            <w:r>
              <w:rPr>
                <w:rFonts w:asciiTheme="minorHAnsi" w:hAnsiTheme="minorHAnsi"/>
                <w:sz w:val="22"/>
                <w:szCs w:val="22"/>
              </w:rPr>
              <w:t>Podíly premix. těles</w:t>
            </w:r>
          </w:p>
        </w:tc>
        <w:tc>
          <w:tcPr>
            <w:tcW w:w="1559" w:type="dxa"/>
            <w:vAlign w:val="center"/>
          </w:tcPr>
          <w:p w:rsidR="00536458" w:rsidRPr="003A38BA" w:rsidRDefault="00536458" w:rsidP="0088418C">
            <w:pPr>
              <w:spacing w:after="80" w:line="300" w:lineRule="exact"/>
              <w:jc w:val="center"/>
              <w:rPr>
                <w:rFonts w:ascii="Arial" w:hAnsi="Arial" w:cs="Arial"/>
                <w:sz w:val="20"/>
                <w:szCs w:val="20"/>
              </w:rPr>
            </w:pPr>
          </w:p>
        </w:tc>
        <w:tc>
          <w:tcPr>
            <w:tcW w:w="992" w:type="dxa"/>
            <w:vAlign w:val="center"/>
          </w:tcPr>
          <w:p w:rsidR="00536458" w:rsidRPr="003A38BA" w:rsidRDefault="00536458" w:rsidP="0088418C">
            <w:pPr>
              <w:spacing w:after="80" w:line="300" w:lineRule="exact"/>
              <w:jc w:val="center"/>
              <w:rPr>
                <w:rFonts w:ascii="Arial" w:hAnsi="Arial" w:cs="Arial"/>
                <w:sz w:val="20"/>
                <w:szCs w:val="20"/>
              </w:rPr>
            </w:pP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szCs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40" w:lineRule="exact"/>
              <w:ind w:left="0" w:firstLine="0"/>
            </w:pPr>
            <w:r>
              <w:t>Analýza posypu</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szCs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1423, TP M</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40" w:lineRule="exact"/>
              <w:ind w:left="0" w:firstLine="0"/>
            </w:pPr>
            <w:r>
              <w:t>Analýza olova a kadmia</w:t>
            </w:r>
          </w:p>
        </w:tc>
        <w:tc>
          <w:tcPr>
            <w:tcW w:w="1559"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 xml:space="preserve">x </w:t>
            </w:r>
            <w:r>
              <w:rPr>
                <w:rFonts w:ascii="Arial" w:hAnsi="Arial"/>
                <w:sz w:val="20"/>
                <w:szCs w:val="20"/>
                <w:vertAlign w:val="superscript"/>
              </w:rPr>
              <w:t>1)</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 xml:space="preserve">x </w:t>
            </w:r>
            <w:r>
              <w:rPr>
                <w:rFonts w:ascii="Arial" w:hAnsi="Arial"/>
                <w:sz w:val="20"/>
                <w:szCs w:val="20"/>
                <w:vertAlign w:val="superscript"/>
              </w:rPr>
              <w:t>1)</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 xml:space="preserve">x </w:t>
            </w:r>
            <w:r>
              <w:rPr>
                <w:rFonts w:ascii="Arial" w:hAnsi="Arial"/>
                <w:sz w:val="20"/>
                <w:szCs w:val="20"/>
                <w:vertAlign w:val="superscript"/>
              </w:rPr>
              <w:t>1)</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 xml:space="preserve">x </w:t>
            </w:r>
            <w:r>
              <w:rPr>
                <w:rFonts w:ascii="Arial" w:hAnsi="Arial"/>
                <w:sz w:val="20"/>
                <w:szCs w:val="20"/>
                <w:vertAlign w:val="superscript"/>
              </w:rPr>
              <w:t>1)</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 xml:space="preserve">x </w:t>
            </w:r>
            <w:r>
              <w:rPr>
                <w:rFonts w:ascii="Arial" w:hAnsi="Arial"/>
                <w:sz w:val="20"/>
                <w:szCs w:val="20"/>
                <w:vertAlign w:val="superscript"/>
              </w:rPr>
              <w:t>1)</w:t>
            </w:r>
          </w:p>
        </w:tc>
        <w:tc>
          <w:tcPr>
            <w:tcW w:w="1417" w:type="dxa"/>
            <w:tcBorders>
              <w:right w:val="single" w:sz="12" w:space="0" w:color="auto"/>
            </w:tcBorders>
          </w:tcPr>
          <w:p w:rsidR="00536458" w:rsidRPr="003A38BA" w:rsidRDefault="00536458" w:rsidP="00536458">
            <w:pPr>
              <w:pStyle w:val="Einzug-1"/>
              <w:rPr>
                <w:rFonts w:asciiTheme="minorHAnsi" w:hAnsiTheme="minorHAnsi"/>
                <w:sz w:val="22"/>
                <w:szCs w:val="22"/>
              </w:rPr>
            </w:pPr>
            <w:r>
              <w:rPr>
                <w:rFonts w:asciiTheme="minorHAnsi" w:hAnsiTheme="minorHAnsi"/>
                <w:sz w:val="22"/>
                <w:szCs w:val="22"/>
              </w:rPr>
              <w:t>ISO 11466</w:t>
            </w:r>
          </w:p>
        </w:tc>
      </w:tr>
      <w:tr w:rsidR="00536458" w:rsidRPr="003A38BA" w:rsidTr="003E3497">
        <w:tc>
          <w:tcPr>
            <w:tcW w:w="2197" w:type="dxa"/>
            <w:tcBorders>
              <w:left w:val="single" w:sz="12" w:space="0" w:color="auto"/>
            </w:tcBorders>
          </w:tcPr>
          <w:p w:rsidR="00536458" w:rsidRPr="003A38BA" w:rsidRDefault="00536458" w:rsidP="00536458">
            <w:pPr>
              <w:spacing w:line="280" w:lineRule="exact"/>
              <w:ind w:left="0" w:firstLine="0"/>
            </w:pPr>
            <w:r>
              <w:t>Zbytek po zpopelnění</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szCs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40" w:lineRule="exact"/>
              <w:ind w:left="0" w:firstLine="0"/>
            </w:pPr>
            <w:r>
              <w:t>Infračervené spektrum pojiva</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szCs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r>
              <w:rPr>
                <w:b/>
                <w:vertAlign w:val="superscript"/>
              </w:rPr>
              <w:t>2)</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40" w:lineRule="exact"/>
              <w:ind w:left="0" w:firstLine="0"/>
            </w:pPr>
            <w:r>
              <w:t>Infračervené spektrum pigmentů a plniv</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szCs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40" w:lineRule="exact"/>
              <w:ind w:left="0" w:firstLine="0"/>
            </w:pPr>
            <w:r>
              <w:t>Určení VOC/monomery/oligomery</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szCs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40" w:lineRule="exact"/>
              <w:ind w:left="0" w:firstLine="0"/>
            </w:pPr>
            <w:r>
              <w:t>Analýza lepicí vrstvy</w:t>
            </w:r>
          </w:p>
        </w:tc>
        <w:tc>
          <w:tcPr>
            <w:tcW w:w="1559" w:type="dxa"/>
            <w:vAlign w:val="center"/>
          </w:tcPr>
          <w:p w:rsidR="00536458" w:rsidRPr="003A38BA" w:rsidRDefault="00536458" w:rsidP="0088418C">
            <w:pPr>
              <w:spacing w:after="80" w:line="300" w:lineRule="exact"/>
              <w:jc w:val="center"/>
              <w:rPr>
                <w:rFonts w:ascii="Arial" w:hAnsi="Arial" w:cs="Arial"/>
                <w:sz w:val="20"/>
                <w:szCs w:val="20"/>
              </w:rPr>
            </w:pPr>
          </w:p>
        </w:tc>
        <w:tc>
          <w:tcPr>
            <w:tcW w:w="992" w:type="dxa"/>
            <w:vAlign w:val="center"/>
          </w:tcPr>
          <w:p w:rsidR="00536458" w:rsidRPr="003A38BA" w:rsidRDefault="00536458" w:rsidP="0088418C">
            <w:pPr>
              <w:spacing w:after="80" w:line="300" w:lineRule="exact"/>
              <w:jc w:val="center"/>
              <w:rPr>
                <w:rFonts w:ascii="Arial" w:hAnsi="Arial" w:cs="Arial"/>
                <w:sz w:val="20"/>
                <w:szCs w:val="20"/>
              </w:rPr>
            </w:pPr>
          </w:p>
        </w:tc>
        <w:tc>
          <w:tcPr>
            <w:tcW w:w="992" w:type="dxa"/>
            <w:vAlign w:val="center"/>
          </w:tcPr>
          <w:p w:rsidR="00536458" w:rsidRPr="003A38BA" w:rsidRDefault="00536458" w:rsidP="0088418C">
            <w:pPr>
              <w:spacing w:after="80" w:line="300" w:lineRule="exact"/>
              <w:jc w:val="center"/>
              <w:rPr>
                <w:rFonts w:ascii="Arial" w:hAnsi="Arial" w:cs="Arial"/>
                <w:sz w:val="20"/>
                <w:szCs w:val="20"/>
              </w:rPr>
            </w:pP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p>
        </w:tc>
        <w:tc>
          <w:tcPr>
            <w:tcW w:w="993" w:type="dxa"/>
            <w:vAlign w:val="center"/>
          </w:tcPr>
          <w:p w:rsidR="00536458" w:rsidRPr="003A38BA" w:rsidRDefault="0088418C" w:rsidP="0088418C">
            <w:pPr>
              <w:spacing w:after="80" w:line="300" w:lineRule="exact"/>
              <w:jc w:val="center"/>
              <w:rPr>
                <w:rFonts w:ascii="Arial" w:hAnsi="Arial" w:cs="Arial"/>
                <w:sz w:val="20"/>
                <w:szCs w:val="20"/>
              </w:rPr>
            </w:pPr>
            <w:r>
              <w:rPr>
                <w:rFonts w:ascii="Arial" w:hAnsi="Arial"/>
                <w:sz w:val="20"/>
                <w:szCs w:val="20"/>
              </w:rPr>
              <w:t>x</w:t>
            </w:r>
          </w:p>
        </w:tc>
        <w:tc>
          <w:tcPr>
            <w:tcW w:w="1417" w:type="dxa"/>
            <w:tcBorders>
              <w:right w:val="single" w:sz="12" w:space="0" w:color="auto"/>
            </w:tcBorders>
          </w:tcPr>
          <w:p w:rsidR="00536458" w:rsidRPr="003A38BA" w:rsidRDefault="00536458" w:rsidP="00536458">
            <w:pPr>
              <w:spacing w:line="280" w:lineRule="exact"/>
            </w:pPr>
            <w:r>
              <w:t>DIN EN 1790</w:t>
            </w:r>
          </w:p>
        </w:tc>
      </w:tr>
      <w:tr w:rsidR="00536458" w:rsidRPr="003A38BA" w:rsidTr="003E3497">
        <w:tc>
          <w:tcPr>
            <w:tcW w:w="2197" w:type="dxa"/>
            <w:tcBorders>
              <w:left w:val="single" w:sz="12" w:space="0" w:color="auto"/>
            </w:tcBorders>
          </w:tcPr>
          <w:p w:rsidR="00536458" w:rsidRPr="003A38BA" w:rsidRDefault="00536458" w:rsidP="00536458">
            <w:pPr>
              <w:spacing w:line="280" w:lineRule="exact"/>
              <w:ind w:left="0" w:firstLine="0"/>
            </w:pPr>
            <w:r>
              <w:t>Termogram</w:t>
            </w:r>
          </w:p>
        </w:tc>
        <w:tc>
          <w:tcPr>
            <w:tcW w:w="1559" w:type="dxa"/>
            <w:vAlign w:val="center"/>
          </w:tcPr>
          <w:p w:rsidR="00536458" w:rsidRPr="003A38BA" w:rsidRDefault="00536458" w:rsidP="0088418C">
            <w:pPr>
              <w:spacing w:after="80" w:line="300" w:lineRule="exact"/>
              <w:jc w:val="center"/>
              <w:rPr>
                <w:rFonts w:ascii="Arial" w:hAnsi="Arial" w:cs="Arial"/>
                <w:sz w:val="20"/>
                <w:szCs w:val="20"/>
              </w:rPr>
            </w:pPr>
          </w:p>
        </w:tc>
        <w:tc>
          <w:tcPr>
            <w:tcW w:w="992" w:type="dxa"/>
            <w:vAlign w:val="center"/>
          </w:tcPr>
          <w:p w:rsidR="00536458" w:rsidRPr="003A38BA" w:rsidRDefault="00536458" w:rsidP="0088418C">
            <w:pPr>
              <w:spacing w:after="80" w:line="300" w:lineRule="exact"/>
              <w:jc w:val="center"/>
              <w:rPr>
                <w:rFonts w:ascii="Arial" w:hAnsi="Arial" w:cs="Arial"/>
                <w:sz w:val="20"/>
                <w:szCs w:val="20"/>
              </w:rPr>
            </w:pPr>
          </w:p>
        </w:tc>
        <w:tc>
          <w:tcPr>
            <w:tcW w:w="992" w:type="dxa"/>
            <w:vAlign w:val="center"/>
          </w:tcPr>
          <w:p w:rsidR="00536458" w:rsidRPr="003A38BA" w:rsidRDefault="00536458" w:rsidP="0088418C">
            <w:pPr>
              <w:spacing w:after="80" w:line="300" w:lineRule="exact"/>
              <w:jc w:val="center"/>
              <w:rPr>
                <w:rFonts w:ascii="Arial" w:hAnsi="Arial" w:cs="Arial"/>
                <w:sz w:val="20"/>
                <w:szCs w:val="20"/>
              </w:rPr>
            </w:pP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p>
        </w:tc>
        <w:tc>
          <w:tcPr>
            <w:tcW w:w="993" w:type="dxa"/>
            <w:vAlign w:val="center"/>
          </w:tcPr>
          <w:p w:rsidR="00536458" w:rsidRPr="003A38BA" w:rsidRDefault="0088418C" w:rsidP="0088418C">
            <w:pPr>
              <w:spacing w:after="80" w:line="300" w:lineRule="exact"/>
              <w:jc w:val="center"/>
              <w:rPr>
                <w:rFonts w:ascii="Arial" w:hAnsi="Arial" w:cs="Arial"/>
                <w:sz w:val="20"/>
                <w:szCs w:val="20"/>
              </w:rPr>
            </w:pPr>
            <w:r>
              <w:rPr>
                <w:rFonts w:ascii="Arial" w:hAnsi="Arial"/>
                <w:sz w:val="20"/>
                <w:szCs w:val="20"/>
              </w:rPr>
              <w:t>x</w:t>
            </w:r>
          </w:p>
        </w:tc>
        <w:tc>
          <w:tcPr>
            <w:tcW w:w="1417" w:type="dxa"/>
            <w:tcBorders>
              <w:right w:val="single" w:sz="12" w:space="0" w:color="auto"/>
            </w:tcBorders>
          </w:tcPr>
          <w:p w:rsidR="00536458" w:rsidRPr="003A38BA" w:rsidRDefault="00536458" w:rsidP="00536458">
            <w:pPr>
              <w:spacing w:line="280" w:lineRule="exact"/>
            </w:pPr>
            <w:r>
              <w:t>DIN EN 1790</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60" w:lineRule="exact"/>
              <w:ind w:left="0" w:firstLine="0"/>
            </w:pPr>
            <w:r>
              <w:t>Obrazová analýza</w:t>
            </w:r>
          </w:p>
        </w:tc>
        <w:tc>
          <w:tcPr>
            <w:tcW w:w="1559"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992"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992"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1134"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993" w:type="dxa"/>
            <w:vAlign w:val="center"/>
          </w:tcPr>
          <w:p w:rsidR="00536458" w:rsidRPr="003A38BA" w:rsidRDefault="0088418C" w:rsidP="0088418C">
            <w:pPr>
              <w:spacing w:before="60" w:after="60" w:line="260" w:lineRule="exact"/>
              <w:jc w:val="center"/>
              <w:rPr>
                <w:rFonts w:ascii="Arial" w:hAnsi="Arial" w:cs="Arial"/>
                <w:sz w:val="20"/>
                <w:szCs w:val="20"/>
              </w:rPr>
            </w:pPr>
            <w:r>
              <w:rPr>
                <w:rFonts w:ascii="Arial" w:hAnsi="Arial"/>
                <w:sz w:val="20"/>
                <w:szCs w:val="20"/>
              </w:rPr>
              <w:t>x</w:t>
            </w:r>
          </w:p>
        </w:tc>
        <w:tc>
          <w:tcPr>
            <w:tcW w:w="1417" w:type="dxa"/>
            <w:tcBorders>
              <w:right w:val="single" w:sz="12" w:space="0" w:color="auto"/>
            </w:tcBorders>
          </w:tcPr>
          <w:p w:rsidR="00536458" w:rsidRPr="003A38BA" w:rsidRDefault="00C32DCC" w:rsidP="00536458">
            <w:pPr>
              <w:spacing w:line="280" w:lineRule="exact"/>
            </w:pPr>
            <w:r>
              <w:t>TP M</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60" w:lineRule="exact"/>
              <w:ind w:left="0" w:firstLine="0"/>
            </w:pPr>
            <w:r>
              <w:t>Bod měknutí podle Wilhelmiho</w:t>
            </w:r>
          </w:p>
        </w:tc>
        <w:tc>
          <w:tcPr>
            <w:tcW w:w="1559"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992"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992"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1134" w:type="dxa"/>
            <w:vAlign w:val="center"/>
          </w:tcPr>
          <w:p w:rsidR="00536458" w:rsidRPr="003A38BA" w:rsidRDefault="00BD23B3" w:rsidP="0088418C">
            <w:pPr>
              <w:spacing w:before="60" w:after="60" w:line="260" w:lineRule="exact"/>
              <w:jc w:val="center"/>
              <w:rPr>
                <w:rFonts w:ascii="Arial" w:hAnsi="Arial" w:cs="Arial"/>
                <w:sz w:val="20"/>
                <w:szCs w:val="20"/>
              </w:rPr>
            </w:pPr>
            <w:r>
              <w:rPr>
                <w:rFonts w:ascii="Arial" w:hAnsi="Arial"/>
                <w:sz w:val="20"/>
                <w:szCs w:val="20"/>
              </w:rPr>
              <w:t>x</w:t>
            </w:r>
          </w:p>
        </w:tc>
        <w:tc>
          <w:tcPr>
            <w:tcW w:w="993" w:type="dxa"/>
            <w:vAlign w:val="center"/>
          </w:tcPr>
          <w:p w:rsidR="00536458" w:rsidRPr="003A38BA" w:rsidRDefault="00536458" w:rsidP="0088418C">
            <w:pPr>
              <w:spacing w:before="60" w:after="60" w:line="260" w:lineRule="exact"/>
              <w:jc w:val="center"/>
              <w:rPr>
                <w:rFonts w:ascii="Arial" w:hAnsi="Arial" w:cs="Arial"/>
                <w:sz w:val="20"/>
                <w:szCs w:val="20"/>
                <w:lang w:val="en-GB"/>
              </w:rPr>
            </w:pPr>
          </w:p>
        </w:tc>
        <w:tc>
          <w:tcPr>
            <w:tcW w:w="1417" w:type="dxa"/>
            <w:tcBorders>
              <w:right w:val="single" w:sz="12" w:space="0" w:color="auto"/>
            </w:tcBorders>
          </w:tcPr>
          <w:p w:rsidR="00536458" w:rsidRPr="003A38BA" w:rsidRDefault="00536458" w:rsidP="00536458">
            <w:pPr>
              <w:spacing w:line="280" w:lineRule="exact"/>
            </w:pPr>
            <w:r>
              <w:t>DIN EN 1871</w:t>
            </w:r>
          </w:p>
        </w:tc>
      </w:tr>
      <w:tr w:rsidR="00DF4A21" w:rsidRPr="003A38BA" w:rsidTr="003E3497">
        <w:tc>
          <w:tcPr>
            <w:tcW w:w="2197" w:type="dxa"/>
            <w:tcBorders>
              <w:left w:val="single" w:sz="12" w:space="0" w:color="auto"/>
              <w:bottom w:val="single" w:sz="12" w:space="0" w:color="auto"/>
            </w:tcBorders>
          </w:tcPr>
          <w:p w:rsidR="00DF4A21" w:rsidRPr="003A38BA" w:rsidRDefault="00DF4A21" w:rsidP="00536458">
            <w:pPr>
              <w:spacing w:before="60" w:after="60" w:line="260" w:lineRule="exact"/>
              <w:ind w:left="0" w:firstLine="0"/>
            </w:pPr>
            <w:r>
              <w:t xml:space="preserve">Test průsaku </w:t>
            </w:r>
          </w:p>
        </w:tc>
        <w:tc>
          <w:tcPr>
            <w:tcW w:w="1559" w:type="dxa"/>
            <w:tcBorders>
              <w:bottom w:val="single" w:sz="12" w:space="0" w:color="auto"/>
            </w:tcBorders>
            <w:vAlign w:val="center"/>
          </w:tcPr>
          <w:p w:rsidR="00DF4A21" w:rsidRPr="003A38BA" w:rsidRDefault="00DF4A21" w:rsidP="0088418C">
            <w:pPr>
              <w:spacing w:before="60" w:after="60" w:line="260" w:lineRule="exact"/>
              <w:jc w:val="center"/>
              <w:rPr>
                <w:rFonts w:ascii="Arial" w:hAnsi="Arial" w:cs="Arial"/>
                <w:sz w:val="20"/>
                <w:szCs w:val="20"/>
              </w:rPr>
            </w:pPr>
          </w:p>
        </w:tc>
        <w:tc>
          <w:tcPr>
            <w:tcW w:w="992" w:type="dxa"/>
            <w:tcBorders>
              <w:bottom w:val="single" w:sz="12" w:space="0" w:color="auto"/>
            </w:tcBorders>
            <w:vAlign w:val="center"/>
          </w:tcPr>
          <w:p w:rsidR="00DF4A21" w:rsidRPr="003A38BA" w:rsidRDefault="00DF4A21" w:rsidP="0088418C">
            <w:pPr>
              <w:spacing w:before="60" w:after="60" w:line="260" w:lineRule="exact"/>
              <w:jc w:val="center"/>
              <w:rPr>
                <w:rFonts w:ascii="Arial" w:hAnsi="Arial" w:cs="Arial"/>
                <w:sz w:val="20"/>
                <w:szCs w:val="20"/>
              </w:rPr>
            </w:pPr>
          </w:p>
        </w:tc>
        <w:tc>
          <w:tcPr>
            <w:tcW w:w="992" w:type="dxa"/>
            <w:tcBorders>
              <w:bottom w:val="single" w:sz="12" w:space="0" w:color="auto"/>
            </w:tcBorders>
            <w:vAlign w:val="center"/>
          </w:tcPr>
          <w:p w:rsidR="00DF4A21" w:rsidRPr="003A38BA" w:rsidRDefault="00DF4A21" w:rsidP="0088418C">
            <w:pPr>
              <w:spacing w:before="60" w:after="60" w:line="260" w:lineRule="exact"/>
              <w:jc w:val="center"/>
              <w:rPr>
                <w:rFonts w:ascii="Arial" w:hAnsi="Arial" w:cs="Arial"/>
                <w:sz w:val="20"/>
                <w:szCs w:val="20"/>
              </w:rPr>
            </w:pPr>
          </w:p>
        </w:tc>
        <w:tc>
          <w:tcPr>
            <w:tcW w:w="1134" w:type="dxa"/>
            <w:tcBorders>
              <w:bottom w:val="single" w:sz="12" w:space="0" w:color="auto"/>
            </w:tcBorders>
            <w:vAlign w:val="center"/>
          </w:tcPr>
          <w:p w:rsidR="00DF4A21" w:rsidRPr="003A38BA" w:rsidRDefault="00DF4A21" w:rsidP="0088418C">
            <w:pPr>
              <w:spacing w:before="60" w:after="60" w:line="260" w:lineRule="exact"/>
              <w:jc w:val="center"/>
              <w:rPr>
                <w:rFonts w:ascii="Arial" w:hAnsi="Arial" w:cs="Arial"/>
                <w:sz w:val="20"/>
                <w:szCs w:val="20"/>
              </w:rPr>
            </w:pPr>
            <w:r>
              <w:rPr>
                <w:rFonts w:ascii="Arial" w:hAnsi="Arial"/>
                <w:sz w:val="20"/>
                <w:szCs w:val="20"/>
              </w:rPr>
              <w:t>x</w:t>
            </w:r>
          </w:p>
        </w:tc>
        <w:tc>
          <w:tcPr>
            <w:tcW w:w="993" w:type="dxa"/>
            <w:tcBorders>
              <w:bottom w:val="single" w:sz="12" w:space="0" w:color="auto"/>
            </w:tcBorders>
            <w:vAlign w:val="center"/>
          </w:tcPr>
          <w:p w:rsidR="00DF4A21" w:rsidRPr="003A38BA" w:rsidRDefault="00DF4A21" w:rsidP="0088418C">
            <w:pPr>
              <w:spacing w:before="60" w:after="60" w:line="260" w:lineRule="exact"/>
              <w:jc w:val="center"/>
              <w:rPr>
                <w:rFonts w:ascii="Arial" w:hAnsi="Arial" w:cs="Arial"/>
                <w:sz w:val="20"/>
                <w:szCs w:val="20"/>
                <w:lang w:val="en-GB"/>
              </w:rPr>
            </w:pPr>
          </w:p>
        </w:tc>
        <w:tc>
          <w:tcPr>
            <w:tcW w:w="1417" w:type="dxa"/>
            <w:tcBorders>
              <w:bottom w:val="single" w:sz="12" w:space="0" w:color="auto"/>
              <w:right w:val="single" w:sz="12" w:space="0" w:color="auto"/>
            </w:tcBorders>
          </w:tcPr>
          <w:p w:rsidR="00DF4A21" w:rsidRPr="003A38BA" w:rsidRDefault="00DF4A21" w:rsidP="00536458">
            <w:pPr>
              <w:spacing w:line="280" w:lineRule="exact"/>
            </w:pPr>
            <w:r>
              <w:t>DIN EN 1871</w:t>
            </w:r>
          </w:p>
        </w:tc>
      </w:tr>
    </w:tbl>
    <w:p w:rsidR="00536458" w:rsidRPr="003A38BA" w:rsidRDefault="00536458" w:rsidP="007C21AF">
      <w:pPr>
        <w:pStyle w:val="FootnoteText"/>
        <w:numPr>
          <w:ilvl w:val="0"/>
          <w:numId w:val="7"/>
        </w:numPr>
        <w:spacing w:after="80"/>
        <w:ind w:left="357" w:hanging="357"/>
        <w:jc w:val="both"/>
        <w:rPr>
          <w:rFonts w:asciiTheme="minorHAnsi" w:hAnsiTheme="minorHAnsi"/>
          <w:sz w:val="18"/>
        </w:rPr>
      </w:pPr>
      <w:r>
        <w:rPr>
          <w:rFonts w:asciiTheme="minorHAnsi" w:hAnsiTheme="minorHAnsi"/>
          <w:sz w:val="18"/>
        </w:rPr>
        <w:t>V případě potřeby u materiálů pro dočasná značení</w:t>
      </w:r>
    </w:p>
    <w:p w:rsidR="00536458" w:rsidRPr="003A38BA" w:rsidRDefault="00536458" w:rsidP="007C21AF">
      <w:pPr>
        <w:pStyle w:val="FootnoteText"/>
        <w:numPr>
          <w:ilvl w:val="0"/>
          <w:numId w:val="7"/>
        </w:numPr>
        <w:spacing w:after="80"/>
        <w:ind w:left="357" w:hanging="357"/>
        <w:jc w:val="both"/>
        <w:rPr>
          <w:rFonts w:asciiTheme="minorHAnsi" w:hAnsiTheme="minorHAnsi"/>
          <w:sz w:val="18"/>
        </w:rPr>
      </w:pPr>
      <w:r>
        <w:rPr>
          <w:rFonts w:asciiTheme="minorHAnsi" w:hAnsiTheme="minorHAnsi"/>
          <w:sz w:val="18"/>
        </w:rPr>
        <w:t>U disperzí musí být extrahováno pojivo s tetrahydrofuranem (THF), aby se zamezilo sraženinám.</w:t>
      </w:r>
    </w:p>
    <w:p w:rsidR="00536458" w:rsidRPr="003A38BA" w:rsidRDefault="00536458" w:rsidP="007C21AF">
      <w:pPr>
        <w:pStyle w:val="Heading1"/>
        <w:numPr>
          <w:ilvl w:val="1"/>
          <w:numId w:val="5"/>
        </w:numPr>
        <w:jc w:val="both"/>
        <w:rPr>
          <w:sz w:val="24"/>
          <w:szCs w:val="24"/>
        </w:rPr>
      </w:pPr>
      <w:bookmarkStart w:id="37" w:name="_Toc150157103"/>
      <w:bookmarkStart w:id="38" w:name="_Toc150172942"/>
      <w:bookmarkStart w:id="39" w:name="_Toc150173017"/>
      <w:bookmarkStart w:id="40" w:name="_Toc150174570"/>
      <w:bookmarkStart w:id="41" w:name="_Toc150819423"/>
      <w:bookmarkStart w:id="42" w:name="_Toc150819855"/>
      <w:bookmarkStart w:id="43" w:name="_Toc150819915"/>
      <w:bookmarkStart w:id="44" w:name="_Toc297110226"/>
      <w:bookmarkStart w:id="45" w:name="_Toc297110277"/>
      <w:bookmarkStart w:id="46" w:name="_Toc86465554"/>
      <w:bookmarkStart w:id="47" w:name="_Toc115598046"/>
      <w:bookmarkStart w:id="48" w:name="_Toc120375500"/>
      <w:bookmarkStart w:id="49" w:name="_Toc150173018"/>
      <w:bookmarkStart w:id="50" w:name="_Toc150819916"/>
      <w:bookmarkStart w:id="51" w:name="_Toc353893700"/>
      <w:bookmarkStart w:id="52" w:name="_Toc12476258"/>
      <w:bookmarkEnd w:id="37"/>
      <w:bookmarkEnd w:id="38"/>
      <w:bookmarkEnd w:id="39"/>
      <w:bookmarkEnd w:id="40"/>
      <w:bookmarkEnd w:id="41"/>
      <w:bookmarkEnd w:id="42"/>
      <w:bookmarkEnd w:id="43"/>
      <w:bookmarkEnd w:id="44"/>
      <w:bookmarkEnd w:id="45"/>
      <w:r>
        <w:rPr>
          <w:sz w:val="24"/>
          <w:szCs w:val="24"/>
        </w:rPr>
        <w:t>Odběr vzorků</w:t>
      </w:r>
      <w:bookmarkEnd w:id="46"/>
      <w:bookmarkEnd w:id="47"/>
      <w:bookmarkEnd w:id="48"/>
      <w:bookmarkEnd w:id="49"/>
      <w:bookmarkEnd w:id="50"/>
      <w:bookmarkEnd w:id="51"/>
      <w:bookmarkEnd w:id="52"/>
    </w:p>
    <w:p w:rsidR="00E54343" w:rsidRPr="003A38BA" w:rsidRDefault="00E54343" w:rsidP="007C21AF">
      <w:pPr>
        <w:spacing w:after="120"/>
        <w:ind w:left="0" w:firstLine="0"/>
        <w:jc w:val="both"/>
      </w:pPr>
      <w:bookmarkStart w:id="53" w:name="_Toc150157105"/>
      <w:bookmarkStart w:id="54" w:name="_Toc150172944"/>
      <w:bookmarkStart w:id="55" w:name="_Toc150173019"/>
      <w:bookmarkStart w:id="56" w:name="_Toc150174572"/>
      <w:bookmarkStart w:id="57" w:name="_Toc150819425"/>
      <w:bookmarkStart w:id="58" w:name="_Toc150819857"/>
      <w:bookmarkStart w:id="59" w:name="_Toc150819917"/>
      <w:bookmarkEnd w:id="53"/>
      <w:bookmarkEnd w:id="54"/>
      <w:bookmarkEnd w:id="55"/>
      <w:bookmarkEnd w:id="56"/>
      <w:bookmarkEnd w:id="57"/>
      <w:bookmarkEnd w:id="58"/>
      <w:bookmarkEnd w:id="59"/>
      <w:r>
        <w:t>V rámci zkoušky způsobilosti zadavatel písemně potvrdí, že materiály a přídavné látky, které budou dány k dispozici pro aplikaci, jsou pro produkci reprezentativní. Je odpovědný za to, aby zkušební množství dodaná pro zkoušku původních vzorku (viz 4.2.3) byla dostatečná.</w:t>
      </w:r>
    </w:p>
    <w:p w:rsidR="00536458" w:rsidRPr="003A38BA" w:rsidRDefault="00536458" w:rsidP="007C21AF">
      <w:pPr>
        <w:spacing w:after="120"/>
        <w:ind w:left="0" w:firstLine="0"/>
        <w:jc w:val="both"/>
      </w:pPr>
      <w:r>
        <w:t>Nádoby k odběru vzorků je nutno po naplnění těsně uzavřít a chránit vhodnou pečetí proti manipulacím. Vhodnými nádobami na vzorky jsou např. plechové nádoby o objemu 1 l se zatlačovacím víkem nebo plynovým těsněním, zašroubovatelné plastové nádoby z polyethylenu nebo polypropylenu. Ztrátám rozpouštědel lze zabránit, pokud jsou nádoby na vzorky naplněny co možná nejvíce a po uzavření jsou jednou otočeny. U systémů značení na bázi vody je požadováno použití plynotěsných plastových nádob nebo uvnitř potažených plechových nádob se zatlačovacím víkem.</w:t>
      </w:r>
    </w:p>
    <w:p w:rsidR="00536458" w:rsidRPr="003A38BA" w:rsidRDefault="00536458" w:rsidP="007C21AF">
      <w:pPr>
        <w:spacing w:after="120"/>
        <w:ind w:left="0" w:firstLine="0"/>
        <w:jc w:val="both"/>
      </w:pPr>
      <w:r>
        <w:t xml:space="preserve">Vzorky je nutno opatřit jednoznačným popisem. </w:t>
      </w:r>
    </w:p>
    <w:p w:rsidR="00536458" w:rsidRPr="003A38BA" w:rsidRDefault="007F44BC" w:rsidP="007C21AF">
      <w:pPr>
        <w:pStyle w:val="Heading1"/>
        <w:numPr>
          <w:ilvl w:val="1"/>
          <w:numId w:val="5"/>
        </w:numPr>
        <w:jc w:val="both"/>
        <w:rPr>
          <w:sz w:val="24"/>
          <w:szCs w:val="24"/>
        </w:rPr>
      </w:pPr>
      <w:bookmarkStart w:id="60" w:name="_Toc297110228"/>
      <w:bookmarkStart w:id="61" w:name="_Toc297110279"/>
      <w:bookmarkStart w:id="62" w:name="_Toc84303240"/>
      <w:bookmarkStart w:id="63" w:name="_Toc86465557"/>
      <w:bookmarkStart w:id="64" w:name="_Toc115598049"/>
      <w:bookmarkStart w:id="65" w:name="_Toc12476259"/>
      <w:bookmarkEnd w:id="60"/>
      <w:bookmarkEnd w:id="61"/>
      <w:r>
        <w:rPr>
          <w:sz w:val="24"/>
          <w:szCs w:val="24"/>
        </w:rPr>
        <w:lastRenderedPageBreak/>
        <w:t>Zkouška původního vzorku u neprefabrikovaných systémů značení</w:t>
      </w:r>
      <w:bookmarkEnd w:id="65"/>
    </w:p>
    <w:bookmarkEnd w:id="62"/>
    <w:bookmarkEnd w:id="63"/>
    <w:bookmarkEnd w:id="64"/>
    <w:p w:rsidR="00536458" w:rsidRPr="003A38BA" w:rsidRDefault="00536458" w:rsidP="007C21AF">
      <w:pPr>
        <w:ind w:left="0" w:firstLine="0"/>
        <w:jc w:val="both"/>
      </w:pPr>
      <w:r>
        <w:t>Charakteristické vlastnosti systému značení předkládá žadatel se žádostí o zkoušku způsobilosti a jsou zaznamenávány, kontrolovány a dokumentovány během zkoušky prototypu, aby umožnily identifikaci v rámci pozdější kontrolní zkoušky podle ZTV M. Zkušební postup původních vzorků je popsán následně.</w:t>
      </w:r>
    </w:p>
    <w:p w:rsidR="00536458" w:rsidRPr="003A38BA" w:rsidRDefault="00536458" w:rsidP="007C21AF">
      <w:pPr>
        <w:pStyle w:val="Heading1"/>
        <w:numPr>
          <w:ilvl w:val="2"/>
          <w:numId w:val="5"/>
        </w:numPr>
        <w:ind w:left="1440" w:hanging="872"/>
        <w:jc w:val="both"/>
        <w:rPr>
          <w:sz w:val="24"/>
          <w:szCs w:val="24"/>
        </w:rPr>
      </w:pPr>
      <w:bookmarkStart w:id="66" w:name="_Toc84303245"/>
      <w:bookmarkStart w:id="67" w:name="_Toc86465562"/>
      <w:bookmarkStart w:id="68" w:name="_Toc115598053"/>
      <w:bookmarkStart w:id="69" w:name="_Toc150174577"/>
      <w:bookmarkStart w:id="70" w:name="_Toc273346566"/>
      <w:bookmarkStart w:id="71" w:name="_Toc353893703"/>
      <w:bookmarkStart w:id="72" w:name="_Toc12476260"/>
      <w:r>
        <w:rPr>
          <w:sz w:val="24"/>
          <w:szCs w:val="24"/>
        </w:rPr>
        <w:t>Určení organických a anorganických podílů</w:t>
      </w:r>
      <w:bookmarkEnd w:id="72"/>
    </w:p>
    <w:p w:rsidR="00536458" w:rsidRPr="003A38BA" w:rsidRDefault="00536458" w:rsidP="007C21AF">
      <w:pPr>
        <w:ind w:left="0" w:firstLine="0"/>
        <w:jc w:val="both"/>
      </w:pPr>
      <w:r>
        <w:t>Podíl těkavých složek barev na značení a primerů musí být vždy stanovens ohledem na DIN EN 12802 pomocí zvážení rezidua získaného po tříhodinové temperaci při 105 °C v sušicí skříni s cirkulujícím vzduchem. Toto reziduum je dále používáno pro měření podílu pojiv a podílu anorganických součástí. Po čtyřhodinovém termickém ošetření při 4450°C v muflové peci jsou organická pojiva zcela rozložena. Zbylé reziduum odpovídá anorganickému podílu. Zvážením před a po termickém ošetření jsou určeny podíly příslušných hmot. Anorganické reziduum, které takto obdržíme, je použito k tomu, aby se identifikovaly pigmenty a plniva a k určení obsahu oxidu titaničitého.</w:t>
      </w:r>
    </w:p>
    <w:p w:rsidR="00536458" w:rsidRPr="003A38BA" w:rsidRDefault="00536458" w:rsidP="007C21AF">
      <w:pPr>
        <w:pStyle w:val="Heading1"/>
        <w:numPr>
          <w:ilvl w:val="2"/>
          <w:numId w:val="5"/>
        </w:numPr>
        <w:ind w:left="1440" w:hanging="872"/>
        <w:jc w:val="both"/>
        <w:rPr>
          <w:sz w:val="24"/>
          <w:szCs w:val="24"/>
        </w:rPr>
      </w:pPr>
      <w:bookmarkStart w:id="73" w:name="_Toc12476261"/>
      <w:r>
        <w:t>Určení prchavých organických sloučenin</w:t>
      </w:r>
      <w:bookmarkEnd w:id="66"/>
      <w:r>
        <w:t xml:space="preserve"> a monomerů/oligomerů</w:t>
      </w:r>
      <w:bookmarkEnd w:id="67"/>
      <w:bookmarkEnd w:id="68"/>
      <w:bookmarkEnd w:id="69"/>
      <w:bookmarkEnd w:id="70"/>
      <w:bookmarkEnd w:id="71"/>
      <w:bookmarkEnd w:id="73"/>
    </w:p>
    <w:p w:rsidR="00667BC9" w:rsidRPr="003A38BA" w:rsidRDefault="00536458" w:rsidP="007C21AF">
      <w:pPr>
        <w:ind w:left="0" w:firstLine="0"/>
        <w:jc w:val="both"/>
      </w:pPr>
      <w:r>
        <w:t xml:space="preserve">Určení těkavých organických součástí v materiálech na značení a přídavných látkách musí být provedeno vždy podle EN 12802 pomocí plynové chromatografie za použití detektoru pro selekci hmoty (GC-MS). </w:t>
      </w:r>
    </w:p>
    <w:p w:rsidR="00667BC9" w:rsidRPr="003A38BA" w:rsidRDefault="00667BC9" w:rsidP="007C21AF">
      <w:pPr>
        <w:ind w:left="0" w:firstLine="0"/>
        <w:jc w:val="both"/>
      </w:pPr>
      <w:r>
        <w:t xml:space="preserve">Platí následující požadavky podle TL M: </w:t>
      </w:r>
    </w:p>
    <w:p w:rsidR="00536458" w:rsidRPr="003A38BA" w:rsidRDefault="00536458" w:rsidP="007C21AF">
      <w:pPr>
        <w:ind w:left="0" w:firstLine="0"/>
        <w:jc w:val="both"/>
      </w:pPr>
      <w:r>
        <w:t xml:space="preserve">Materiály na značení smí obsahovat maximálně 25 hmotnostních procent těkavých organických rozpouštědel. </w:t>
      </w:r>
    </w:p>
    <w:p w:rsidR="00536458" w:rsidRPr="003A38BA" w:rsidRDefault="00536458" w:rsidP="007C21AF">
      <w:pPr>
        <w:ind w:left="0" w:firstLine="0"/>
        <w:jc w:val="both"/>
      </w:pPr>
      <w:r>
        <w:t>Rozpouštědla, která jsou zatříděna v globálně harmonizovaném systému jako jedovatá (akutně toxická, kategorie 1, 2 nebo 3) nebo jako nebezpečná (mutageny, karcinogeny, akutně toxická, toxická pro reprodukci, toxická pro orgány, kategorie 1, 1A nebo 1B), smí být obsažena pouze v podílech celkem &lt; 0,1 hmotnostního procenta.</w:t>
      </w:r>
    </w:p>
    <w:p w:rsidR="00536458" w:rsidRPr="003A38BA" w:rsidRDefault="00536458" w:rsidP="007C21AF">
      <w:pPr>
        <w:ind w:left="0" w:firstLine="0"/>
        <w:jc w:val="both"/>
      </w:pPr>
      <w:r>
        <w:t>Podíly rozpouštědel, která jsou zdraví škodlivá (akutně toxická, kategorie 4 nebo nebezpečná, kategorie 2: mutageny, karcinogeny, akutně toxická, toxická pro reprodukci, toxická pro orgány), nesmí překročit celkem 1,0 hmotnostního procenta. To platí nezávisle na tom, zda jsou tyto látky jako nečistoty nebo jako příměsi.</w:t>
      </w:r>
    </w:p>
    <w:p w:rsidR="00536458" w:rsidRPr="003A38BA" w:rsidRDefault="00536458" w:rsidP="007C21AF">
      <w:pPr>
        <w:pStyle w:val="Heading1"/>
        <w:numPr>
          <w:ilvl w:val="2"/>
          <w:numId w:val="5"/>
        </w:numPr>
        <w:ind w:left="1440" w:hanging="872"/>
        <w:jc w:val="both"/>
        <w:rPr>
          <w:sz w:val="24"/>
          <w:szCs w:val="24"/>
        </w:rPr>
      </w:pPr>
      <w:bookmarkStart w:id="74" w:name="_Toc84303246"/>
      <w:bookmarkStart w:id="75" w:name="_Toc86465563"/>
      <w:bookmarkStart w:id="76" w:name="_Toc115598054"/>
      <w:bookmarkStart w:id="77" w:name="_Toc150174578"/>
      <w:bookmarkStart w:id="78" w:name="_Toc273346567"/>
      <w:bookmarkStart w:id="79" w:name="_Toc353893704"/>
      <w:bookmarkStart w:id="80" w:name="_Toc12476262"/>
      <w:r>
        <w:rPr>
          <w:sz w:val="24"/>
          <w:szCs w:val="24"/>
        </w:rPr>
        <w:t>Určení obsahu oxidu titaničitého v anorganických reziduích</w:t>
      </w:r>
      <w:bookmarkEnd w:id="74"/>
      <w:bookmarkEnd w:id="75"/>
      <w:bookmarkEnd w:id="76"/>
      <w:bookmarkEnd w:id="77"/>
      <w:bookmarkEnd w:id="78"/>
      <w:bookmarkEnd w:id="79"/>
      <w:bookmarkEnd w:id="80"/>
    </w:p>
    <w:p w:rsidR="00536458" w:rsidRPr="003A38BA" w:rsidRDefault="00536458" w:rsidP="007C21AF">
      <w:pPr>
        <w:ind w:left="0" w:firstLine="0"/>
        <w:jc w:val="both"/>
      </w:pPr>
      <w:r>
        <w:t xml:space="preserve">Obsah oxidu titaničitého se určuje z anorganického rezidua, které obdržíme po zpopelnění materiálu na značení při teplotě 450°C. </w:t>
      </w:r>
    </w:p>
    <w:p w:rsidR="00DF4A21" w:rsidRPr="003A38BA" w:rsidRDefault="00536458" w:rsidP="007C21AF">
      <w:pPr>
        <w:ind w:left="0" w:firstLine="0"/>
        <w:jc w:val="both"/>
      </w:pPr>
      <w:r>
        <w:t xml:space="preserve">Určení probíhá vždy podle procesu popsaného v normě DIN EN 12802. Po varném rozkladu materiálu vzorku v koncentrované kyselině sírově a redukci s hliníkem nastává redoxní titrace se síranem amonno-železitým. Místo vizuální identifikace koncového bodu je dosazena potenciometrická identifikace koncového bodu. </w:t>
      </w:r>
    </w:p>
    <w:p w:rsidR="00536458" w:rsidRPr="003A38BA" w:rsidRDefault="00536458" w:rsidP="007C21AF">
      <w:pPr>
        <w:pStyle w:val="Heading1"/>
        <w:numPr>
          <w:ilvl w:val="2"/>
          <w:numId w:val="5"/>
        </w:numPr>
        <w:ind w:left="1440" w:hanging="872"/>
        <w:jc w:val="both"/>
        <w:rPr>
          <w:sz w:val="24"/>
          <w:szCs w:val="24"/>
        </w:rPr>
      </w:pPr>
      <w:bookmarkStart w:id="81" w:name="_Toc84303247"/>
      <w:bookmarkStart w:id="82" w:name="_Toc86465564"/>
      <w:bookmarkStart w:id="83" w:name="_Toc115598055"/>
      <w:bookmarkStart w:id="84" w:name="_Toc273346568"/>
      <w:bookmarkStart w:id="85" w:name="_Toc353893705"/>
      <w:bookmarkStart w:id="86" w:name="_Toc12476263"/>
      <w:r>
        <w:rPr>
          <w:sz w:val="24"/>
          <w:szCs w:val="24"/>
        </w:rPr>
        <w:t>Určení podílů premix. těles</w:t>
      </w:r>
      <w:bookmarkEnd w:id="81"/>
      <w:bookmarkEnd w:id="82"/>
      <w:bookmarkEnd w:id="83"/>
      <w:bookmarkEnd w:id="84"/>
      <w:bookmarkEnd w:id="85"/>
      <w:bookmarkEnd w:id="86"/>
    </w:p>
    <w:p w:rsidR="00536458" w:rsidRPr="003A38BA" w:rsidRDefault="00536458" w:rsidP="007C21AF">
      <w:pPr>
        <w:spacing w:after="120"/>
        <w:ind w:left="0" w:firstLine="0"/>
        <w:jc w:val="both"/>
      </w:pPr>
      <w:r>
        <w:t>Obsahuje-li materiál na značení použitý v systému značení premix. tělesa (reflexní tělíska a/nebo zdrsňující prostředek), pak jsou jejich podíly stanovovány vždy podle normy DIN EN 12802 následujícím způsobem:</w:t>
      </w:r>
    </w:p>
    <w:p w:rsidR="00536458" w:rsidRPr="003A38BA" w:rsidRDefault="00536458" w:rsidP="007C21AF">
      <w:pPr>
        <w:ind w:left="0" w:firstLine="0"/>
        <w:jc w:val="both"/>
      </w:pPr>
      <w:r>
        <w:t xml:space="preserve">Vzorek 15 - 20 g des homogenizovaného materiálu na značení je při 450°C termicky upraven v muflové peci. Zbylé anorganické podíly jsou přesívány na sítu o velikosti 90 µm. Proces přesívání je používán pro infračervenou spektroskopickou analýzu plniv a pigmentů. Následně je zbytek ze síta čištěn mokrým procesem, dokud není zcela zbaven pigmentů a plniv. K této separaci může být jako </w:t>
      </w:r>
      <w:r>
        <w:lastRenderedPageBreak/>
        <w:t>pomocná podpora použita ultrazvuková lázeň a zředěná kyselina octová. Reziduum je v sušičce při cca 150 °C vysušeno a znovu zváženo.</w:t>
      </w:r>
    </w:p>
    <w:p w:rsidR="00536458" w:rsidRPr="003A38BA" w:rsidRDefault="00536458" w:rsidP="007C21AF">
      <w:pPr>
        <w:pStyle w:val="Heading1"/>
        <w:numPr>
          <w:ilvl w:val="2"/>
          <w:numId w:val="5"/>
        </w:numPr>
        <w:ind w:left="1440" w:hanging="872"/>
        <w:jc w:val="both"/>
        <w:rPr>
          <w:sz w:val="24"/>
          <w:szCs w:val="24"/>
        </w:rPr>
      </w:pPr>
      <w:bookmarkStart w:id="87" w:name="_Toc273346569"/>
      <w:bookmarkStart w:id="88" w:name="_Toc353893706"/>
      <w:bookmarkStart w:id="89" w:name="_Toc12476264"/>
      <w:r>
        <w:rPr>
          <w:sz w:val="24"/>
          <w:szCs w:val="24"/>
        </w:rPr>
        <w:t>Určení bodu měknutí podle Wilhelmiho</w:t>
      </w:r>
      <w:bookmarkEnd w:id="87"/>
      <w:bookmarkEnd w:id="88"/>
      <w:bookmarkEnd w:id="89"/>
    </w:p>
    <w:p w:rsidR="00536458" w:rsidRPr="003A38BA" w:rsidRDefault="00536458" w:rsidP="007C21AF">
      <w:pPr>
        <w:ind w:left="0" w:firstLine="0"/>
        <w:jc w:val="both"/>
      </w:pPr>
      <w:r>
        <w:t xml:space="preserve">Termoplastické materiály na značení musí vykazovat také při letních teplotách dostatečnou tvarovou odolnost. V jiném případě by reflexní tělíska uložená v povrchu systémů značení a zdrsňující prostředky byly při přejíždění pneumatikami automobilů zatlačovány hluboko do systému a byla by ovlivněna jejich funkčnost. Pro charakterizaci tvarové odolnosti je prověřován bod měknutí podle normy DIN EN 1871, Příloha F („Wilhelmiho test“). Musí být dosaženo minimálně třídy SP2 (80 °C). </w:t>
      </w:r>
    </w:p>
    <w:p w:rsidR="00E35384" w:rsidRPr="003A38BA" w:rsidRDefault="007A6695" w:rsidP="007C21AF">
      <w:pPr>
        <w:pStyle w:val="Heading1"/>
        <w:numPr>
          <w:ilvl w:val="2"/>
          <w:numId w:val="5"/>
        </w:numPr>
        <w:ind w:left="1440" w:hanging="872"/>
        <w:jc w:val="both"/>
        <w:rPr>
          <w:sz w:val="24"/>
          <w:szCs w:val="24"/>
        </w:rPr>
      </w:pPr>
      <w:bookmarkStart w:id="90" w:name="_Toc12476265"/>
      <w:r>
        <w:rPr>
          <w:sz w:val="24"/>
          <w:szCs w:val="24"/>
        </w:rPr>
        <w:t>Odolnost proti průniku</w:t>
      </w:r>
      <w:bookmarkEnd w:id="90"/>
    </w:p>
    <w:p w:rsidR="00E35384" w:rsidRPr="003A38BA" w:rsidRDefault="000B2B83" w:rsidP="0023536B">
      <w:pPr>
        <w:ind w:left="0" w:firstLine="0"/>
        <w:jc w:val="both"/>
      </w:pPr>
      <w:r>
        <w:t xml:space="preserve">Hloubka průniku při určité teplotě je citlivým identifikátorem pro změny složení termoplastických materiálů na značení. Zkušební teplota musí být stanovena podle tvrdosti termoplastického materiálu. Postup je popsán v DIN EN 1871. </w:t>
      </w:r>
    </w:p>
    <w:p w:rsidR="00536458" w:rsidRPr="003A38BA" w:rsidRDefault="00536458" w:rsidP="007C21AF">
      <w:pPr>
        <w:pStyle w:val="Heading1"/>
        <w:numPr>
          <w:ilvl w:val="2"/>
          <w:numId w:val="5"/>
        </w:numPr>
        <w:ind w:left="1440" w:hanging="872"/>
        <w:jc w:val="both"/>
        <w:rPr>
          <w:sz w:val="24"/>
          <w:szCs w:val="24"/>
        </w:rPr>
      </w:pPr>
      <w:bookmarkStart w:id="91" w:name="_Toc150173025"/>
      <w:bookmarkStart w:id="92" w:name="_Toc150174586"/>
      <w:bookmarkStart w:id="93" w:name="_Toc273346570"/>
      <w:bookmarkStart w:id="94" w:name="_Toc353893707"/>
      <w:bookmarkStart w:id="95" w:name="_Toc12476266"/>
      <w:r>
        <w:t>Zkouška na olovo a kadmium</w:t>
      </w:r>
      <w:bookmarkEnd w:id="91"/>
      <w:bookmarkEnd w:id="92"/>
      <w:r>
        <w:rPr>
          <w:sz w:val="24"/>
          <w:szCs w:val="24"/>
        </w:rPr>
        <w:t xml:space="preserve"> </w:t>
      </w:r>
      <w:r>
        <w:t>u dočasných systémů značení</w:t>
      </w:r>
      <w:bookmarkEnd w:id="93"/>
      <w:bookmarkEnd w:id="94"/>
      <w:bookmarkEnd w:id="95"/>
    </w:p>
    <w:p w:rsidR="00536458" w:rsidRPr="003A38BA" w:rsidRDefault="00536458" w:rsidP="007C21AF">
      <w:pPr>
        <w:spacing w:after="120"/>
        <w:ind w:left="0" w:firstLine="0"/>
        <w:jc w:val="both"/>
      </w:pPr>
      <w:r>
        <w:t xml:space="preserve">Materiály na značení a přídavné látky nesmí obsahovat extrahovatelné podíly těžkých kovů - olova, kadmia nebo antimonu. Předběžné ošetření vzorků nastává postupem vždy podle Německého jednotného postupu pro analýzu vody, odpadní vody a kalů, Oddíl S4 (DEV-S4). Tato zkouška se provádí jako doplnění k postupu podle DIN EN 1790 následovně: </w:t>
      </w:r>
    </w:p>
    <w:p w:rsidR="00536458" w:rsidRPr="003A38BA" w:rsidRDefault="00536458" w:rsidP="007C21AF">
      <w:pPr>
        <w:ind w:left="0" w:firstLine="0"/>
        <w:jc w:val="both"/>
      </w:pPr>
      <w:r>
        <w:t>Dva cca 5 x 5 cm velké vzorky fólie jsou zváženy a následně zpopelněny při teplotě 450°C. Reziduum je rozmělněno a proběhne určení těžkých kovů podle ISO 11466 a ICP-OES nebo AAS.</w:t>
      </w:r>
    </w:p>
    <w:p w:rsidR="00536458" w:rsidRPr="003A38BA" w:rsidRDefault="00536458" w:rsidP="007C21AF">
      <w:pPr>
        <w:pStyle w:val="Heading1"/>
        <w:numPr>
          <w:ilvl w:val="1"/>
          <w:numId w:val="5"/>
        </w:numPr>
        <w:jc w:val="both"/>
        <w:rPr>
          <w:sz w:val="24"/>
          <w:szCs w:val="24"/>
        </w:rPr>
      </w:pPr>
      <w:bookmarkStart w:id="96" w:name="_Urmusterprüfung_bei_Markierungsfolien"/>
      <w:bookmarkStart w:id="97" w:name="_Toc150173023"/>
      <w:bookmarkStart w:id="98" w:name="_Toc150174579"/>
      <w:bookmarkStart w:id="99" w:name="_Toc273346571"/>
      <w:bookmarkStart w:id="100" w:name="_Toc353893708"/>
      <w:bookmarkStart w:id="101" w:name="_Toc12476267"/>
      <w:bookmarkEnd w:id="96"/>
      <w:r>
        <w:rPr>
          <w:sz w:val="24"/>
          <w:szCs w:val="24"/>
        </w:rPr>
        <w:t>Zkouška původního vzorku fólií na značení (identifikační proces)</w:t>
      </w:r>
      <w:bookmarkEnd w:id="97"/>
      <w:bookmarkEnd w:id="98"/>
      <w:bookmarkEnd w:id="99"/>
      <w:bookmarkEnd w:id="100"/>
      <w:bookmarkEnd w:id="101"/>
    </w:p>
    <w:p w:rsidR="00536458" w:rsidRPr="003A38BA" w:rsidRDefault="00536458" w:rsidP="007C21AF">
      <w:pPr>
        <w:ind w:left="0" w:firstLine="0"/>
        <w:jc w:val="both"/>
      </w:pPr>
      <w:r>
        <w:t>Postupy zkoušky původního vzorku fólií pro silniční značení jsou popsány v normě DIN EN 1790. Doplňující nebo odlišná ustanovení jsou popsána následovně.</w:t>
      </w:r>
    </w:p>
    <w:p w:rsidR="00536458" w:rsidRPr="003A38BA" w:rsidRDefault="00536458" w:rsidP="007C21AF">
      <w:pPr>
        <w:pStyle w:val="Heading1"/>
        <w:numPr>
          <w:ilvl w:val="2"/>
          <w:numId w:val="5"/>
        </w:numPr>
        <w:ind w:left="1440" w:hanging="720"/>
        <w:jc w:val="both"/>
        <w:rPr>
          <w:sz w:val="24"/>
          <w:szCs w:val="24"/>
        </w:rPr>
      </w:pPr>
      <w:bookmarkStart w:id="102" w:name="_Toc150174580"/>
      <w:bookmarkStart w:id="103" w:name="_Toc273346572"/>
      <w:bookmarkStart w:id="104" w:name="_Toc353893709"/>
      <w:bookmarkStart w:id="105" w:name="_Toc12476268"/>
      <w:r>
        <w:rPr>
          <w:sz w:val="24"/>
          <w:szCs w:val="24"/>
        </w:rPr>
        <w:t>Rezervní vzorky fólií</w:t>
      </w:r>
      <w:bookmarkEnd w:id="102"/>
      <w:bookmarkEnd w:id="103"/>
      <w:bookmarkEnd w:id="104"/>
      <w:bookmarkEnd w:id="105"/>
    </w:p>
    <w:p w:rsidR="00536458" w:rsidRPr="003A38BA" w:rsidRDefault="00536458" w:rsidP="007C21AF">
      <w:pPr>
        <w:ind w:left="0" w:firstLine="0"/>
        <w:jc w:val="both"/>
      </w:pPr>
      <w:r>
        <w:t>U fólií, které mají být prověřovány v rámci zkoušky způsobilosti, jsou uchovávány původní vzorky. Tyto rezervní vzorky jsou cca 1 m dlouhé a jsou uchovávány v chladu a bez přístupu světla.</w:t>
      </w:r>
    </w:p>
    <w:p w:rsidR="00536458" w:rsidRPr="003A38BA" w:rsidRDefault="00536458" w:rsidP="007C21AF">
      <w:pPr>
        <w:pStyle w:val="Heading1"/>
        <w:numPr>
          <w:ilvl w:val="2"/>
          <w:numId w:val="5"/>
        </w:numPr>
        <w:ind w:left="1440" w:hanging="720"/>
        <w:jc w:val="both"/>
        <w:rPr>
          <w:sz w:val="24"/>
          <w:szCs w:val="24"/>
        </w:rPr>
      </w:pPr>
      <w:bookmarkStart w:id="106" w:name="_Toc273346573"/>
      <w:bookmarkStart w:id="107" w:name="_Toc353893710"/>
      <w:bookmarkStart w:id="108" w:name="_Toc12476269"/>
      <w:r>
        <w:rPr>
          <w:sz w:val="24"/>
          <w:szCs w:val="24"/>
        </w:rPr>
        <w:t>Analýza obrazu fólií na silniční značení</w:t>
      </w:r>
      <w:bookmarkEnd w:id="106"/>
      <w:bookmarkEnd w:id="107"/>
      <w:bookmarkEnd w:id="108"/>
    </w:p>
    <w:p w:rsidR="00536458" w:rsidRPr="003A38BA" w:rsidRDefault="00536458" w:rsidP="007C21AF">
      <w:pPr>
        <w:ind w:left="0" w:firstLine="0"/>
        <w:jc w:val="both"/>
      </w:pPr>
      <w:r>
        <w:t>Jako doplnění k postupu podle DIN EN 1790 jsou vyhotovovány makroskopické a mikroskopické fotografie fólií na silniční značení. Aby bylo umožněno objektivní srovnání velikostí mikroskopických snímků, je dodatečně přidáno měřítko.</w:t>
      </w:r>
    </w:p>
    <w:p w:rsidR="00536458" w:rsidRPr="003A38BA" w:rsidRDefault="00536458" w:rsidP="007C21AF">
      <w:pPr>
        <w:pStyle w:val="Heading1"/>
        <w:numPr>
          <w:ilvl w:val="2"/>
          <w:numId w:val="5"/>
        </w:numPr>
        <w:ind w:left="1440" w:hanging="720"/>
        <w:jc w:val="both"/>
        <w:rPr>
          <w:sz w:val="24"/>
          <w:szCs w:val="24"/>
        </w:rPr>
      </w:pPr>
      <w:bookmarkStart w:id="109" w:name="_Thermogrammetrische_Analyse_von"/>
      <w:bookmarkStart w:id="110" w:name="_Toc84303250"/>
      <w:bookmarkStart w:id="111" w:name="_Toc86465567"/>
      <w:bookmarkStart w:id="112" w:name="_Toc115598058"/>
      <w:bookmarkStart w:id="113" w:name="_Toc150174581"/>
      <w:bookmarkStart w:id="114" w:name="_Toc273346574"/>
      <w:bookmarkStart w:id="115" w:name="_Toc353893711"/>
      <w:bookmarkStart w:id="116" w:name="_Toc84303249"/>
      <w:bookmarkStart w:id="117" w:name="_Toc86465566"/>
      <w:bookmarkStart w:id="118" w:name="_Toc115598057"/>
      <w:bookmarkStart w:id="119" w:name="_Toc12476270"/>
      <w:bookmarkEnd w:id="109"/>
      <w:r>
        <w:t>Termogravimetrická analýza fólií na značení</w:t>
      </w:r>
      <w:bookmarkEnd w:id="110"/>
      <w:bookmarkEnd w:id="111"/>
      <w:bookmarkEnd w:id="112"/>
      <w:bookmarkEnd w:id="113"/>
      <w:bookmarkEnd w:id="114"/>
      <w:bookmarkEnd w:id="115"/>
      <w:bookmarkEnd w:id="119"/>
    </w:p>
    <w:p w:rsidR="00536458" w:rsidRPr="003A38BA" w:rsidRDefault="00536458" w:rsidP="007C21AF">
      <w:pPr>
        <w:ind w:left="0" w:firstLine="0"/>
        <w:jc w:val="both"/>
      </w:pPr>
      <w:r>
        <w:t>Fólie na značení se zpravidla skládají z více druhů komponentů, které lze od sebe oddělit pouze s velkým úsilím. Kompletní chemická analýza jednotlivých komponentů proto nemá smysl. Termogravimetrická analýza podle DIN EN 1790 ovšem nabízí možnost jednoduchým způsobem charakterizovat složení fólií. Reprezentativní kousky fólie jsou vyraženy z fólie děrováním. U profilovaných fólií se odebírají vzorky z profilových mezer a profilů a výsledky termografie se následně zprůměrují.</w:t>
      </w:r>
    </w:p>
    <w:p w:rsidR="00536458" w:rsidRPr="003A38BA" w:rsidRDefault="00FA1D3F" w:rsidP="007C21AF">
      <w:pPr>
        <w:ind w:left="0" w:firstLine="0"/>
        <w:jc w:val="both"/>
      </w:pPr>
      <w:r>
        <w:t xml:space="preserve">Vzorky filmu se zahřívají v zahřívacím zařízení, počínaje pokojovou teplotou s přírůstkem teploty 10 °C/min až do teploty 500 °C v dusíkaté atmosféře. Následně je teplota po dobu 15 minut udržována konstantně na 500 °C a poté je za teplotního přírůstku 10 °C/min žíhána za přítomnosti syntetického </w:t>
      </w:r>
      <w:r>
        <w:lastRenderedPageBreak/>
        <w:t>vzduchu až do teploty 1000 °C. V důsledku vypaření těkavých součástí a termického, příp. oxidačního rozkladu organického obsahu hmota vzorku specifickým způsobem ubude. Hmota vzorku je měřena v závislosti na příslušné teplotě. Takto obdržíme termogram, který je pro vzorek charakteristický.</w:t>
      </w:r>
    </w:p>
    <w:p w:rsidR="00536458" w:rsidRPr="003A38BA" w:rsidRDefault="00536458" w:rsidP="007C21AF">
      <w:pPr>
        <w:pStyle w:val="Heading1"/>
        <w:numPr>
          <w:ilvl w:val="2"/>
          <w:numId w:val="5"/>
        </w:numPr>
        <w:ind w:left="1440" w:hanging="720"/>
        <w:jc w:val="both"/>
        <w:rPr>
          <w:sz w:val="24"/>
          <w:szCs w:val="24"/>
        </w:rPr>
      </w:pPr>
      <w:bookmarkStart w:id="120" w:name="_Toc150174582"/>
      <w:bookmarkStart w:id="121" w:name="_Toc273346575"/>
      <w:bookmarkStart w:id="122" w:name="_Toc353893712"/>
      <w:bookmarkStart w:id="123" w:name="_Toc12476271"/>
      <w:r>
        <w:rPr>
          <w:sz w:val="24"/>
          <w:szCs w:val="24"/>
        </w:rPr>
        <w:t>Analýza lepicí vrstvy fólií</w:t>
      </w:r>
      <w:bookmarkEnd w:id="116"/>
      <w:bookmarkEnd w:id="117"/>
      <w:bookmarkEnd w:id="118"/>
      <w:bookmarkEnd w:id="120"/>
      <w:bookmarkEnd w:id="121"/>
      <w:bookmarkEnd w:id="122"/>
      <w:bookmarkEnd w:id="123"/>
    </w:p>
    <w:p w:rsidR="00536458" w:rsidRPr="003A38BA" w:rsidRDefault="00536458" w:rsidP="007C21AF">
      <w:pPr>
        <w:ind w:left="0" w:firstLine="0"/>
        <w:jc w:val="both"/>
      </w:pPr>
      <w:r>
        <w:t>K analýze lepicí vrstvy podle DIN EN 1790 je snímáno infračervené spektrum v rozsahu 600 – 4000 cm</w:t>
      </w:r>
      <w:r>
        <w:rPr>
          <w:vertAlign w:val="superscript"/>
        </w:rPr>
        <w:t>–1</w:t>
      </w:r>
      <w:r>
        <w:t xml:space="preserve">. Na základě jednoduché přípravy vzorků je použita technika ATR (attenuated total reflection). </w:t>
      </w:r>
    </w:p>
    <w:p w:rsidR="009700EB" w:rsidRPr="003A38BA" w:rsidRDefault="00BB5DDD" w:rsidP="007C21AF">
      <w:pPr>
        <w:pStyle w:val="Heading1"/>
        <w:numPr>
          <w:ilvl w:val="2"/>
          <w:numId w:val="5"/>
        </w:numPr>
        <w:ind w:left="1440" w:hanging="720"/>
        <w:jc w:val="both"/>
        <w:rPr>
          <w:sz w:val="24"/>
          <w:szCs w:val="24"/>
        </w:rPr>
      </w:pPr>
      <w:bookmarkStart w:id="124" w:name="_Toc12476272"/>
      <w:r>
        <w:rPr>
          <w:sz w:val="24"/>
          <w:szCs w:val="24"/>
        </w:rPr>
        <w:t>Analýza primerů s obsahem bitumenu</w:t>
      </w:r>
      <w:bookmarkEnd w:id="124"/>
    </w:p>
    <w:p w:rsidR="009700EB" w:rsidRPr="003A38BA" w:rsidRDefault="00BB5DDD" w:rsidP="007C21AF">
      <w:pPr>
        <w:ind w:left="0" w:firstLine="0"/>
        <w:jc w:val="both"/>
      </w:pPr>
      <w:r>
        <w:t>Primery s obsahem bitumenu a předběžné nátěry jsou charakterizovány pomocí fyzikálních procesů. Pro tento účel se stanoví bod měknutí (podle DIN EN 1427), penetrace jehly (podle DIN EN 1426) a silová duktilita (podle EN 13589).</w:t>
      </w:r>
    </w:p>
    <w:p w:rsidR="00536458" w:rsidRPr="003A38BA" w:rsidRDefault="005F2E9C" w:rsidP="007C21AF">
      <w:pPr>
        <w:pStyle w:val="Heading1"/>
        <w:numPr>
          <w:ilvl w:val="1"/>
          <w:numId w:val="5"/>
        </w:numPr>
        <w:jc w:val="both"/>
        <w:rPr>
          <w:sz w:val="24"/>
          <w:szCs w:val="24"/>
        </w:rPr>
      </w:pPr>
      <w:bookmarkStart w:id="125" w:name="_Toc273346576"/>
      <w:bookmarkStart w:id="126" w:name="_Toc353893713"/>
      <w:bookmarkStart w:id="127" w:name="_Toc150173024"/>
      <w:bookmarkStart w:id="128" w:name="_Toc150174583"/>
      <w:bookmarkStart w:id="129" w:name="_Toc84303252"/>
      <w:bookmarkStart w:id="130" w:name="_Toc86465569"/>
      <w:bookmarkStart w:id="131" w:name="_Toc115598060"/>
      <w:bookmarkStart w:id="132" w:name="_Toc120375505"/>
      <w:bookmarkStart w:id="133" w:name="_Toc12476273"/>
      <w:r>
        <w:t>Zkouška původních vzorků přídavných látek</w:t>
      </w:r>
      <w:bookmarkEnd w:id="125"/>
      <w:bookmarkEnd w:id="126"/>
      <w:bookmarkEnd w:id="127"/>
      <w:bookmarkEnd w:id="128"/>
      <w:bookmarkEnd w:id="133"/>
    </w:p>
    <w:p w:rsidR="00536458" w:rsidRPr="003A38BA" w:rsidRDefault="00536458" w:rsidP="007C21AF">
      <w:pPr>
        <w:pStyle w:val="Heading1"/>
        <w:numPr>
          <w:ilvl w:val="2"/>
          <w:numId w:val="5"/>
        </w:numPr>
        <w:ind w:left="1440" w:hanging="720"/>
        <w:jc w:val="both"/>
        <w:rPr>
          <w:sz w:val="24"/>
          <w:szCs w:val="24"/>
        </w:rPr>
      </w:pPr>
      <w:bookmarkStart w:id="134" w:name="_Toc273346577"/>
      <w:bookmarkStart w:id="135" w:name="_Toc353893714"/>
      <w:bookmarkStart w:id="136" w:name="_Toc150174584"/>
      <w:bookmarkStart w:id="137" w:name="_Toc12476274"/>
      <w:bookmarkEnd w:id="129"/>
      <w:bookmarkEnd w:id="130"/>
      <w:bookmarkEnd w:id="131"/>
      <w:bookmarkEnd w:id="132"/>
      <w:r>
        <w:rPr>
          <w:sz w:val="24"/>
          <w:szCs w:val="24"/>
        </w:rPr>
        <w:t>Analýza reflexních perel a zdrsňujících prostředků (systémy premix. a posyp. prostředků)</w:t>
      </w:r>
      <w:bookmarkEnd w:id="134"/>
      <w:bookmarkEnd w:id="135"/>
      <w:bookmarkEnd w:id="137"/>
    </w:p>
    <w:p w:rsidR="00536458" w:rsidRPr="003A38BA" w:rsidRDefault="00536458" w:rsidP="007C21AF">
      <w:pPr>
        <w:ind w:left="0" w:firstLine="0"/>
        <w:jc w:val="both"/>
      </w:pPr>
      <w:r>
        <w:t>Požadavky na reflexní tělesa a zdrsňující prostředky jsou popsány v normě DIN EN 1423 (posypové prostředky) a DIN EN 1424 (premix. tělíska)</w:t>
      </w:r>
      <w:r w:rsidR="005C6B21" w:rsidRPr="003A38BA">
        <w:rPr>
          <w:rStyle w:val="FootnoteReference"/>
        </w:rPr>
        <w:footnoteReference w:id="4"/>
      </w:r>
      <w:r>
        <w:t xml:space="preserve">. Navíc platí pro posypové prostředky nezávisle na materiálu a pro premix. tělesa pro termoplastické materiály požadavky podle Přílohy C. </w:t>
      </w:r>
    </w:p>
    <w:p w:rsidR="007B668F" w:rsidRPr="003A38BA" w:rsidRDefault="00536458" w:rsidP="007C21AF">
      <w:pPr>
        <w:ind w:left="0" w:firstLine="0"/>
        <w:jc w:val="both"/>
      </w:pPr>
      <w:r>
        <w:t>Aplikací obrazem podporované analýzy částic a digitální mikroskopie je umožněno určit ve směsi z reflexních tělísek a zdrsňujících prostředků jak jejich podíly ve směsi, tak také rozdělení velikostí zrn a parametrů tvarů zrn u jednotlivých frakcí. Určení indexu lomu nastává v případě potřeby pomocí vhodných imerzních tekutin pod digitálním mikroskopem. U směsí z reflexních těles a zdrsňujících prostředků je nutno udat poměr jejich hmoty (m/m), identitu a specifickou hmotnost všech použitých součástí a linie síta pro reflexní tělesa a zdrsňující prostředky. Identita součástí a index lomu reflexních těles nesmí být měněny. Je nutno uvést potahy zlepšující přilnutí (coating) a/nebo reaktivní potahy.</w:t>
      </w:r>
    </w:p>
    <w:p w:rsidR="00E35384" w:rsidRPr="003A38BA" w:rsidRDefault="00B533DC" w:rsidP="007C21AF">
      <w:pPr>
        <w:ind w:left="0" w:firstLine="0"/>
        <w:jc w:val="both"/>
      </w:pPr>
      <w:r>
        <w:t xml:space="preserve">Od jmenovité velikosti 0,300 mm nesmí poměr velikostí dvou po sobě jdoucích sít v rámci linie síta činit více než 1,2. Tato úprava platí odděleně jako pro reflexní tělesa, tak také pro zdrsňující prostředky. </w:t>
      </w:r>
    </w:p>
    <w:p w:rsidR="00536458" w:rsidRPr="003A38BA" w:rsidRDefault="00536458" w:rsidP="007C21AF">
      <w:pPr>
        <w:pStyle w:val="Heading1"/>
        <w:numPr>
          <w:ilvl w:val="2"/>
          <w:numId w:val="5"/>
        </w:numPr>
        <w:ind w:left="1440" w:hanging="720"/>
        <w:jc w:val="both"/>
        <w:rPr>
          <w:sz w:val="24"/>
          <w:szCs w:val="24"/>
        </w:rPr>
      </w:pPr>
      <w:bookmarkStart w:id="138" w:name="_Toc273346578"/>
      <w:bookmarkStart w:id="139" w:name="_Toc353893715"/>
      <w:bookmarkStart w:id="140" w:name="_Toc12476275"/>
      <w:r>
        <w:rPr>
          <w:sz w:val="24"/>
          <w:szCs w:val="24"/>
        </w:rPr>
        <w:t>Analýza potahů (coating) reflexních těles a zdrsňujících prostředků</w:t>
      </w:r>
      <w:bookmarkEnd w:id="138"/>
      <w:bookmarkEnd w:id="139"/>
      <w:bookmarkEnd w:id="140"/>
    </w:p>
    <w:p w:rsidR="00536458" w:rsidRPr="003A38BA" w:rsidRDefault="00536458" w:rsidP="007C21AF">
      <w:pPr>
        <w:ind w:left="0" w:firstLine="0"/>
        <w:jc w:val="both"/>
      </w:pPr>
      <w:r>
        <w:t>Důležitých dopravně-technických vlastností silničních značení je dosaženo prostřednictvím bezchybných a trvalých vazeb posypových prostředků s povrchem materiálů na značení. Ke zlepšení přilnutí posypových prostředků v materiálu pro značení jsou tyto často potaženy silanem nebo siloxanem. Tyto látky způsobují trvalejší uložení do pojiva materiálu pro značení. Výběr nátěrového materiálu vhodného pro příslušný materiál na značení zde má rozhodující význam, protože trvanlivost vložení může ovlivnit dopravně technické vlastnosti a související měřené hodnoty. Výběr provádí výrobce tkaniny po konzultaci s distributorem. Nátěrový materiál se doporučuje prokázat v rámci zkoušky původního vzorku.</w:t>
      </w:r>
    </w:p>
    <w:p w:rsidR="00536458" w:rsidRPr="003A38BA" w:rsidRDefault="00536458" w:rsidP="007C21AF">
      <w:pPr>
        <w:pStyle w:val="Heading1"/>
        <w:numPr>
          <w:ilvl w:val="2"/>
          <w:numId w:val="5"/>
        </w:numPr>
        <w:ind w:left="1440" w:hanging="720"/>
        <w:jc w:val="both"/>
        <w:rPr>
          <w:sz w:val="24"/>
          <w:szCs w:val="24"/>
        </w:rPr>
      </w:pPr>
      <w:bookmarkStart w:id="141" w:name="_Toc150174585"/>
      <w:bookmarkStart w:id="142" w:name="_Toc273346579"/>
      <w:bookmarkStart w:id="143" w:name="_Toc353893716"/>
      <w:bookmarkStart w:id="144" w:name="_Toc12476276"/>
      <w:bookmarkEnd w:id="136"/>
      <w:r>
        <w:rPr>
          <w:sz w:val="24"/>
          <w:szCs w:val="24"/>
        </w:rPr>
        <w:lastRenderedPageBreak/>
        <w:t>Analýza ostatních přídavných látek</w:t>
      </w:r>
      <w:bookmarkEnd w:id="141"/>
      <w:bookmarkEnd w:id="142"/>
      <w:bookmarkEnd w:id="143"/>
      <w:bookmarkEnd w:id="144"/>
    </w:p>
    <w:p w:rsidR="00536458" w:rsidRPr="003A38BA" w:rsidRDefault="00536458" w:rsidP="007C21AF">
      <w:pPr>
        <w:ind w:left="0" w:firstLine="0"/>
        <w:jc w:val="both"/>
      </w:pPr>
      <w:r>
        <w:t>Přídavné látky jako prostředky pro předběžný nátěr, primery, rozpouštědla atd. jsou analyzována jako barvy pro značení. Od tohoto se lze odchýlit pouze ve zdůvodněných případech.</w:t>
      </w:r>
    </w:p>
    <w:p w:rsidR="00536458" w:rsidRPr="003A38BA" w:rsidRDefault="00536458" w:rsidP="007C21AF">
      <w:pPr>
        <w:ind w:left="0" w:firstLine="0"/>
        <w:jc w:val="both"/>
      </w:pPr>
      <w:r>
        <w:t>Tvrdší (kapalné nebo pevné) jsou analyzovány infračervenou spektroskopií. Tyto nesmí být před analýzou vystaveny žádnému tepelnému zatížení. Zkušební metody odpovídají metodám zkoumání pojiv, které jsou popsány v normě DIN EN 12802.</w:t>
      </w:r>
    </w:p>
    <w:p w:rsidR="00E5609C" w:rsidRPr="003A38BA" w:rsidRDefault="00E5609C" w:rsidP="007C21AF">
      <w:pPr>
        <w:pStyle w:val="Heading1"/>
        <w:pageBreakBefore/>
        <w:ind w:left="0" w:firstLine="0"/>
        <w:jc w:val="both"/>
        <w:rPr>
          <w:sz w:val="24"/>
          <w:szCs w:val="24"/>
        </w:rPr>
      </w:pPr>
      <w:bookmarkStart w:id="145" w:name="_Anhang_2"/>
      <w:bookmarkStart w:id="146" w:name="_Toc12476277"/>
      <w:bookmarkEnd w:id="145"/>
      <w:r>
        <w:rPr>
          <w:sz w:val="24"/>
          <w:szCs w:val="24"/>
        </w:rPr>
        <w:lastRenderedPageBreak/>
        <w:t>Příloha A</w:t>
      </w:r>
      <w:bookmarkEnd w:id="146"/>
    </w:p>
    <w:p w:rsidR="00E5609C" w:rsidRPr="003A38BA" w:rsidRDefault="003E1828" w:rsidP="007C21AF">
      <w:pPr>
        <w:jc w:val="both"/>
      </w:pPr>
      <w:r>
        <w:t>Zkušební certifikát</w:t>
      </w:r>
    </w:p>
    <w:p w:rsidR="003916B9" w:rsidRDefault="003916B9" w:rsidP="00E5609C"/>
    <w:p w:rsidR="0040352A" w:rsidRPr="008766C3" w:rsidRDefault="0040352A" w:rsidP="0040352A">
      <w:pPr>
        <w:tabs>
          <w:tab w:val="left" w:leader="hyphen" w:pos="8789"/>
        </w:tabs>
        <w:spacing w:after="60"/>
        <w:ind w:left="4820" w:firstLine="1134"/>
        <w:jc w:val="right"/>
        <w:rPr>
          <w:rFonts w:cs="Calibri"/>
        </w:rPr>
      </w:pPr>
      <w:r>
        <w:rPr>
          <w:color w:val="000000"/>
        </w:rPr>
        <w:t>Akreditovaná zkušební laboratoř pro oblast výroby značení jízdních drah, číslo akreditace</w:t>
      </w:r>
      <w:r>
        <w:rPr>
          <w:color w:val="000000"/>
        </w:rPr>
        <w:tab/>
      </w:r>
    </w:p>
    <w:p w:rsidR="0040352A" w:rsidRPr="008766C3" w:rsidRDefault="0040352A" w:rsidP="0040352A">
      <w:pPr>
        <w:spacing w:after="60"/>
        <w:ind w:left="0" w:firstLine="0"/>
        <w:rPr>
          <w:rFonts w:eastAsia="Times New Roman" w:cs="Calibri"/>
        </w:rPr>
      </w:pPr>
      <w:r>
        <w:rPr>
          <w:b/>
          <w:bCs/>
          <w:color w:val="000000"/>
        </w:rPr>
        <w:t>Osvědčení o zkoušce systému značení na okružním zkušebním zařízení (RPA)</w:t>
      </w:r>
    </w:p>
    <w:p w:rsidR="0040352A" w:rsidRPr="008766C3" w:rsidRDefault="0040352A" w:rsidP="0040352A">
      <w:pPr>
        <w:tabs>
          <w:tab w:val="left" w:leader="underscore" w:pos="3119"/>
        </w:tabs>
        <w:spacing w:after="60"/>
        <w:ind w:left="0" w:firstLine="0"/>
        <w:rPr>
          <w:rFonts w:eastAsia="Times New Roman" w:cs="Calibri"/>
        </w:rPr>
      </w:pPr>
      <w:r>
        <w:rPr>
          <w:b/>
          <w:bCs/>
          <w:color w:val="000000"/>
        </w:rPr>
        <w:t>Zkušební číslo:</w:t>
      </w:r>
      <w:r>
        <w:rPr>
          <w:b/>
          <w:bCs/>
          <w:color w:val="000000"/>
        </w:rPr>
        <w:tab/>
      </w:r>
    </w:p>
    <w:p w:rsidR="0040352A" w:rsidRPr="008766C3" w:rsidRDefault="0040352A" w:rsidP="0040352A">
      <w:pPr>
        <w:numPr>
          <w:ilvl w:val="0"/>
          <w:numId w:val="16"/>
        </w:numPr>
        <w:spacing w:after="60"/>
        <w:ind w:left="284" w:hanging="284"/>
        <w:rPr>
          <w:rFonts w:eastAsia="Times New Roman" w:cs="Calibri"/>
          <w:b/>
          <w:bCs/>
          <w:color w:val="000000"/>
        </w:rPr>
      </w:pPr>
      <w:r>
        <w:rPr>
          <w:b/>
          <w:bCs/>
          <w:color w:val="000000"/>
        </w:rPr>
        <w:t>Žádost</w:t>
      </w:r>
    </w:p>
    <w:p w:rsidR="0040352A" w:rsidRPr="008766C3" w:rsidRDefault="0040352A" w:rsidP="0040352A">
      <w:pPr>
        <w:tabs>
          <w:tab w:val="left" w:pos="1985"/>
          <w:tab w:val="left" w:leader="underscore" w:pos="3119"/>
        </w:tabs>
        <w:spacing w:after="60"/>
        <w:ind w:left="1985" w:hanging="1701"/>
        <w:rPr>
          <w:rFonts w:eastAsia="Times New Roman" w:cs="Calibri"/>
          <w:color w:val="000000"/>
        </w:rPr>
      </w:pPr>
      <w:r>
        <w:rPr>
          <w:color w:val="000000"/>
        </w:rPr>
        <w:t>Zadavatel:</w:t>
      </w:r>
      <w:r>
        <w:rPr>
          <w:color w:val="000000"/>
        </w:rPr>
        <w:tab/>
      </w:r>
      <w:r>
        <w:rPr>
          <w:color w:val="000000"/>
        </w:rPr>
        <w:tab/>
      </w:r>
    </w:p>
    <w:p w:rsidR="0040352A" w:rsidRPr="008766C3" w:rsidRDefault="0040352A" w:rsidP="0040352A">
      <w:pPr>
        <w:tabs>
          <w:tab w:val="left" w:pos="1985"/>
        </w:tabs>
        <w:spacing w:after="60"/>
        <w:ind w:left="1985" w:hanging="1701"/>
        <w:rPr>
          <w:rFonts w:eastAsia="Times New Roman" w:cs="Calibri"/>
          <w:color w:val="000000"/>
        </w:rPr>
      </w:pPr>
      <w:r>
        <w:rPr>
          <w:color w:val="000000"/>
        </w:rPr>
        <w:t>Věc žádosti:</w:t>
      </w:r>
      <w:r>
        <w:rPr>
          <w:color w:val="000000"/>
        </w:rPr>
        <w:tab/>
        <w:t>Zkouška opotřebení a provozně-technických vlastností systémů značení podle zkušebních podmínek TP M (vydání z února 2017) a podle DIN EN 13 197 vydání z července 2014). Třídy provozně-technických vlastností se řídí normou DIN EN 1436 (vydání z ledna 2009).</w:t>
      </w:r>
    </w:p>
    <w:p w:rsidR="0040352A" w:rsidRPr="008766C3" w:rsidRDefault="0040352A" w:rsidP="0040352A">
      <w:pPr>
        <w:numPr>
          <w:ilvl w:val="0"/>
          <w:numId w:val="16"/>
        </w:numPr>
        <w:spacing w:after="60"/>
        <w:ind w:left="284" w:hanging="284"/>
        <w:rPr>
          <w:rFonts w:eastAsia="Times New Roman" w:cs="Calibri"/>
          <w:b/>
          <w:bCs/>
          <w:color w:val="000000"/>
        </w:rPr>
      </w:pPr>
      <w:r>
        <w:rPr>
          <w:b/>
          <w:bCs/>
          <w:color w:val="000000"/>
        </w:rPr>
        <w:t>Předmět zkoušky</w:t>
      </w:r>
    </w:p>
    <w:p w:rsidR="0040352A" w:rsidRPr="008766C3" w:rsidRDefault="0040352A" w:rsidP="0040352A">
      <w:pPr>
        <w:tabs>
          <w:tab w:val="left" w:pos="4111"/>
          <w:tab w:val="left" w:leader="underscore" w:pos="5954"/>
        </w:tabs>
        <w:spacing w:after="60"/>
        <w:ind w:left="567" w:hanging="567"/>
        <w:rPr>
          <w:rFonts w:eastAsia="Times New Roman" w:cs="Calibri"/>
          <w:b/>
          <w:bCs/>
          <w:color w:val="000000"/>
        </w:rPr>
      </w:pPr>
      <w:r>
        <w:rPr>
          <w:b/>
          <w:bCs/>
          <w:color w:val="000000"/>
        </w:rPr>
        <w:t>2.1</w:t>
      </w:r>
      <w:r>
        <w:rPr>
          <w:b/>
          <w:bCs/>
          <w:color w:val="000000"/>
        </w:rPr>
        <w:tab/>
        <w:t>Druh systémů značení</w:t>
      </w:r>
      <w:r>
        <w:rPr>
          <w:b/>
          <w:bCs/>
          <w:color w:val="000000"/>
        </w:rPr>
        <w:tab/>
      </w:r>
      <w:r>
        <w:rPr>
          <w:b/>
          <w:bCs/>
          <w:color w:val="000000"/>
        </w:rP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označení systému:</w:t>
      </w:r>
      <w:r>
        <w:tab/>
      </w:r>
      <w: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označení látky:</w:t>
      </w:r>
      <w:r>
        <w:tab/>
      </w:r>
      <w: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výrobce látky:</w:t>
      </w:r>
      <w:r>
        <w:tab/>
      </w:r>
      <w: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druh látky:</w:t>
      </w:r>
      <w:r>
        <w:tab/>
      </w:r>
      <w: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teplota zpracování [°C]/</w:t>
      </w:r>
      <w:r>
        <w:br/>
        <w:t>poměr daný recepturou:</w:t>
      </w:r>
      <w:r>
        <w:tab/>
      </w:r>
      <w: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tloušťka vrstvy [pm]/ množství [kg/m</w:t>
      </w:r>
      <w:r>
        <w:rPr>
          <w:vertAlign w:val="superscript"/>
        </w:rPr>
        <w:t>2</w:t>
      </w:r>
      <w:r>
        <w:t>]:</w:t>
      </w:r>
      <w:r>
        <w:tab/>
      </w:r>
      <w: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aplikační postup:</w:t>
      </w:r>
      <w:r>
        <w:tab/>
      </w:r>
      <w:r>
        <w:tab/>
      </w:r>
    </w:p>
    <w:p w:rsidR="0040352A" w:rsidRPr="008766C3" w:rsidRDefault="0040352A" w:rsidP="0040352A">
      <w:pPr>
        <w:tabs>
          <w:tab w:val="left" w:pos="4111"/>
          <w:tab w:val="left" w:leader="underscore" w:pos="5954"/>
        </w:tabs>
        <w:spacing w:after="60"/>
        <w:ind w:left="567" w:hanging="567"/>
        <w:rPr>
          <w:rFonts w:eastAsia="Times New Roman" w:cs="Calibri"/>
          <w:b/>
          <w:bCs/>
          <w:color w:val="000000"/>
        </w:rPr>
      </w:pPr>
      <w:r>
        <w:rPr>
          <w:b/>
          <w:bCs/>
          <w:color w:val="000000"/>
        </w:rPr>
        <w:t>2.2</w:t>
      </w:r>
      <w:r>
        <w:rPr>
          <w:b/>
          <w:bCs/>
          <w:color w:val="000000"/>
        </w:rPr>
        <w:tab/>
        <w:t>Posypové přídavné látky</w:t>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množství reflexních tělísek, výrobce reflexních tělísek, označení refl. tělísek:</w:t>
      </w:r>
      <w:r>
        <w:tab/>
      </w:r>
      <w:r>
        <w:tab/>
      </w:r>
    </w:p>
    <w:p w:rsidR="0040352A" w:rsidRPr="008766C3" w:rsidRDefault="0040352A" w:rsidP="0040352A">
      <w:pPr>
        <w:tabs>
          <w:tab w:val="left" w:pos="567"/>
          <w:tab w:val="left" w:pos="4536"/>
          <w:tab w:val="right" w:leader="underscore" w:pos="5954"/>
        </w:tabs>
        <w:spacing w:after="60"/>
        <w:ind w:left="4536" w:hanging="4252"/>
        <w:rPr>
          <w:rFonts w:cs="Calibri"/>
        </w:rPr>
      </w:pPr>
      <w:r>
        <w:t>-</w:t>
      </w:r>
      <w:r>
        <w:tab/>
        <w:t>prostředek pro zdrsnění:</w:t>
      </w:r>
      <w:r>
        <w:tab/>
      </w:r>
      <w:r>
        <w:rPr>
          <w:b/>
        </w:rPr>
        <w:tab/>
      </w:r>
      <w:r>
        <w:rPr>
          <w:b/>
        </w:rPr>
        <w:tab/>
        <w:t xml:space="preserve">možno obdržet jako směs v poměru </w:t>
      </w:r>
      <w:r>
        <w:rPr>
          <w:b/>
          <w:u w:val="single"/>
        </w:rPr>
        <w:t xml:space="preserve">       </w:t>
      </w:r>
      <w:r>
        <w:rPr>
          <w:b/>
        </w:rPr>
        <w:t xml:space="preserve"> reflexních tělísek</w:t>
      </w:r>
    </w:p>
    <w:p w:rsidR="0040352A" w:rsidRPr="008766C3" w:rsidRDefault="0040352A" w:rsidP="0040352A">
      <w:pPr>
        <w:tabs>
          <w:tab w:val="left" w:pos="4111"/>
          <w:tab w:val="left" w:leader="underscore" w:pos="5954"/>
        </w:tabs>
        <w:spacing w:after="60"/>
        <w:ind w:left="567" w:hanging="567"/>
        <w:rPr>
          <w:rFonts w:eastAsia="Times New Roman" w:cs="Calibri"/>
          <w:color w:val="000000"/>
        </w:rPr>
      </w:pPr>
      <w:r>
        <w:rPr>
          <w:color w:val="000000"/>
        </w:rPr>
        <w:t>2.3</w:t>
      </w:r>
      <w:r>
        <w:rPr>
          <w:color w:val="000000"/>
        </w:rPr>
        <w:tab/>
        <w:t>Aplikace nastala podle zadání žadatele za udání výše uvedených technických údajů (pokud nelze měřit) v prostoru akreditované zkušební laboratoře v ní samé, nebo ve zkušebně touto laboratoří autorizované.</w:t>
      </w:r>
    </w:p>
    <w:p w:rsidR="0040352A" w:rsidRPr="008766C3" w:rsidRDefault="0040352A" w:rsidP="0040352A">
      <w:pPr>
        <w:numPr>
          <w:ilvl w:val="0"/>
          <w:numId w:val="16"/>
        </w:numPr>
        <w:spacing w:after="60"/>
        <w:ind w:left="284" w:hanging="284"/>
        <w:rPr>
          <w:rFonts w:eastAsia="Times New Roman" w:cs="Calibri"/>
          <w:b/>
          <w:bCs/>
          <w:color w:val="000000"/>
        </w:rPr>
      </w:pPr>
      <w:r>
        <w:rPr>
          <w:b/>
          <w:bCs/>
          <w:color w:val="000000"/>
        </w:rPr>
        <w:t>Výsledky zkoušky:</w:t>
      </w:r>
    </w:p>
    <w:p w:rsidR="0040352A" w:rsidRPr="008766C3" w:rsidRDefault="0040352A" w:rsidP="0040352A">
      <w:pPr>
        <w:tabs>
          <w:tab w:val="left" w:pos="4111"/>
          <w:tab w:val="left" w:leader="underscore" w:pos="5954"/>
        </w:tabs>
        <w:spacing w:after="60"/>
        <w:ind w:left="567" w:hanging="567"/>
        <w:rPr>
          <w:rFonts w:cs="Calibri"/>
        </w:rPr>
      </w:pPr>
      <w:r>
        <w:rPr>
          <w:color w:val="000000"/>
        </w:rPr>
        <w:t>3.1</w:t>
      </w:r>
      <w:r>
        <w:rPr>
          <w:color w:val="000000"/>
        </w:rPr>
        <w:tab/>
        <w:t xml:space="preserve">Bylo dosaženo požadavků na </w:t>
      </w:r>
      <w:r>
        <w:rPr>
          <w:b/>
          <w:bCs/>
          <w:color w:val="000000"/>
        </w:rPr>
        <w:t xml:space="preserve">provozní třídu P </w:t>
      </w:r>
      <w:r>
        <w:rPr>
          <w:b/>
          <w:color w:val="000000"/>
          <w:u w:val="single"/>
        </w:rPr>
        <w:tab/>
      </w:r>
      <w:r>
        <w:rPr>
          <w:b/>
          <w:color w:val="000000"/>
        </w:rPr>
        <w:t>.</w:t>
      </w:r>
      <w:r>
        <w:rPr>
          <w:color w:val="000000"/>
        </w:rPr>
        <w:t xml:space="preserve"> Pro jednotlivé provozně-technické vlastnosti bylo dosaženo následujících tříd podle DIN EN 1436:</w:t>
      </w:r>
    </w:p>
    <w:tbl>
      <w:tblPr>
        <w:tblW w:w="0" w:type="auto"/>
        <w:tblInd w:w="250" w:type="dxa"/>
        <w:tblLook w:val="04A0" w:firstRow="1" w:lastRow="0" w:firstColumn="1" w:lastColumn="0" w:noHBand="0" w:noVBand="1"/>
      </w:tblPr>
      <w:tblGrid>
        <w:gridCol w:w="3686"/>
        <w:gridCol w:w="2126"/>
        <w:gridCol w:w="2126"/>
      </w:tblGrid>
      <w:tr w:rsidR="0040352A" w:rsidRPr="008766C3" w:rsidTr="007E2174">
        <w:tc>
          <w:tcPr>
            <w:tcW w:w="3686" w:type="dxa"/>
            <w:shd w:val="clear" w:color="auto" w:fill="auto"/>
          </w:tcPr>
          <w:p w:rsidR="0040352A" w:rsidRPr="008766C3" w:rsidRDefault="0040352A" w:rsidP="007E2174">
            <w:pPr>
              <w:spacing w:after="60"/>
              <w:ind w:left="0" w:firstLine="0"/>
              <w:rPr>
                <w:rFonts w:eastAsia="Times New Roman" w:cs="Calibri"/>
              </w:rPr>
            </w:pPr>
          </w:p>
        </w:tc>
        <w:tc>
          <w:tcPr>
            <w:tcW w:w="2126" w:type="dxa"/>
            <w:shd w:val="clear" w:color="auto" w:fill="auto"/>
          </w:tcPr>
          <w:p w:rsidR="0040352A" w:rsidRPr="008E0BFF" w:rsidRDefault="0040352A" w:rsidP="007E2174">
            <w:pPr>
              <w:spacing w:after="60"/>
              <w:ind w:left="0" w:firstLine="0"/>
              <w:jc w:val="center"/>
              <w:rPr>
                <w:rFonts w:cs="Calibri"/>
                <w:b/>
              </w:rPr>
            </w:pPr>
            <w:r>
              <w:rPr>
                <w:b/>
                <w:color w:val="000000"/>
              </w:rPr>
              <w:t>Nový stav</w:t>
            </w:r>
          </w:p>
        </w:tc>
        <w:tc>
          <w:tcPr>
            <w:tcW w:w="2126" w:type="dxa"/>
            <w:shd w:val="clear" w:color="auto" w:fill="auto"/>
          </w:tcPr>
          <w:p w:rsidR="0040352A" w:rsidRPr="008E0BFF" w:rsidRDefault="0040352A" w:rsidP="007E2174">
            <w:pPr>
              <w:spacing w:after="60"/>
              <w:ind w:left="0" w:firstLine="0"/>
              <w:jc w:val="center"/>
              <w:rPr>
                <w:rFonts w:eastAsia="Times New Roman" w:cs="Calibri"/>
                <w:b/>
              </w:rPr>
            </w:pPr>
            <w:r>
              <w:rPr>
                <w:b/>
                <w:color w:val="000000"/>
              </w:rPr>
              <w:t>Opotřebovaný stav</w:t>
            </w:r>
          </w:p>
        </w:tc>
      </w:tr>
      <w:tr w:rsidR="0040352A" w:rsidRPr="008766C3" w:rsidTr="007E2174">
        <w:tc>
          <w:tcPr>
            <w:tcW w:w="3686" w:type="dxa"/>
            <w:shd w:val="clear" w:color="auto" w:fill="auto"/>
          </w:tcPr>
          <w:p w:rsidR="0040352A" w:rsidRPr="008766C3" w:rsidRDefault="0040352A" w:rsidP="007E2174">
            <w:pPr>
              <w:spacing w:after="60"/>
              <w:ind w:left="0" w:firstLine="0"/>
              <w:rPr>
                <w:rFonts w:eastAsia="Times New Roman" w:cs="Calibri"/>
              </w:rPr>
            </w:pPr>
            <w:r>
              <w:t>- drsnost:</w:t>
            </w:r>
          </w:p>
        </w:tc>
        <w:tc>
          <w:tcPr>
            <w:tcW w:w="2126" w:type="dxa"/>
            <w:shd w:val="clear" w:color="auto" w:fill="auto"/>
          </w:tcPr>
          <w:p w:rsidR="0040352A" w:rsidRPr="008E0BFF" w:rsidRDefault="0040352A" w:rsidP="007E2174">
            <w:pPr>
              <w:spacing w:after="60"/>
              <w:ind w:left="0" w:firstLine="0"/>
              <w:jc w:val="center"/>
              <w:rPr>
                <w:rFonts w:eastAsia="Times New Roman" w:cs="Calibri"/>
                <w:b/>
              </w:rPr>
            </w:pPr>
            <w:r>
              <w:rPr>
                <w:b/>
              </w:rPr>
              <w:t>≥ S 1</w:t>
            </w:r>
          </w:p>
        </w:tc>
        <w:tc>
          <w:tcPr>
            <w:tcW w:w="2126" w:type="dxa"/>
            <w:shd w:val="clear" w:color="auto" w:fill="auto"/>
          </w:tcPr>
          <w:p w:rsidR="0040352A" w:rsidRPr="008E0BFF" w:rsidRDefault="0040352A" w:rsidP="007E2174">
            <w:pPr>
              <w:spacing w:after="60"/>
              <w:ind w:left="0" w:firstLine="0"/>
              <w:jc w:val="center"/>
              <w:rPr>
                <w:rFonts w:cs="Calibri"/>
                <w:b/>
              </w:rPr>
            </w:pPr>
            <w:r>
              <w:rPr>
                <w:b/>
              </w:rPr>
              <w:t>S</w:t>
            </w:r>
          </w:p>
        </w:tc>
      </w:tr>
      <w:tr w:rsidR="0040352A" w:rsidRPr="008766C3" w:rsidTr="007E2174">
        <w:tc>
          <w:tcPr>
            <w:tcW w:w="3686" w:type="dxa"/>
            <w:shd w:val="clear" w:color="auto" w:fill="auto"/>
          </w:tcPr>
          <w:p w:rsidR="0040352A" w:rsidRPr="008766C3" w:rsidRDefault="0040352A" w:rsidP="007E2174">
            <w:pPr>
              <w:spacing w:after="60"/>
              <w:ind w:left="0" w:firstLine="0"/>
              <w:rPr>
                <w:rFonts w:eastAsia="Times New Roman" w:cs="Calibri"/>
              </w:rPr>
            </w:pPr>
            <w:r>
              <w:t>- viditelnost v noci, za sucha:</w:t>
            </w:r>
          </w:p>
        </w:tc>
        <w:tc>
          <w:tcPr>
            <w:tcW w:w="2126" w:type="dxa"/>
            <w:shd w:val="clear" w:color="auto" w:fill="auto"/>
          </w:tcPr>
          <w:p w:rsidR="0040352A" w:rsidRPr="008E0BFF" w:rsidRDefault="0040352A" w:rsidP="007E2174">
            <w:pPr>
              <w:spacing w:after="60"/>
              <w:ind w:left="0" w:firstLine="0"/>
              <w:jc w:val="center"/>
              <w:rPr>
                <w:rFonts w:cs="Calibri"/>
                <w:b/>
              </w:rPr>
            </w:pPr>
            <w:r>
              <w:rPr>
                <w:b/>
              </w:rPr>
              <w:t>R</w:t>
            </w:r>
          </w:p>
        </w:tc>
        <w:tc>
          <w:tcPr>
            <w:tcW w:w="2126" w:type="dxa"/>
            <w:shd w:val="clear" w:color="auto" w:fill="auto"/>
          </w:tcPr>
          <w:p w:rsidR="0040352A" w:rsidRPr="008E0BFF" w:rsidRDefault="0040352A" w:rsidP="007E2174">
            <w:pPr>
              <w:spacing w:after="60"/>
              <w:ind w:left="0" w:firstLine="0"/>
              <w:jc w:val="center"/>
              <w:rPr>
                <w:rFonts w:cs="Calibri"/>
                <w:b/>
              </w:rPr>
            </w:pPr>
            <w:r>
              <w:rPr>
                <w:b/>
              </w:rPr>
              <w:t>R</w:t>
            </w:r>
          </w:p>
        </w:tc>
      </w:tr>
      <w:tr w:rsidR="0040352A" w:rsidRPr="008766C3" w:rsidTr="007E2174">
        <w:tc>
          <w:tcPr>
            <w:tcW w:w="3686" w:type="dxa"/>
            <w:shd w:val="clear" w:color="auto" w:fill="auto"/>
          </w:tcPr>
          <w:p w:rsidR="0040352A" w:rsidRPr="008766C3" w:rsidRDefault="0040352A" w:rsidP="007E2174">
            <w:pPr>
              <w:spacing w:after="60"/>
              <w:ind w:left="0" w:firstLine="0"/>
              <w:rPr>
                <w:rFonts w:cs="Calibri"/>
              </w:rPr>
            </w:pPr>
            <w:r>
              <w:t>- viditelnost v noci, za mokra:</w:t>
            </w:r>
          </w:p>
        </w:tc>
        <w:tc>
          <w:tcPr>
            <w:tcW w:w="2126" w:type="dxa"/>
            <w:shd w:val="clear" w:color="auto" w:fill="auto"/>
          </w:tcPr>
          <w:p w:rsidR="0040352A" w:rsidRPr="008E0BFF" w:rsidRDefault="0040352A" w:rsidP="007E2174">
            <w:pPr>
              <w:spacing w:after="60"/>
              <w:ind w:left="0" w:firstLine="0"/>
              <w:jc w:val="center"/>
              <w:rPr>
                <w:rFonts w:cs="Calibri"/>
                <w:b/>
              </w:rPr>
            </w:pPr>
            <w:r>
              <w:rPr>
                <w:b/>
              </w:rPr>
              <w:t>RW</w:t>
            </w:r>
          </w:p>
        </w:tc>
        <w:tc>
          <w:tcPr>
            <w:tcW w:w="2126" w:type="dxa"/>
            <w:shd w:val="clear" w:color="auto" w:fill="auto"/>
          </w:tcPr>
          <w:p w:rsidR="0040352A" w:rsidRPr="008E0BFF" w:rsidRDefault="0040352A" w:rsidP="007E2174">
            <w:pPr>
              <w:spacing w:after="60"/>
              <w:ind w:left="0" w:firstLine="0"/>
              <w:jc w:val="center"/>
              <w:rPr>
                <w:rFonts w:cs="Calibri"/>
                <w:b/>
              </w:rPr>
            </w:pPr>
            <w:r>
              <w:rPr>
                <w:b/>
              </w:rPr>
              <w:t>RW</w:t>
            </w:r>
          </w:p>
        </w:tc>
      </w:tr>
      <w:tr w:rsidR="0040352A" w:rsidRPr="008766C3" w:rsidTr="007E2174">
        <w:tc>
          <w:tcPr>
            <w:tcW w:w="3686" w:type="dxa"/>
            <w:shd w:val="clear" w:color="auto" w:fill="auto"/>
          </w:tcPr>
          <w:p w:rsidR="0040352A" w:rsidRPr="008766C3" w:rsidRDefault="0040352A" w:rsidP="007E2174">
            <w:pPr>
              <w:spacing w:after="60"/>
              <w:ind w:left="0" w:firstLine="0"/>
              <w:rPr>
                <w:rFonts w:eastAsia="Times New Roman" w:cs="Calibri"/>
              </w:rPr>
            </w:pPr>
            <w:r>
              <w:t>- viditelnost za dne:</w:t>
            </w:r>
          </w:p>
        </w:tc>
        <w:tc>
          <w:tcPr>
            <w:tcW w:w="2126" w:type="dxa"/>
            <w:shd w:val="clear" w:color="auto" w:fill="auto"/>
          </w:tcPr>
          <w:p w:rsidR="0040352A" w:rsidRPr="008E0BFF" w:rsidRDefault="0040352A" w:rsidP="007E2174">
            <w:pPr>
              <w:spacing w:after="60"/>
              <w:ind w:left="0" w:firstLine="0"/>
              <w:jc w:val="center"/>
              <w:rPr>
                <w:rFonts w:cs="Calibri"/>
                <w:b/>
              </w:rPr>
            </w:pPr>
            <w:r>
              <w:rPr>
                <w:b/>
              </w:rPr>
              <w:t>Q</w:t>
            </w:r>
          </w:p>
        </w:tc>
        <w:tc>
          <w:tcPr>
            <w:tcW w:w="2126" w:type="dxa"/>
            <w:shd w:val="clear" w:color="auto" w:fill="auto"/>
          </w:tcPr>
          <w:p w:rsidR="0040352A" w:rsidRPr="008E0BFF" w:rsidRDefault="0040352A" w:rsidP="007E2174">
            <w:pPr>
              <w:spacing w:after="60"/>
              <w:ind w:left="0" w:firstLine="0"/>
              <w:jc w:val="center"/>
              <w:rPr>
                <w:rFonts w:cs="Calibri"/>
                <w:b/>
              </w:rPr>
            </w:pPr>
            <w:r>
              <w:rPr>
                <w:b/>
              </w:rPr>
              <w:t>Q</w:t>
            </w:r>
          </w:p>
        </w:tc>
      </w:tr>
      <w:tr w:rsidR="0040352A" w:rsidRPr="008766C3" w:rsidTr="007E2174">
        <w:tc>
          <w:tcPr>
            <w:tcW w:w="3686" w:type="dxa"/>
            <w:shd w:val="clear" w:color="auto" w:fill="auto"/>
          </w:tcPr>
          <w:p w:rsidR="0040352A" w:rsidRPr="008766C3" w:rsidRDefault="0040352A" w:rsidP="007E2174">
            <w:pPr>
              <w:spacing w:after="60"/>
              <w:ind w:left="0" w:firstLine="0"/>
              <w:rPr>
                <w:rFonts w:eastAsia="Times New Roman" w:cs="Calibri"/>
              </w:rPr>
            </w:pPr>
            <w:r>
              <w:t>- přejetí:</w:t>
            </w:r>
          </w:p>
        </w:tc>
        <w:tc>
          <w:tcPr>
            <w:tcW w:w="2126" w:type="dxa"/>
            <w:shd w:val="clear" w:color="auto" w:fill="auto"/>
          </w:tcPr>
          <w:p w:rsidR="0040352A" w:rsidRPr="008E0BFF" w:rsidRDefault="0040352A" w:rsidP="007E2174">
            <w:pPr>
              <w:spacing w:after="60"/>
              <w:ind w:left="0" w:firstLine="0"/>
              <w:jc w:val="center"/>
              <w:rPr>
                <w:rFonts w:cs="Calibri"/>
                <w:b/>
              </w:rPr>
            </w:pPr>
            <w:r>
              <w:rPr>
                <w:b/>
              </w:rPr>
              <w:t>T</w:t>
            </w:r>
          </w:p>
        </w:tc>
        <w:tc>
          <w:tcPr>
            <w:tcW w:w="2126" w:type="dxa"/>
            <w:shd w:val="clear" w:color="auto" w:fill="auto"/>
          </w:tcPr>
          <w:p w:rsidR="0040352A" w:rsidRPr="008E0BFF" w:rsidRDefault="0040352A" w:rsidP="007E2174">
            <w:pPr>
              <w:spacing w:after="60"/>
              <w:ind w:left="0" w:firstLine="0"/>
              <w:jc w:val="center"/>
              <w:rPr>
                <w:rFonts w:eastAsia="Times New Roman" w:cs="Calibri"/>
                <w:b/>
              </w:rPr>
            </w:pPr>
          </w:p>
        </w:tc>
      </w:tr>
    </w:tbl>
    <w:p w:rsidR="0040352A" w:rsidRPr="008766C3" w:rsidRDefault="0040352A" w:rsidP="0040352A">
      <w:pPr>
        <w:tabs>
          <w:tab w:val="left" w:pos="4111"/>
          <w:tab w:val="left" w:leader="underscore" w:pos="5954"/>
        </w:tabs>
        <w:spacing w:after="60"/>
        <w:ind w:left="567" w:hanging="567"/>
        <w:rPr>
          <w:rFonts w:eastAsia="Times New Roman" w:cs="Calibri"/>
          <w:color w:val="000000"/>
        </w:rPr>
      </w:pPr>
      <w:r>
        <w:rPr>
          <w:color w:val="000000"/>
        </w:rPr>
        <w:t>3.2</w:t>
      </w:r>
      <w:r>
        <w:rPr>
          <w:color w:val="000000"/>
        </w:rPr>
        <w:tab/>
        <w:t>Minimální požadavky na odolnost vůči opotřebení byly splněny u 90 % zbylé plochy. Výsledky fyzikálně-chemické zkoušky původního vzorku přísluší akreditované zkušební laboratoři.</w:t>
      </w:r>
    </w:p>
    <w:p w:rsidR="0040352A" w:rsidRPr="008766C3" w:rsidRDefault="0040352A" w:rsidP="0040352A">
      <w:pPr>
        <w:spacing w:after="60"/>
        <w:ind w:left="0" w:firstLine="0"/>
        <w:jc w:val="both"/>
        <w:rPr>
          <w:rFonts w:eastAsia="Times New Roman" w:cs="Calibri"/>
        </w:rPr>
      </w:pPr>
      <w:r>
        <w:rPr>
          <w:color w:val="000000"/>
        </w:rPr>
        <w:t>Tento zkušební certifikát smí být dále předáván nebo zveřejněn pouze kompletní. Předání nebo zveřejnění výtahu z něj podléhá písemnému souhlasu akreditované zkušební laboratoře.</w:t>
      </w:r>
    </w:p>
    <w:p w:rsidR="0040352A" w:rsidRPr="008766C3" w:rsidRDefault="0040352A" w:rsidP="0040352A">
      <w:pPr>
        <w:tabs>
          <w:tab w:val="left" w:leader="underscore" w:pos="3119"/>
        </w:tabs>
        <w:spacing w:after="60"/>
        <w:ind w:left="0" w:firstLine="0"/>
        <w:rPr>
          <w:rFonts w:eastAsia="Times New Roman" w:cs="Calibri"/>
        </w:rPr>
      </w:pPr>
      <w:r>
        <w:rPr>
          <w:color w:val="000000"/>
        </w:rPr>
        <w:t>Bergisch Gladbach,</w:t>
      </w:r>
      <w:r>
        <w:rPr>
          <w:color w:val="000000"/>
        </w:rPr>
        <w:tab/>
      </w:r>
    </w:p>
    <w:p w:rsidR="0040352A" w:rsidRPr="008766C3" w:rsidRDefault="0040352A" w:rsidP="0040352A">
      <w:pPr>
        <w:spacing w:after="60"/>
        <w:ind w:left="0" w:firstLine="0"/>
        <w:rPr>
          <w:rFonts w:cs="Calibri"/>
          <w:color w:val="000000"/>
          <w:lang w:eastAsia="zh-CN"/>
        </w:rPr>
      </w:pPr>
    </w:p>
    <w:p w:rsidR="0040352A" w:rsidRPr="008766C3" w:rsidRDefault="0040352A" w:rsidP="0040352A">
      <w:pPr>
        <w:spacing w:after="60"/>
        <w:ind w:left="0" w:firstLine="0"/>
        <w:rPr>
          <w:rFonts w:cs="Calibri"/>
          <w:color w:val="000000"/>
          <w:lang w:eastAsia="zh-CN"/>
        </w:rPr>
      </w:pPr>
    </w:p>
    <w:p w:rsidR="0040352A" w:rsidRPr="008766C3" w:rsidRDefault="0040352A" w:rsidP="0040352A">
      <w:pPr>
        <w:tabs>
          <w:tab w:val="left" w:leader="underscore" w:pos="2410"/>
        </w:tabs>
        <w:spacing w:after="60"/>
        <w:ind w:left="0" w:firstLine="0"/>
        <w:rPr>
          <w:rFonts w:cs="Calibri"/>
          <w:color w:val="000000"/>
        </w:rPr>
      </w:pPr>
      <w:r>
        <w:rPr>
          <w:color w:val="000000"/>
        </w:rPr>
        <w:tab/>
      </w:r>
    </w:p>
    <w:p w:rsidR="0040352A" w:rsidRPr="008766C3" w:rsidRDefault="0040352A" w:rsidP="0040352A">
      <w:pPr>
        <w:spacing w:after="60"/>
        <w:ind w:left="0" w:firstLine="0"/>
        <w:rPr>
          <w:rFonts w:eastAsia="Times New Roman" w:cs="Calibri"/>
        </w:rPr>
      </w:pPr>
      <w:r>
        <w:rPr>
          <w:color w:val="000000"/>
        </w:rPr>
        <w:t>jméno, funkce</w:t>
      </w:r>
    </w:p>
    <w:p w:rsidR="0040352A" w:rsidRPr="008766C3" w:rsidRDefault="0040352A" w:rsidP="0040352A">
      <w:pPr>
        <w:rPr>
          <w:lang w:eastAsia="zh-CN"/>
        </w:rPr>
      </w:pPr>
    </w:p>
    <w:p w:rsidR="0040352A" w:rsidRPr="008766C3" w:rsidRDefault="0040352A" w:rsidP="0040352A">
      <w:pPr>
        <w:ind w:left="0" w:firstLine="0"/>
        <w:rPr>
          <w:lang w:eastAsia="zh-CN"/>
        </w:rPr>
      </w:pPr>
    </w:p>
    <w:p w:rsidR="0040352A" w:rsidRPr="008766C3" w:rsidRDefault="0040352A" w:rsidP="0040352A">
      <w:r>
        <w:t>Osvědčení o zkoušce</w:t>
      </w:r>
    </w:p>
    <w:p w:rsidR="0040352A" w:rsidRPr="008766C3" w:rsidRDefault="0040352A" w:rsidP="0040352A">
      <w:pPr>
        <w:rPr>
          <w:rFonts w:cs="Calibri"/>
          <w:lang w:eastAsia="zh-CN"/>
        </w:rPr>
      </w:pPr>
    </w:p>
    <w:p w:rsidR="0040352A" w:rsidRPr="008766C3" w:rsidRDefault="0040352A" w:rsidP="0040352A">
      <w:pPr>
        <w:rPr>
          <w:rFonts w:cs="Calibri"/>
          <w:lang w:eastAsia="zh-CN"/>
        </w:rPr>
      </w:pPr>
    </w:p>
    <w:p w:rsidR="0040352A" w:rsidRPr="008766C3" w:rsidRDefault="0040352A" w:rsidP="0040352A">
      <w:pPr>
        <w:rPr>
          <w:rFonts w:cs="Calibri"/>
          <w:lang w:eastAsia="zh-CN"/>
        </w:rPr>
      </w:pPr>
    </w:p>
    <w:tbl>
      <w:tblPr>
        <w:tblW w:w="0" w:type="auto"/>
        <w:tblInd w:w="108" w:type="dxa"/>
        <w:tblLook w:val="04A0" w:firstRow="1" w:lastRow="0" w:firstColumn="1" w:lastColumn="0" w:noHBand="0" w:noVBand="1"/>
      </w:tblPr>
      <w:tblGrid>
        <w:gridCol w:w="2268"/>
        <w:gridCol w:w="3828"/>
      </w:tblGrid>
      <w:tr w:rsidR="0040352A" w:rsidRPr="008766C3" w:rsidTr="007E2174">
        <w:tc>
          <w:tcPr>
            <w:tcW w:w="2268" w:type="dxa"/>
            <w:shd w:val="clear" w:color="auto" w:fill="auto"/>
          </w:tcPr>
          <w:p w:rsidR="0040352A" w:rsidRPr="008766C3" w:rsidRDefault="0040352A" w:rsidP="007E2174">
            <w:pPr>
              <w:ind w:left="-108" w:firstLine="0"/>
              <w:rPr>
                <w:rFonts w:cs="Calibri"/>
              </w:rPr>
            </w:pPr>
            <w:r>
              <w:t>Zadavatel</w:t>
            </w:r>
          </w:p>
        </w:tc>
        <w:tc>
          <w:tcPr>
            <w:tcW w:w="3828" w:type="dxa"/>
            <w:shd w:val="clear" w:color="auto" w:fill="auto"/>
          </w:tcPr>
          <w:p w:rsidR="0040352A" w:rsidRPr="008766C3" w:rsidRDefault="0040352A" w:rsidP="007E2174">
            <w:pPr>
              <w:ind w:left="0" w:firstLine="0"/>
              <w:jc w:val="right"/>
              <w:rPr>
                <w:rFonts w:eastAsia="Times New Roman" w:cs="Calibri"/>
                <w:color w:val="000000"/>
              </w:rPr>
            </w:pPr>
            <w:r>
              <w:rPr>
                <w:color w:val="000000"/>
              </w:rPr>
              <w:t>Vaše značka</w:t>
            </w:r>
          </w:p>
          <w:p w:rsidR="0040352A" w:rsidRPr="008766C3" w:rsidRDefault="0040352A" w:rsidP="007E2174">
            <w:pPr>
              <w:ind w:left="0" w:firstLine="0"/>
              <w:jc w:val="right"/>
              <w:rPr>
                <w:rFonts w:eastAsia="Times New Roman" w:cs="Calibri"/>
                <w:color w:val="000000"/>
              </w:rPr>
            </w:pPr>
            <w:r>
              <w:rPr>
                <w:color w:val="000000"/>
              </w:rPr>
              <w:t>Váš dopis ze dne</w:t>
            </w:r>
            <w:r>
              <w:rPr>
                <w:color w:val="000000"/>
              </w:rPr>
              <w:br/>
              <w:t>Naše značka</w:t>
            </w:r>
            <w:r>
              <w:rPr>
                <w:color w:val="000000"/>
              </w:rPr>
              <w:br/>
              <w:t>Informace předána</w:t>
            </w:r>
            <w:r>
              <w:rPr>
                <w:color w:val="000000"/>
              </w:rPr>
              <w:br/>
              <w:t>Telefon</w:t>
            </w:r>
            <w:r>
              <w:rPr>
                <w:color w:val="000000"/>
              </w:rPr>
              <w:br/>
              <w:t>Telefax</w:t>
            </w:r>
            <w:r>
              <w:rPr>
                <w:color w:val="000000"/>
              </w:rPr>
              <w:br/>
              <w:t>E-mail</w:t>
            </w:r>
          </w:p>
          <w:p w:rsidR="0040352A" w:rsidRPr="008766C3" w:rsidRDefault="0040352A" w:rsidP="007E2174">
            <w:pPr>
              <w:ind w:left="0" w:firstLine="0"/>
              <w:jc w:val="right"/>
              <w:rPr>
                <w:rFonts w:eastAsia="Times New Roman" w:cs="Calibri"/>
                <w:color w:val="000000"/>
                <w:lang w:eastAsia="de-DE"/>
              </w:rPr>
            </w:pPr>
          </w:p>
          <w:p w:rsidR="0040352A" w:rsidRPr="008766C3" w:rsidRDefault="0040352A" w:rsidP="007E2174">
            <w:pPr>
              <w:ind w:left="0" w:firstLine="0"/>
              <w:jc w:val="right"/>
              <w:rPr>
                <w:rFonts w:eastAsia="Times New Roman" w:cs="Calibri"/>
                <w:color w:val="000000"/>
              </w:rPr>
            </w:pPr>
            <w:r>
              <w:rPr>
                <w:color w:val="000000"/>
              </w:rPr>
              <w:t>Datum</w:t>
            </w:r>
          </w:p>
        </w:tc>
      </w:tr>
    </w:tbl>
    <w:p w:rsidR="0040352A" w:rsidRPr="008766C3" w:rsidRDefault="0040352A" w:rsidP="0040352A">
      <w:pPr>
        <w:rPr>
          <w:rFonts w:cs="Calibri"/>
          <w:lang w:eastAsia="zh-CN"/>
        </w:rPr>
      </w:pPr>
    </w:p>
    <w:p w:rsidR="0040352A" w:rsidRDefault="0040352A" w:rsidP="0040352A">
      <w:pPr>
        <w:ind w:left="0" w:firstLine="0"/>
        <w:rPr>
          <w:rFonts w:cs="Calibri"/>
          <w:b/>
          <w:bCs/>
          <w:color w:val="000000"/>
          <w:u w:val="single"/>
        </w:rPr>
      </w:pPr>
      <w:r>
        <w:rPr>
          <w:b/>
          <w:bCs/>
          <w:color w:val="000000"/>
        </w:rPr>
        <w:t>Osvědčení o zkoušce systému značení na okružním zkušebním zařízení, číslo zkoušky:</w:t>
      </w:r>
      <w:r>
        <w:rPr>
          <w:b/>
          <w:bCs/>
          <w:color w:val="000000"/>
          <w:u w:val="single"/>
        </w:rPr>
        <w:tab/>
      </w:r>
    </w:p>
    <w:p w:rsidR="0040352A" w:rsidRPr="008E0BFF" w:rsidRDefault="0040352A" w:rsidP="0040352A">
      <w:pPr>
        <w:ind w:left="0" w:firstLine="0"/>
        <w:rPr>
          <w:rFonts w:cs="Calibri"/>
          <w:lang w:eastAsia="zh-CN"/>
        </w:rPr>
      </w:pPr>
    </w:p>
    <w:p w:rsidR="0040352A" w:rsidRPr="008766C3" w:rsidRDefault="0040352A" w:rsidP="0040352A">
      <w:pPr>
        <w:ind w:left="0" w:firstLine="0"/>
        <w:rPr>
          <w:rFonts w:eastAsia="Times New Roman" w:cs="Calibri"/>
        </w:rPr>
      </w:pPr>
      <w:r>
        <w:rPr>
          <w:color w:val="000000"/>
        </w:rPr>
        <w:t xml:space="preserve">Typ </w:t>
      </w:r>
      <w:r>
        <w:rPr>
          <w:color w:val="000000"/>
        </w:rPr>
        <w:tab/>
        <w:t xml:space="preserve">-systém značení z </w:t>
      </w:r>
      <w:r>
        <w:rPr>
          <w:color w:val="000000"/>
        </w:rPr>
        <w:tab/>
        <w:t xml:space="preserve"> pod výše uvedeným zkušebním číslem byl prověřen na okružním zkušebním zařízení podle DIN EN 13197 (vydání z července 2014) do provozní třídy P </w:t>
      </w:r>
      <w:r>
        <w:rPr>
          <w:color w:val="000000"/>
        </w:rPr>
        <w:tab/>
        <w:t xml:space="preserve"> ( </w:t>
      </w:r>
      <w:r>
        <w:rPr>
          <w:color w:val="000000"/>
        </w:rPr>
        <w:tab/>
        <w:t xml:space="preserve"> přejetí) a splňuje tímto všechny minimální požadavky podle DIN EN 1436</w:t>
      </w:r>
    </w:p>
    <w:p w:rsidR="0040352A" w:rsidRPr="008766C3" w:rsidRDefault="0040352A" w:rsidP="0040352A">
      <w:pPr>
        <w:ind w:left="0" w:firstLine="0"/>
        <w:rPr>
          <w:rFonts w:eastAsia="Times New Roman" w:cs="Calibri"/>
        </w:rPr>
      </w:pPr>
      <w:r>
        <w:rPr>
          <w:color w:val="000000"/>
        </w:rPr>
        <w:t>(vydání z ledna 2009) s ohledem na provozně-technické vlastnosti.</w:t>
      </w:r>
    </w:p>
    <w:p w:rsidR="0040352A" w:rsidRPr="008766C3" w:rsidRDefault="0040352A" w:rsidP="0040352A">
      <w:pPr>
        <w:tabs>
          <w:tab w:val="left" w:pos="567"/>
          <w:tab w:val="left" w:pos="4536"/>
          <w:tab w:val="right" w:leader="underscore" w:pos="5954"/>
        </w:tabs>
        <w:spacing w:after="60"/>
        <w:ind w:left="4536" w:hanging="4252"/>
        <w:rPr>
          <w:rFonts w:cs="Calibri"/>
        </w:rPr>
      </w:pPr>
      <w:r>
        <w:t>-</w:t>
      </w:r>
      <w:r>
        <w:tab/>
        <w:t>označení systému:</w:t>
      </w:r>
      <w:r>
        <w:tab/>
      </w:r>
      <w:r>
        <w:tab/>
      </w:r>
    </w:p>
    <w:p w:rsidR="0040352A" w:rsidRPr="008766C3" w:rsidRDefault="0040352A" w:rsidP="0040352A">
      <w:pPr>
        <w:tabs>
          <w:tab w:val="left" w:pos="567"/>
          <w:tab w:val="left" w:pos="4536"/>
          <w:tab w:val="right" w:leader="underscore" w:pos="5954"/>
        </w:tabs>
        <w:spacing w:after="60"/>
        <w:ind w:left="4536" w:hanging="4252"/>
        <w:rPr>
          <w:rFonts w:cs="Calibri"/>
        </w:rPr>
      </w:pPr>
      <w:r>
        <w:t>-</w:t>
      </w:r>
      <w:r>
        <w:tab/>
        <w:t>látka:</w:t>
      </w:r>
      <w:r>
        <w:tab/>
      </w:r>
      <w:r>
        <w:tab/>
      </w:r>
    </w:p>
    <w:p w:rsidR="0040352A" w:rsidRPr="008766C3" w:rsidRDefault="0040352A" w:rsidP="0040352A">
      <w:pPr>
        <w:tabs>
          <w:tab w:val="left" w:pos="567"/>
          <w:tab w:val="left" w:pos="4536"/>
          <w:tab w:val="right" w:leader="underscore" w:pos="5954"/>
        </w:tabs>
        <w:spacing w:after="60"/>
        <w:ind w:left="4536" w:hanging="4252"/>
        <w:rPr>
          <w:rFonts w:cs="Calibri"/>
        </w:rPr>
      </w:pPr>
      <w:r>
        <w:t>-</w:t>
      </w:r>
      <w:r>
        <w:tab/>
        <w:t>tloušťka mokrého filmu:</w:t>
      </w:r>
      <w:r>
        <w:tab/>
      </w:r>
      <w:r>
        <w:tab/>
      </w:r>
    </w:p>
    <w:p w:rsidR="0040352A" w:rsidRPr="008766C3" w:rsidRDefault="0040352A" w:rsidP="0040352A">
      <w:pPr>
        <w:tabs>
          <w:tab w:val="left" w:pos="567"/>
          <w:tab w:val="left" w:pos="4536"/>
          <w:tab w:val="right" w:leader="underscore" w:pos="5954"/>
        </w:tabs>
        <w:spacing w:after="60"/>
        <w:ind w:left="4536" w:hanging="4252"/>
        <w:rPr>
          <w:rFonts w:eastAsia="Times New Roman" w:cs="Calibri"/>
        </w:rPr>
      </w:pPr>
      <w:r>
        <w:t>-</w:t>
      </w:r>
      <w:r>
        <w:tab/>
        <w:t>posyp (množství/výrobce/označ.):</w:t>
      </w:r>
      <w:r>
        <w:tab/>
      </w:r>
      <w:r>
        <w:tab/>
      </w:r>
      <w:r>
        <w:rPr>
          <w:b/>
          <w:bCs/>
          <w:color w:val="000000"/>
        </w:rPr>
        <w:t>g/m</w:t>
      </w:r>
      <w:r>
        <w:rPr>
          <w:b/>
          <w:bCs/>
          <w:color w:val="000000"/>
          <w:vertAlign w:val="superscript"/>
        </w:rPr>
        <w:t>2</w:t>
      </w:r>
      <w:r>
        <w:rPr>
          <w:b/>
          <w:bCs/>
          <w:color w:val="000000"/>
        </w:rPr>
        <w:t>,</w:t>
      </w:r>
      <w:r>
        <w:rPr>
          <w:b/>
          <w:bCs/>
          <w:color w:val="000000"/>
          <w:u w:val="single"/>
        </w:rPr>
        <w:tab/>
      </w:r>
      <w:r>
        <w:rPr>
          <w:b/>
        </w:rPr>
        <w:br/>
      </w:r>
      <w:r>
        <w:rPr>
          <w:b/>
          <w:bCs/>
          <w:color w:val="000000"/>
        </w:rPr>
        <w:tab/>
      </w:r>
      <w:r>
        <w:rPr>
          <w:b/>
          <w:bCs/>
          <w:color w:val="000000"/>
        </w:rPr>
        <w:tab/>
        <w:t xml:space="preserve">obsaženo jako směs v poměru </w:t>
      </w:r>
      <w:r>
        <w:rPr>
          <w:b/>
          <w:u w:val="single"/>
        </w:rPr>
        <w:t xml:space="preserve">        </w:t>
      </w:r>
      <w:r>
        <w:rPr>
          <w:b/>
          <w:bCs/>
          <w:color w:val="000000"/>
        </w:rPr>
        <w:t>v reflexních tělesech</w:t>
      </w:r>
    </w:p>
    <w:p w:rsidR="0040352A" w:rsidRPr="008766C3" w:rsidRDefault="0040352A" w:rsidP="0040352A">
      <w:pPr>
        <w:tabs>
          <w:tab w:val="left" w:pos="567"/>
          <w:tab w:val="left" w:pos="4536"/>
          <w:tab w:val="right" w:leader="underscore" w:pos="5954"/>
        </w:tabs>
        <w:spacing w:after="60"/>
        <w:ind w:left="4536" w:hanging="4252"/>
        <w:rPr>
          <w:rFonts w:cs="Calibri"/>
        </w:rPr>
      </w:pPr>
      <w:r>
        <w:t>-</w:t>
      </w:r>
      <w:r>
        <w:tab/>
        <w:t>aplikační postup:</w:t>
      </w:r>
      <w:r>
        <w:tab/>
      </w:r>
      <w:r>
        <w:tab/>
      </w:r>
    </w:p>
    <w:p w:rsidR="0040352A" w:rsidRPr="008766C3" w:rsidRDefault="0040352A" w:rsidP="0040352A">
      <w:pPr>
        <w:tabs>
          <w:tab w:val="left" w:pos="567"/>
          <w:tab w:val="left" w:pos="4536"/>
          <w:tab w:val="right" w:leader="underscore" w:pos="5954"/>
        </w:tabs>
        <w:spacing w:after="60"/>
        <w:ind w:left="4536" w:hanging="4252"/>
        <w:rPr>
          <w:rFonts w:cs="Calibri"/>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126"/>
        <w:gridCol w:w="579"/>
        <w:gridCol w:w="579"/>
        <w:gridCol w:w="579"/>
        <w:gridCol w:w="579"/>
        <w:gridCol w:w="289"/>
        <w:gridCol w:w="290"/>
        <w:gridCol w:w="579"/>
        <w:gridCol w:w="579"/>
        <w:gridCol w:w="579"/>
        <w:gridCol w:w="579"/>
      </w:tblGrid>
      <w:tr w:rsidR="0040352A" w:rsidRPr="008766C3" w:rsidTr="007E2174">
        <w:tc>
          <w:tcPr>
            <w:tcW w:w="4077" w:type="dxa"/>
            <w:gridSpan w:val="2"/>
            <w:vMerge w:val="restart"/>
            <w:shd w:val="pct30"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b/>
                <w:bCs/>
                <w:color w:val="000000"/>
                <w:sz w:val="20"/>
                <w:szCs w:val="20"/>
              </w:rPr>
            </w:pPr>
            <w:r>
              <w:rPr>
                <w:b/>
                <w:bCs/>
                <w:color w:val="000000"/>
                <w:sz w:val="20"/>
                <w:szCs w:val="20"/>
              </w:rPr>
              <w:t>Vlastnosti</w:t>
            </w:r>
          </w:p>
        </w:tc>
        <w:tc>
          <w:tcPr>
            <w:tcW w:w="5211" w:type="dxa"/>
            <w:gridSpan w:val="10"/>
            <w:tcBorders>
              <w:bottom w:val="nil"/>
            </w:tcBorders>
            <w:shd w:val="pct12" w:color="auto" w:fill="auto"/>
            <w:vAlign w:val="center"/>
          </w:tcPr>
          <w:p w:rsidR="0040352A" w:rsidRPr="008766C3" w:rsidRDefault="0040352A" w:rsidP="007E2174">
            <w:pPr>
              <w:ind w:left="0" w:firstLine="0"/>
              <w:jc w:val="center"/>
              <w:rPr>
                <w:rFonts w:cs="Calibri"/>
                <w:b/>
                <w:bCs/>
                <w:color w:val="000000"/>
                <w:sz w:val="20"/>
                <w:szCs w:val="20"/>
              </w:rPr>
            </w:pPr>
            <w:r>
              <w:rPr>
                <w:b/>
                <w:bCs/>
                <w:color w:val="000000"/>
                <w:sz w:val="20"/>
                <w:szCs w:val="20"/>
              </w:rPr>
              <w:t>Počet přejetí kolem [mil.]</w:t>
            </w:r>
          </w:p>
        </w:tc>
      </w:tr>
      <w:tr w:rsidR="0040352A" w:rsidRPr="008766C3" w:rsidTr="007E2174">
        <w:tc>
          <w:tcPr>
            <w:tcW w:w="4077" w:type="dxa"/>
            <w:gridSpan w:val="2"/>
            <w:vMerge/>
            <w:tcBorders>
              <w:bottom w:val="single" w:sz="4" w:space="0" w:color="000000"/>
            </w:tcBorders>
            <w:shd w:val="pct30"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szCs w:val="20"/>
              </w:rPr>
              <w:t>0</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szCs w:val="20"/>
              </w:rPr>
              <w:t>0,01</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szCs w:val="20"/>
              </w:rPr>
              <w:t>0,1</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szCs w:val="20"/>
              </w:rPr>
              <w:t>0,2</w:t>
            </w:r>
          </w:p>
        </w:tc>
        <w:tc>
          <w:tcPr>
            <w:tcW w:w="579" w:type="dxa"/>
            <w:gridSpan w:val="2"/>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szCs w:val="20"/>
              </w:rPr>
              <w:t>0,5</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szCs w:val="20"/>
              </w:rPr>
              <w:t>1,0</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szCs w:val="20"/>
              </w:rPr>
              <w:t>2,0</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szCs w:val="20"/>
              </w:rPr>
              <w:t>3,0</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szCs w:val="20"/>
              </w:rPr>
              <w:t>4,0</w:t>
            </w:r>
          </w:p>
        </w:tc>
      </w:tr>
      <w:tr w:rsidR="0040352A" w:rsidRPr="008766C3" w:rsidTr="007E2174">
        <w:tc>
          <w:tcPr>
            <w:tcW w:w="4077" w:type="dxa"/>
            <w:gridSpan w:val="2"/>
            <w:shd w:val="pct15"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szCs w:val="20"/>
              </w:rPr>
              <w:t>Odolnost proti opotřebení [%]</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gridSpan w:val="2"/>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r>
      <w:tr w:rsidR="0040352A" w:rsidRPr="008766C3" w:rsidTr="007E2174">
        <w:tc>
          <w:tcPr>
            <w:tcW w:w="4077" w:type="dxa"/>
            <w:gridSpan w:val="2"/>
            <w:shd w:val="pct15" w:color="auto" w:fill="auto"/>
            <w:vAlign w:val="center"/>
          </w:tcPr>
          <w:p w:rsidR="0040352A" w:rsidRPr="008766C3" w:rsidRDefault="0040352A" w:rsidP="007E2174">
            <w:pPr>
              <w:ind w:left="0" w:firstLine="0"/>
              <w:rPr>
                <w:rFonts w:cs="Calibri"/>
                <w:sz w:val="20"/>
                <w:szCs w:val="20"/>
              </w:rPr>
            </w:pPr>
            <w:r>
              <w:rPr>
                <w:color w:val="000000"/>
                <w:sz w:val="20"/>
                <w:szCs w:val="20"/>
              </w:rPr>
              <w:t>Drsnost [SRT jednotky]</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gridSpan w:val="2"/>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r>
      <w:tr w:rsidR="0040352A" w:rsidRPr="008766C3" w:rsidTr="007E2174">
        <w:tc>
          <w:tcPr>
            <w:tcW w:w="1951" w:type="dxa"/>
            <w:shd w:val="pct15" w:color="auto" w:fill="auto"/>
            <w:vAlign w:val="center"/>
          </w:tcPr>
          <w:p w:rsidR="0040352A" w:rsidRPr="008766C3" w:rsidRDefault="0040352A" w:rsidP="007E2174">
            <w:pPr>
              <w:ind w:left="0" w:firstLine="0"/>
              <w:rPr>
                <w:rFonts w:cs="Calibri"/>
                <w:sz w:val="20"/>
                <w:szCs w:val="20"/>
              </w:rPr>
            </w:pPr>
            <w:r>
              <w:rPr>
                <w:color w:val="000000"/>
                <w:sz w:val="20"/>
                <w:szCs w:val="20"/>
              </w:rPr>
              <w:t>Viditelnost v noci</w:t>
            </w:r>
          </w:p>
        </w:tc>
        <w:tc>
          <w:tcPr>
            <w:tcW w:w="2126" w:type="dxa"/>
            <w:shd w:val="pct15" w:color="auto" w:fill="auto"/>
            <w:vAlign w:val="center"/>
          </w:tcPr>
          <w:p w:rsidR="0040352A" w:rsidRPr="008766C3" w:rsidRDefault="0040352A" w:rsidP="007E2174">
            <w:pPr>
              <w:ind w:left="0" w:firstLine="0"/>
              <w:rPr>
                <w:rFonts w:cs="Calibri"/>
                <w:sz w:val="20"/>
                <w:szCs w:val="20"/>
              </w:rPr>
            </w:pPr>
            <w:r>
              <w:rPr>
                <w:color w:val="000000"/>
                <w:sz w:val="20"/>
                <w:szCs w:val="20"/>
              </w:rPr>
              <w:t>za sucha</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jc w:val="center"/>
              <w:rPr>
                <w:rFonts w:cs="Calibri"/>
                <w:sz w:val="20"/>
                <w:szCs w:val="20"/>
              </w:rPr>
            </w:pPr>
            <w:r>
              <w:rPr>
                <w:sz w:val="20"/>
                <w:szCs w:val="20"/>
                <w:vertAlign w:val="superscript"/>
              </w:rPr>
              <w:t>1)</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gridSpan w:val="2"/>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r>
      <w:tr w:rsidR="0040352A" w:rsidRPr="008766C3" w:rsidTr="007E2174">
        <w:tc>
          <w:tcPr>
            <w:tcW w:w="1951" w:type="dxa"/>
            <w:shd w:val="pct15"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i/>
                <w:sz w:val="20"/>
                <w:szCs w:val="20"/>
              </w:rPr>
              <w:t>R</w:t>
            </w:r>
            <w:r>
              <w:rPr>
                <w:sz w:val="20"/>
                <w:szCs w:val="20"/>
                <w:vertAlign w:val="subscript"/>
              </w:rPr>
              <w:t>L</w:t>
            </w:r>
            <w:r>
              <w:rPr>
                <w:sz w:val="20"/>
                <w:szCs w:val="20"/>
              </w:rPr>
              <w:t xml:space="preserve"> [mcd · m</w:t>
            </w:r>
            <w:r>
              <w:rPr>
                <w:sz w:val="20"/>
                <w:szCs w:val="20"/>
                <w:vertAlign w:val="superscript"/>
              </w:rPr>
              <w:t>-2</w:t>
            </w:r>
            <w:r>
              <w:rPr>
                <w:sz w:val="20"/>
                <w:szCs w:val="20"/>
              </w:rPr>
              <w:t xml:space="preserve"> · lx</w:t>
            </w:r>
            <w:r>
              <w:rPr>
                <w:sz w:val="20"/>
                <w:szCs w:val="20"/>
                <w:vertAlign w:val="superscript"/>
              </w:rPr>
              <w:t>-1</w:t>
            </w:r>
            <w:r>
              <w:rPr>
                <w:sz w:val="20"/>
                <w:szCs w:val="20"/>
              </w:rPr>
              <w:t>]</w:t>
            </w:r>
          </w:p>
        </w:tc>
        <w:tc>
          <w:tcPr>
            <w:tcW w:w="2126" w:type="dxa"/>
            <w:shd w:val="pct15" w:color="auto" w:fill="auto"/>
            <w:vAlign w:val="center"/>
          </w:tcPr>
          <w:p w:rsidR="0040352A" w:rsidRPr="008766C3" w:rsidRDefault="0040352A" w:rsidP="007E2174">
            <w:pPr>
              <w:ind w:left="0" w:firstLine="0"/>
              <w:rPr>
                <w:rFonts w:cs="Calibri"/>
                <w:sz w:val="20"/>
                <w:szCs w:val="20"/>
              </w:rPr>
            </w:pPr>
            <w:r>
              <w:rPr>
                <w:color w:val="000000"/>
                <w:sz w:val="20"/>
                <w:szCs w:val="20"/>
              </w:rPr>
              <w:t>za vlhka, sklon 2 %</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jc w:val="center"/>
              <w:rPr>
                <w:rFonts w:cs="Calibri"/>
                <w:sz w:val="20"/>
                <w:szCs w:val="20"/>
                <w:vertAlign w:val="superscript"/>
              </w:rPr>
            </w:pPr>
            <w:r>
              <w:rPr>
                <w:sz w:val="20"/>
                <w:szCs w:val="20"/>
                <w:vertAlign w:val="superscript"/>
              </w:rPr>
              <w:t>1)</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gridSpan w:val="2"/>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r>
      <w:tr w:rsidR="0040352A" w:rsidRPr="008766C3" w:rsidTr="007E2174">
        <w:tc>
          <w:tcPr>
            <w:tcW w:w="4077" w:type="dxa"/>
            <w:gridSpan w:val="2"/>
            <w:shd w:val="pct15" w:color="auto" w:fill="auto"/>
            <w:vAlign w:val="center"/>
          </w:tcPr>
          <w:p w:rsidR="0040352A" w:rsidRPr="008766C3" w:rsidRDefault="0040352A" w:rsidP="007E2174">
            <w:pPr>
              <w:ind w:left="0" w:firstLine="0"/>
              <w:rPr>
                <w:rFonts w:cs="Calibri"/>
                <w:sz w:val="20"/>
                <w:szCs w:val="20"/>
              </w:rPr>
            </w:pPr>
            <w:r>
              <w:rPr>
                <w:sz w:val="20"/>
                <w:szCs w:val="20"/>
              </w:rPr>
              <w:t>viditelnost za dne Qd [mcd · m</w:t>
            </w:r>
            <w:r>
              <w:rPr>
                <w:sz w:val="20"/>
                <w:szCs w:val="20"/>
                <w:vertAlign w:val="superscript"/>
              </w:rPr>
              <w:t>-2</w:t>
            </w:r>
            <w:r>
              <w:rPr>
                <w:sz w:val="20"/>
                <w:szCs w:val="20"/>
              </w:rPr>
              <w:t xml:space="preserve"> · lx</w:t>
            </w:r>
            <w:r>
              <w:rPr>
                <w:sz w:val="20"/>
                <w:szCs w:val="20"/>
                <w:vertAlign w:val="superscript"/>
              </w:rPr>
              <w:t>-1</w:t>
            </w:r>
            <w:r>
              <w:rPr>
                <w:sz w:val="20"/>
                <w:szCs w:val="20"/>
              </w:rPr>
              <w:t>]</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jc w:val="center"/>
              <w:rPr>
                <w:rFonts w:cs="Calibri"/>
                <w:sz w:val="20"/>
                <w:szCs w:val="20"/>
              </w:rPr>
            </w:pPr>
            <w:r>
              <w:rPr>
                <w:sz w:val="20"/>
                <w:szCs w:val="20"/>
                <w:vertAlign w:val="superscript"/>
              </w:rPr>
              <w:t>1)</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gridSpan w:val="2"/>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r>
      <w:tr w:rsidR="0040352A" w:rsidRPr="008766C3" w:rsidTr="007E2174">
        <w:tc>
          <w:tcPr>
            <w:tcW w:w="4077" w:type="dxa"/>
            <w:gridSpan w:val="2"/>
            <w:shd w:val="pct15" w:color="auto" w:fill="auto"/>
            <w:vAlign w:val="center"/>
          </w:tcPr>
          <w:p w:rsidR="0040352A" w:rsidRPr="008766C3" w:rsidRDefault="0040352A" w:rsidP="007E2174">
            <w:pPr>
              <w:ind w:left="0" w:firstLine="0"/>
              <w:rPr>
                <w:rFonts w:cs="Calibri"/>
                <w:sz w:val="20"/>
                <w:szCs w:val="20"/>
              </w:rPr>
            </w:pPr>
            <w:r>
              <w:rPr>
                <w:color w:val="000000"/>
                <w:sz w:val="20"/>
                <w:szCs w:val="20"/>
              </w:rPr>
              <w:t>Hodnota norm. barvy - koordináty</w:t>
            </w:r>
          </w:p>
        </w:tc>
        <w:tc>
          <w:tcPr>
            <w:tcW w:w="2605" w:type="dxa"/>
            <w:gridSpan w:val="5"/>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jc w:val="center"/>
              <w:rPr>
                <w:rFonts w:cs="Calibri"/>
                <w:sz w:val="20"/>
                <w:szCs w:val="20"/>
              </w:rPr>
            </w:pPr>
            <w:r>
              <w:rPr>
                <w:sz w:val="20"/>
                <w:szCs w:val="20"/>
              </w:rPr>
              <w:t>x =</w:t>
            </w:r>
          </w:p>
        </w:tc>
        <w:tc>
          <w:tcPr>
            <w:tcW w:w="2606" w:type="dxa"/>
            <w:gridSpan w:val="5"/>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jc w:val="center"/>
              <w:rPr>
                <w:rFonts w:cs="Calibri"/>
                <w:sz w:val="20"/>
                <w:szCs w:val="20"/>
              </w:rPr>
            </w:pPr>
            <w:r>
              <w:rPr>
                <w:sz w:val="20"/>
                <w:szCs w:val="20"/>
              </w:rPr>
              <w:t>y =</w:t>
            </w:r>
          </w:p>
        </w:tc>
      </w:tr>
    </w:tbl>
    <w:p w:rsidR="0040352A" w:rsidRPr="008766C3" w:rsidRDefault="0040352A" w:rsidP="0040352A">
      <w:pPr>
        <w:ind w:left="0" w:firstLine="0"/>
        <w:rPr>
          <w:rFonts w:eastAsia="Times New Roman" w:cs="Calibri"/>
          <w:sz w:val="20"/>
          <w:szCs w:val="20"/>
        </w:rPr>
      </w:pPr>
      <w:r>
        <w:rPr>
          <w:b/>
          <w:bCs/>
          <w:color w:val="000000"/>
          <w:sz w:val="20"/>
          <w:szCs w:val="20"/>
          <w:vertAlign w:val="superscript"/>
        </w:rPr>
        <w:t>1)</w:t>
      </w:r>
      <w:r>
        <w:rPr>
          <w:b/>
          <w:bCs/>
          <w:color w:val="000000"/>
          <w:sz w:val="20"/>
          <w:szCs w:val="20"/>
        </w:rPr>
        <w:t xml:space="preserve"> Tato hodnota slouží výlučně pro informaci zadavatele.</w:t>
      </w:r>
    </w:p>
    <w:p w:rsidR="0040352A" w:rsidRPr="008766C3" w:rsidRDefault="0040352A" w:rsidP="0040352A">
      <w:pPr>
        <w:tabs>
          <w:tab w:val="left" w:pos="567"/>
          <w:tab w:val="left" w:pos="4536"/>
          <w:tab w:val="right" w:leader="underscore" w:pos="5954"/>
        </w:tabs>
        <w:spacing w:after="60"/>
        <w:ind w:left="4536" w:hanging="4252"/>
        <w:rPr>
          <w:rFonts w:cs="Calibri"/>
          <w:lang w:eastAsia="zh-CN"/>
        </w:rPr>
      </w:pPr>
    </w:p>
    <w:p w:rsidR="0040352A" w:rsidRPr="008766C3" w:rsidRDefault="0040352A" w:rsidP="0040352A">
      <w:pPr>
        <w:ind w:left="0" w:firstLine="0"/>
        <w:rPr>
          <w:rFonts w:eastAsia="Times New Roman" w:cs="Calibri"/>
        </w:rPr>
      </w:pPr>
      <w:r>
        <w:rPr>
          <w:color w:val="000000"/>
        </w:rPr>
        <w:t>V pověření</w:t>
      </w:r>
    </w:p>
    <w:p w:rsidR="0040352A" w:rsidRPr="008766C3" w:rsidRDefault="0040352A" w:rsidP="0040352A">
      <w:pPr>
        <w:tabs>
          <w:tab w:val="left" w:pos="567"/>
          <w:tab w:val="left" w:pos="4536"/>
          <w:tab w:val="right" w:leader="underscore" w:pos="5954"/>
        </w:tabs>
        <w:spacing w:after="60"/>
        <w:ind w:left="4536" w:hanging="4252"/>
        <w:rPr>
          <w:rFonts w:cs="Calibri"/>
          <w:lang w:eastAsia="zh-CN"/>
        </w:rPr>
      </w:pPr>
    </w:p>
    <w:p w:rsidR="0040352A" w:rsidRPr="008766C3" w:rsidRDefault="0040352A" w:rsidP="0040352A">
      <w:pPr>
        <w:tabs>
          <w:tab w:val="left" w:leader="underscore" w:pos="2410"/>
        </w:tabs>
        <w:spacing w:after="60"/>
        <w:ind w:left="0" w:firstLine="0"/>
        <w:rPr>
          <w:rFonts w:cs="Calibri"/>
          <w:color w:val="000000"/>
          <w:sz w:val="20"/>
          <w:szCs w:val="20"/>
        </w:rPr>
      </w:pPr>
      <w:r>
        <w:rPr>
          <w:color w:val="000000"/>
          <w:sz w:val="20"/>
          <w:szCs w:val="20"/>
        </w:rPr>
        <w:tab/>
      </w:r>
    </w:p>
    <w:p w:rsidR="0040352A" w:rsidRPr="008766C3" w:rsidRDefault="0040352A" w:rsidP="0040352A">
      <w:pPr>
        <w:spacing w:after="60"/>
        <w:ind w:left="0" w:firstLine="0"/>
        <w:rPr>
          <w:rFonts w:eastAsia="Times New Roman" w:cs="Calibri"/>
          <w:sz w:val="20"/>
          <w:szCs w:val="20"/>
        </w:rPr>
      </w:pPr>
      <w:r>
        <w:rPr>
          <w:color w:val="000000"/>
          <w:sz w:val="20"/>
          <w:szCs w:val="20"/>
        </w:rPr>
        <w:t>jméno, funkce</w:t>
      </w:r>
    </w:p>
    <w:p w:rsidR="0040352A" w:rsidRDefault="0040352A" w:rsidP="0040352A">
      <w:pPr>
        <w:spacing w:after="60"/>
        <w:ind w:left="0" w:firstLine="0"/>
        <w:rPr>
          <w:rFonts w:cs="Calibri"/>
          <w:lang w:eastAsia="zh-CN"/>
        </w:rPr>
      </w:pPr>
    </w:p>
    <w:p w:rsidR="0040352A" w:rsidRPr="008766C3" w:rsidRDefault="0040352A" w:rsidP="0040352A">
      <w:pPr>
        <w:spacing w:after="60"/>
        <w:ind w:left="0" w:firstLine="0"/>
        <w:rPr>
          <w:rFonts w:cs="Calibri"/>
        </w:rPr>
      </w:pPr>
      <w:r>
        <w:lastRenderedPageBreak/>
        <w:t>Strana 1</w:t>
      </w:r>
    </w:p>
    <w:p w:rsidR="00B521EE" w:rsidRPr="003A38BA" w:rsidRDefault="00B521EE" w:rsidP="003E3497">
      <w:pPr>
        <w:pStyle w:val="Heading1"/>
        <w:pageBreakBefore/>
        <w:ind w:left="0" w:firstLine="0"/>
        <w:jc w:val="both"/>
        <w:rPr>
          <w:sz w:val="24"/>
          <w:szCs w:val="24"/>
        </w:rPr>
      </w:pPr>
      <w:bookmarkStart w:id="147" w:name="_Toc150173029"/>
      <w:bookmarkStart w:id="148" w:name="_Toc273346590"/>
      <w:bookmarkStart w:id="149" w:name="_Toc12476278"/>
      <w:r>
        <w:rPr>
          <w:sz w:val="24"/>
          <w:szCs w:val="24"/>
        </w:rPr>
        <w:lastRenderedPageBreak/>
        <w:t>Příloha</w:t>
      </w:r>
      <w:bookmarkEnd w:id="147"/>
      <w:bookmarkEnd w:id="148"/>
      <w:r w:rsidR="000519AF">
        <w:rPr>
          <w:sz w:val="24"/>
          <w:szCs w:val="24"/>
        </w:rPr>
        <w:t xml:space="preserve"> </w:t>
      </w:r>
      <w:r>
        <w:rPr>
          <w:sz w:val="24"/>
          <w:szCs w:val="24"/>
        </w:rPr>
        <w:t>B</w:t>
      </w:r>
      <w:bookmarkEnd w:id="149"/>
    </w:p>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 xml:space="preserve">VOC - seznamy </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4536"/>
        <w:gridCol w:w="1418"/>
        <w:gridCol w:w="1559"/>
        <w:gridCol w:w="1276"/>
      </w:tblGrid>
      <w:tr w:rsidR="00536458" w:rsidRPr="003A38BA" w:rsidTr="00276C32">
        <w:trPr>
          <w:cantSplit/>
          <w:tblHeader/>
        </w:trPr>
        <w:tc>
          <w:tcPr>
            <w:tcW w:w="779" w:type="dxa"/>
            <w:shd w:val="pct25" w:color="auto" w:fill="FFFFFF"/>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Poř. č.</w:t>
            </w:r>
          </w:p>
        </w:tc>
        <w:tc>
          <w:tcPr>
            <w:tcW w:w="4536" w:type="dxa"/>
            <w:shd w:val="pct25" w:color="auto" w:fill="FFFFFF"/>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látka/skupina látek</w:t>
            </w:r>
          </w:p>
        </w:tc>
        <w:tc>
          <w:tcPr>
            <w:tcW w:w="1418" w:type="dxa"/>
            <w:shd w:val="pct25" w:color="auto" w:fill="FFFFFF"/>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číslo CAS</w:t>
            </w:r>
          </w:p>
        </w:tc>
        <w:tc>
          <w:tcPr>
            <w:tcW w:w="1559" w:type="dxa"/>
            <w:tcBorders>
              <w:bottom w:val="nil"/>
            </w:tcBorders>
            <w:shd w:val="pct25" w:color="auto" w:fill="FFFFFF"/>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index - číslo</w:t>
            </w:r>
          </w:p>
        </w:tc>
        <w:tc>
          <w:tcPr>
            <w:tcW w:w="1276" w:type="dxa"/>
            <w:tcBorders>
              <w:bottom w:val="nil"/>
            </w:tcBorders>
            <w:shd w:val="pct25" w:color="auto" w:fill="FFFFFF"/>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číslo EC</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01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aceton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67-64-1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606-001-00-8</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200-662-2</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03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benzol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71-43-2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601-020-00-8</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200-753-7</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04</w:t>
            </w:r>
          </w:p>
        </w:tc>
        <w:tc>
          <w:tcPr>
            <w:tcW w:w="4536" w:type="dxa"/>
            <w:vAlign w:val="center"/>
          </w:tcPr>
          <w:p w:rsidR="00536458" w:rsidRPr="003A38BA" w:rsidRDefault="00536458" w:rsidP="00853381">
            <w:pPr>
              <w:pStyle w:val="Tablefootnote"/>
              <w:tabs>
                <w:tab w:val="clear" w:pos="340"/>
                <w:tab w:val="left" w:pos="0"/>
              </w:tabs>
              <w:rPr>
                <w:rFonts w:asciiTheme="minorHAnsi" w:hAnsiTheme="minorHAnsi" w:cs="Arial"/>
                <w:sz w:val="22"/>
                <w:szCs w:val="22"/>
              </w:rPr>
            </w:pPr>
            <w:bookmarkStart w:id="150" w:name="_Toc403984708"/>
            <w:bookmarkStart w:id="151" w:name="_Toc452377833"/>
            <w:bookmarkStart w:id="152" w:name="_Toc475367432"/>
            <w:bookmarkStart w:id="153" w:name="_Toc514062858"/>
            <w:r>
              <w:rPr>
                <w:rFonts w:asciiTheme="minorHAnsi" w:hAnsiTheme="minorHAnsi"/>
                <w:sz w:val="22"/>
                <w:szCs w:val="22"/>
              </w:rPr>
              <w:t>bis(2-ethoxyethyl)ether</w:t>
            </w:r>
            <w:bookmarkEnd w:id="150"/>
            <w:bookmarkEnd w:id="151"/>
            <w:bookmarkEnd w:id="152"/>
            <w:bookmarkEnd w:id="153"/>
          </w:p>
          <w:p w:rsidR="00536458" w:rsidRPr="003A38BA" w:rsidRDefault="00536458" w:rsidP="00853381">
            <w:pPr>
              <w:pStyle w:val="Tablefootnote"/>
              <w:tabs>
                <w:tab w:val="clear" w:pos="340"/>
                <w:tab w:val="left" w:pos="0"/>
              </w:tabs>
              <w:rPr>
                <w:rFonts w:asciiTheme="minorHAnsi" w:hAnsiTheme="minorHAnsi" w:cs="Arial"/>
                <w:sz w:val="22"/>
                <w:szCs w:val="22"/>
              </w:rPr>
            </w:pPr>
            <w:bookmarkStart w:id="154" w:name="_Toc403984709"/>
            <w:bookmarkStart w:id="155" w:name="_Toc452377834"/>
            <w:bookmarkStart w:id="156" w:name="_Toc475367433"/>
            <w:bookmarkStart w:id="157" w:name="_Toc514062859"/>
            <w:r>
              <w:rPr>
                <w:rFonts w:asciiTheme="minorHAnsi" w:hAnsiTheme="minorHAnsi"/>
                <w:sz w:val="22"/>
                <w:szCs w:val="22"/>
              </w:rPr>
              <w:t>(diethylenglykoldimethylether, dimethylglykol)</w:t>
            </w:r>
            <w:bookmarkEnd w:id="154"/>
            <w:bookmarkEnd w:id="155"/>
            <w:bookmarkEnd w:id="156"/>
            <w:bookmarkEnd w:id="157"/>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111-96-6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05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butan-1-ol (n-butylalkohol)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71-36-3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603-004-00-6</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200-751-6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06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butan-2-ol (sec-butylalkohol)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78-92-2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603-127-00-5</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201-158-5</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07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2-n-butoxyethanol (ethylenglykolmonobutylether, butylglykol)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111-76-2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603-014-00-0</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203-905-0</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08</w:t>
            </w:r>
          </w:p>
        </w:tc>
        <w:tc>
          <w:tcPr>
            <w:tcW w:w="4536" w:type="dxa"/>
            <w:vAlign w:val="center"/>
          </w:tcPr>
          <w:p w:rsidR="00536458" w:rsidRPr="003A38BA" w:rsidRDefault="00536458" w:rsidP="00853381">
            <w:pPr>
              <w:pStyle w:val="Tablefootnote"/>
              <w:tabs>
                <w:tab w:val="clear" w:pos="340"/>
                <w:tab w:val="left" w:pos="0"/>
              </w:tabs>
              <w:rPr>
                <w:rFonts w:asciiTheme="minorHAnsi" w:hAnsiTheme="minorHAnsi" w:cs="Arial"/>
                <w:sz w:val="22"/>
                <w:szCs w:val="22"/>
              </w:rPr>
            </w:pPr>
            <w:bookmarkStart w:id="158" w:name="_Toc403984710"/>
            <w:bookmarkStart w:id="159" w:name="_Toc452377835"/>
            <w:bookmarkStart w:id="160" w:name="_Toc475367434"/>
            <w:bookmarkStart w:id="161" w:name="_Toc514062860"/>
            <w:r>
              <w:rPr>
                <w:rFonts w:asciiTheme="minorHAnsi" w:hAnsiTheme="minorHAnsi"/>
                <w:sz w:val="22"/>
                <w:szCs w:val="22"/>
              </w:rPr>
              <w:t>2-(2-n-butoxyethoxy)ethanol (diethylenglykolmonobutylether, butyldiglykol)</w:t>
            </w:r>
            <w:bookmarkEnd w:id="158"/>
            <w:bookmarkEnd w:id="159"/>
            <w:bookmarkEnd w:id="160"/>
            <w:bookmarkEnd w:id="161"/>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112-34-5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603-096-00-8</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203-961-6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09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2-n-butoxyethylacetát (ethylenglykolmonobutyletheracetát, butylglykolacetát)</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112-07-2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607-038-00-2</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203-933-3</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butoxypropanoly (izomerní směsi)</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různé</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1-n-butoxypropan-2-ol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5131-66-8</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603-052-00-8</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225-878-4</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1-tert-butoxypropan-2-ol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57018-52-7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603-129-00-6</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406-180-0</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n-butylacetát</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123-86-4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607-025-00-1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204-658-1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sec butylacetát</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105-46-4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607-026-00-7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203-300-1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tert. butylacetát</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540-88-5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607-026-00-7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208-760-7</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4-butyrolacton (tetrahydro-2-furanon)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96-48-0</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cumol (izopropylbenzol)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98-82-8</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601-024-00-X</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202-704-5</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18</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cyklohexan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110-82-7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601-017-00-1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203-806-2</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p-cymol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99-87-6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dichlormethan (methylenchlorid)</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75-09-2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602-004-00-3</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200-838-9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1,2-dioxyethan (ethylenglykoldiethylether, diethylglykol)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629-14-1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diethylether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60-29-7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603-022-00-4</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200-467-2</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diizopropylether (2-izopropoxypropan)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108-20-3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603-045-00-X</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203-560-6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1,1-dimethoxyethan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534-15-6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605-007-00-8</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534-15-6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1,2-dimethoxyethan (ethylenglykoldimethylether, dimethylglykol)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110-71-4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603-031-003</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203-794-9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dimethylether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115-10-6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603-019-00-8</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204-065-8</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1,4-dioxan (diethylendioxid)</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123-91-1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603-024-00-5</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204-661-8</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28</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di-n-propylether (propylether)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111-43-3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603-045-00-X</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203-869-6</w:t>
            </w:r>
          </w:p>
        </w:tc>
      </w:tr>
      <w:tr w:rsidR="00536458" w:rsidRPr="003A38BA" w:rsidTr="003E3497">
        <w:trPr>
          <w:cantSplit/>
        </w:trPr>
        <w:tc>
          <w:tcPr>
            <w:tcW w:w="779" w:type="dxa"/>
            <w:tcBorders>
              <w:bottom w:val="single" w:sz="4" w:space="0" w:color="auto"/>
            </w:tcBorders>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lastRenderedPageBreak/>
              <w:t>29</w:t>
            </w:r>
          </w:p>
        </w:tc>
        <w:tc>
          <w:tcPr>
            <w:tcW w:w="4536" w:type="dxa"/>
            <w:tcBorders>
              <w:bottom w:val="single" w:sz="4" w:space="0" w:color="auto"/>
            </w:tcBorders>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kyselina octová</w:t>
            </w:r>
          </w:p>
        </w:tc>
        <w:tc>
          <w:tcPr>
            <w:tcW w:w="1418" w:type="dxa"/>
            <w:tcBorders>
              <w:bottom w:val="single" w:sz="4" w:space="0" w:color="auto"/>
            </w:tcBorders>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64-19-7</w:t>
            </w:r>
          </w:p>
        </w:tc>
        <w:tc>
          <w:tcPr>
            <w:tcW w:w="1559" w:type="dxa"/>
            <w:tcBorders>
              <w:bottom w:val="single" w:sz="4" w:space="0" w:color="auto"/>
            </w:tcBorders>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607-002-00-6</w:t>
            </w:r>
          </w:p>
        </w:tc>
        <w:tc>
          <w:tcPr>
            <w:tcW w:w="1276" w:type="dxa"/>
            <w:tcBorders>
              <w:bottom w:val="single" w:sz="4" w:space="0" w:color="auto"/>
            </w:tcBorders>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200-580-7</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30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anhydrid kyseliny octové</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108-24-7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607-008-00-9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203-564-8</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31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 xml:space="preserve">etanol </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64-17-5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603-002-00-5</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200-578-6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32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2-ethoxyethanol (ethylenglykolmonoethylether, ethylglykol)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110-80-5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603-012-00-X</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203-804-1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33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1-ethoxypropan-2-ol (propylenglykolmonoethylether)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středa 04.02.1569</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34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ethylacetát</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141-78-6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607-022-00-5</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205-500-4</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35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ethylbenzol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100-41-4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601-023-00-4</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202-849-4</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36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ethylformiát</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109-94-4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607-015-00-7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203-721-0</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38</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heptan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147-82-5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601-008-00-2</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205-563-8</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39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n-hexan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110-54-3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601-037-00-0</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203-777-6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40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hexan (izomerní směs)</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92112-69-1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601-007-00-7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295-570-2</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41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hexan-1-ol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111-27-3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603-059-00-6</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203-852-3</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42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izobutylacetát</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110-19-0</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607-026-00-7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203-745-1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43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izopropylacetát</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108-21-4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607-024-00-6</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203-561-1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44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methanol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67-56-1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603-001-00-X</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200-659-6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45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1-methoxy-2-propylacetát (propylenglykolmonomethyletheracetát)</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108-65-6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46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2-methoxyethanol (ethylenglykolmonomethylether, methylglykol)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109-86-4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603-011-00-4</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203-713-7</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47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2-methoxyethylacetát (methylglykolacetát)</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110-49-6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607-036-00-1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203-772-9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48</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1-methoxypropan-2-ol (propylenglykolmonomethylether)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107-98-2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49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methylacetát</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79-20-9</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607-021-00-X</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201-185-2</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2-methylbutan (i-pentan)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78-78-4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601-006-00-1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201-142-8</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methylcyklohexan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108-87-2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601-018-00-7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203-624-3</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methylethylketon (2-butanon, MEK)</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78-93-3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606-002-00-3</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201-159-0</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 xml:space="preserve">methylformiát </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107-31-3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607-014-00-1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203-481-7</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2-methylpentan (i-hexan)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107-83-5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203-523-4</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4-methylpentan-2-on (methylizobutylketon, MIBK)</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108-10-1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606-004-00-4</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203-550-1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2-methylpropan (izobutan)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75-28-5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n-pentan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109-66-0</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601-006-00-1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203-692-4</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2-methylpropan-1-ol (izobutanol)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78-83-1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603-108-00-1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201-148-0</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58</w:t>
            </w:r>
          </w:p>
        </w:tc>
        <w:tc>
          <w:tcPr>
            <w:tcW w:w="4536" w:type="dxa"/>
            <w:vAlign w:val="center"/>
          </w:tcPr>
          <w:p w:rsidR="00536458" w:rsidRPr="003A38BA" w:rsidRDefault="00536458" w:rsidP="00853381">
            <w:pPr>
              <w:pStyle w:val="Tablefootnote"/>
              <w:tabs>
                <w:tab w:val="clear" w:pos="340"/>
                <w:tab w:val="left" w:pos="0"/>
              </w:tabs>
              <w:rPr>
                <w:rFonts w:asciiTheme="minorHAnsi" w:hAnsiTheme="minorHAnsi" w:cs="Arial"/>
                <w:sz w:val="22"/>
                <w:szCs w:val="22"/>
              </w:rPr>
            </w:pPr>
            <w:r>
              <w:rPr>
                <w:rFonts w:asciiTheme="minorHAnsi" w:hAnsiTheme="minorHAnsi"/>
                <w:sz w:val="22"/>
                <w:szCs w:val="22"/>
              </w:rPr>
              <w:t>n-methyl-2-pyrrolidon (1-methyl-2-pyrrolidinon)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872-50-4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606-021-00-7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212-828-1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lastRenderedPageBreak/>
              <w:t>60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pentan-1-ol (n-amylalkohol)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71-41-0</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603-006-00-7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200-752-1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pentan-2-ol (sek. amylalkohol)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6032-29-7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603-006-00-7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227-907-6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pentanoly (izomerní směsi)</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různé</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petrolether + benzíny (hlavně nearomatické uhlovod. směsi)</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různé</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petrolej (hlavně nearomatické uhlovod. směsi) frakce s bodem varu do 240 °C při 1013,25 mbar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různé</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propan-1-ol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71-23-8</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603-003-00-0</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200-746-9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propan-2-ol (izopropylalkohol, izopropanol)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67-63-0</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603-117-00-0</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200-661-7</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2-(propyloxy)ethanol (ethylenglykolmonopropylether, propylglykol)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2807-30-9</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603-095-00-2</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220-548-6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68</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 xml:space="preserve">n-propylacetát </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109-60-4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607-024-00-6</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203-686-1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styrol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100-42-5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601-026-00-0</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202-851-5</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tetrachlorethen (perchlorethylen, PER)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127-18-4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602-028-00-4</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204-825-9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tetrahydrofuran (oxolan)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109-99-9</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603-025-00-0</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203-726-8</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 xml:space="preserve">toluen </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108-88-3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601-021-00-3</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203-625-9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trichlorethen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79-01-6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602-027-00-9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201-167-4</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 xml:space="preserve">1,2,3-trimethylbenzol </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526-73-8</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1,2,4-trimethylbenzol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95-63-6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601-043-00-3</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202-436-9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1,3,5-trimethylbenzol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108-67-8</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trimethylbenzoly (izomerní směsi)</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různé</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lakové benzíny (hlavně nearomatické uhlovod. směsi)</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různé</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78</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o-xylol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95-47-6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601-022-00-9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202-422-2</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m-xylol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108-38-3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601-022-00-9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203-576-3</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80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p-xylol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106-42-3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601-022-00-9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203-396-5</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81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xyloly (izomerní směsi)</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1330-20-7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601-022-00-9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215-535-7</w:t>
            </w:r>
          </w:p>
        </w:tc>
      </w:tr>
    </w:tbl>
    <w:p w:rsidR="00536458" w:rsidRPr="003A38BA" w:rsidRDefault="00536458" w:rsidP="00536458">
      <w:pPr>
        <w:pStyle w:val="Tablefootnote"/>
        <w:ind w:left="340" w:hanging="340"/>
        <w:rPr>
          <w:rFonts w:asciiTheme="minorHAnsi" w:hAnsiTheme="minorHAnsi" w:cs="Arial"/>
          <w:sz w:val="22"/>
          <w:szCs w:val="22"/>
        </w:rPr>
      </w:pPr>
    </w:p>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Následující směsi substancí se skládají z malého počtu jednotlivých vazeb, které zpravidla mohou být také zachyceny jednotlivě.</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4536"/>
        <w:gridCol w:w="1418"/>
        <w:gridCol w:w="1559"/>
        <w:gridCol w:w="1276"/>
      </w:tblGrid>
      <w:tr w:rsidR="00536458" w:rsidRPr="003A38BA" w:rsidTr="00536458">
        <w:trPr>
          <w:cantSplit/>
        </w:trPr>
        <w:tc>
          <w:tcPr>
            <w:tcW w:w="779" w:type="dxa"/>
            <w:shd w:val="pct25" w:color="auto" w:fill="FFFFFF"/>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Poř. č.</w:t>
            </w:r>
          </w:p>
        </w:tc>
        <w:tc>
          <w:tcPr>
            <w:tcW w:w="4536" w:type="dxa"/>
            <w:shd w:val="pct25" w:color="auto" w:fill="FFFFFF"/>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látka/skupina látek</w:t>
            </w:r>
          </w:p>
        </w:tc>
        <w:tc>
          <w:tcPr>
            <w:tcW w:w="1418" w:type="dxa"/>
            <w:shd w:val="pct25" w:color="auto" w:fill="FFFFFF"/>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číslo CAS</w:t>
            </w:r>
          </w:p>
        </w:tc>
        <w:tc>
          <w:tcPr>
            <w:tcW w:w="1559" w:type="dxa"/>
            <w:tcBorders>
              <w:bottom w:val="nil"/>
            </w:tcBorders>
            <w:shd w:val="pct25" w:color="auto" w:fill="FFFFFF"/>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index - číslo</w:t>
            </w:r>
          </w:p>
        </w:tc>
        <w:tc>
          <w:tcPr>
            <w:tcW w:w="1276" w:type="dxa"/>
            <w:tcBorders>
              <w:bottom w:val="nil"/>
            </w:tcBorders>
            <w:shd w:val="pct25" w:color="auto" w:fill="FFFFFF"/>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číslo EC</w:t>
            </w:r>
          </w:p>
        </w:tc>
      </w:tr>
      <w:tr w:rsidR="00536458" w:rsidRPr="003A38BA" w:rsidTr="00536458">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76</w:t>
            </w:r>
          </w:p>
        </w:tc>
        <w:tc>
          <w:tcPr>
            <w:tcW w:w="453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trimethylbenzoly (izomerní směsi)</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různé</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536458">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81</w:t>
            </w:r>
          </w:p>
        </w:tc>
        <w:tc>
          <w:tcPr>
            <w:tcW w:w="453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xyloly (izomerní směsi)</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1330-20-7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601-022-00-9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215-535-7</w:t>
            </w:r>
          </w:p>
        </w:tc>
      </w:tr>
    </w:tbl>
    <w:p w:rsidR="00F653D9" w:rsidRPr="003A38BA" w:rsidRDefault="00B1266C" w:rsidP="007C21AF">
      <w:pPr>
        <w:pStyle w:val="Heading1"/>
        <w:pageBreakBefore/>
        <w:ind w:left="0" w:firstLine="0"/>
        <w:jc w:val="both"/>
        <w:rPr>
          <w:sz w:val="24"/>
          <w:szCs w:val="24"/>
        </w:rPr>
      </w:pPr>
      <w:bookmarkStart w:id="162" w:name="_Toc12476279"/>
      <w:r>
        <w:rPr>
          <w:sz w:val="24"/>
          <w:szCs w:val="24"/>
        </w:rPr>
        <w:lastRenderedPageBreak/>
        <w:t>Příloha C</w:t>
      </w:r>
      <w:bookmarkEnd w:id="162"/>
    </w:p>
    <w:p w:rsidR="00B1266C" w:rsidRPr="003A38BA" w:rsidRDefault="00B1266C" w:rsidP="007C21AF">
      <w:pPr>
        <w:pStyle w:val="Title"/>
        <w:jc w:val="both"/>
        <w:rPr>
          <w:rFonts w:asciiTheme="minorHAnsi" w:hAnsiTheme="minorHAnsi"/>
        </w:rPr>
      </w:pPr>
      <w:r>
        <w:rPr>
          <w:rFonts w:asciiTheme="minorHAnsi" w:hAnsiTheme="minorHAnsi"/>
        </w:rPr>
        <w:t>Zajištění kvality posypových prostředků pro systémy značení a premix. termoplastových systémů</w:t>
      </w:r>
    </w:p>
    <w:p w:rsidR="00B1266C" w:rsidRPr="003A38BA" w:rsidRDefault="00B1266C" w:rsidP="007C21AF">
      <w:pPr>
        <w:pStyle w:val="Tablefootnote"/>
        <w:tabs>
          <w:tab w:val="clear" w:pos="340"/>
          <w:tab w:val="left" w:pos="0"/>
        </w:tabs>
        <w:rPr>
          <w:rFonts w:asciiTheme="minorHAnsi" w:hAnsiTheme="minorHAnsi" w:cs="Arial"/>
          <w:sz w:val="24"/>
          <w:szCs w:val="24"/>
        </w:rPr>
      </w:pPr>
    </w:p>
    <w:p w:rsidR="00B1266C" w:rsidRPr="003A38BA" w:rsidRDefault="00B1266C" w:rsidP="007C21AF">
      <w:pPr>
        <w:pStyle w:val="Tablefootnote"/>
        <w:tabs>
          <w:tab w:val="clear" w:pos="340"/>
          <w:tab w:val="left" w:pos="0"/>
        </w:tabs>
        <w:rPr>
          <w:rFonts w:asciiTheme="minorHAnsi" w:hAnsiTheme="minorHAnsi" w:cs="Arial"/>
          <w:sz w:val="24"/>
          <w:szCs w:val="24"/>
        </w:rPr>
      </w:pPr>
      <w:r>
        <w:rPr>
          <w:rFonts w:asciiTheme="minorHAnsi" w:hAnsiTheme="minorHAnsi"/>
          <w:sz w:val="24"/>
          <w:szCs w:val="24"/>
        </w:rPr>
        <w:t>Pro zajištění kvality posypových prostředků a premix. termoplastických systémů jsou stanoveny následující parametry na zkoušku původních vzorků směsí posypů pro systémy značení a premix. termoplastových systémů</w:t>
      </w:r>
      <w:r w:rsidR="005C6B21" w:rsidRPr="003A38BA">
        <w:rPr>
          <w:rStyle w:val="FootnoteReference"/>
          <w:rFonts w:asciiTheme="minorHAnsi" w:hAnsiTheme="minorHAnsi" w:cs="Arial"/>
          <w:sz w:val="24"/>
          <w:szCs w:val="24"/>
        </w:rPr>
        <w:footnoteReference w:id="5"/>
      </w:r>
      <w:r>
        <w:rPr>
          <w:rFonts w:asciiTheme="minorHAnsi" w:hAnsiTheme="minorHAnsi"/>
          <w:sz w:val="24"/>
          <w:szCs w:val="24"/>
        </w:rPr>
        <w:t>:</w:t>
      </w:r>
    </w:p>
    <w:p w:rsidR="00B1266C" w:rsidRPr="003A38BA" w:rsidRDefault="00B1266C" w:rsidP="007C21AF">
      <w:pPr>
        <w:jc w:val="both"/>
        <w:rPr>
          <w:snapToGrid w:val="0"/>
          <w:sz w:val="24"/>
        </w:rPr>
      </w:pPr>
    </w:p>
    <w:p w:rsidR="00B1266C" w:rsidRPr="003A38BA" w:rsidRDefault="00B1266C" w:rsidP="007C21AF">
      <w:pPr>
        <w:numPr>
          <w:ilvl w:val="0"/>
          <w:numId w:val="11"/>
        </w:numPr>
        <w:jc w:val="both"/>
        <w:rPr>
          <w:snapToGrid w:val="0"/>
          <w:sz w:val="24"/>
        </w:rPr>
      </w:pPr>
      <w:r>
        <w:rPr>
          <w:snapToGrid w:val="0"/>
          <w:sz w:val="24"/>
        </w:rPr>
        <w:t xml:space="preserve">Síta, která je nutno použít, aby se stanovila linie diagramu síta je nutno vzít z normy DIN EN 1423 v ISO 565 – rozměry R40/3. U směsí posypů má být zachyceno na vždy rozměrově nejbližším sítu podle ISO 565 – rozměry R40/3 - pod vyšším jmenovitým sítem minimálně 5 % (kumulativně) reflexních perel. </w:t>
      </w:r>
    </w:p>
    <w:p w:rsidR="00B1266C" w:rsidRPr="003A38BA" w:rsidRDefault="00B1266C" w:rsidP="007C21AF">
      <w:pPr>
        <w:jc w:val="both"/>
        <w:rPr>
          <w:snapToGrid w:val="0"/>
          <w:sz w:val="24"/>
        </w:rPr>
      </w:pPr>
    </w:p>
    <w:p w:rsidR="00B1266C" w:rsidRPr="003A38BA" w:rsidRDefault="00B1266C" w:rsidP="00276C32">
      <w:pPr>
        <w:pStyle w:val="BodyTextIndent"/>
        <w:ind w:left="357" w:firstLine="0"/>
        <w:jc w:val="both"/>
      </w:pPr>
      <w:r>
        <w:rPr>
          <w:snapToGrid w:val="0"/>
          <w:sz w:val="24"/>
        </w:rPr>
        <w:t>Tímto má být zaručeno, aby ve směsích posypu bylo k dispozici dostatečné množství větších reflexních perel pro zajištění dostatečné zpětné reflexe</w:t>
      </w:r>
      <w:r>
        <w:t xml:space="preserve">. </w:t>
      </w:r>
    </w:p>
    <w:p w:rsidR="00B1266C" w:rsidRPr="003A38BA" w:rsidRDefault="00B1266C" w:rsidP="007C21AF">
      <w:pPr>
        <w:jc w:val="both"/>
        <w:rPr>
          <w:snapToGrid w:val="0"/>
          <w:sz w:val="24"/>
        </w:rPr>
      </w:pPr>
    </w:p>
    <w:p w:rsidR="00B1266C" w:rsidRPr="003A38BA" w:rsidRDefault="00B1266C" w:rsidP="007C21AF">
      <w:pPr>
        <w:numPr>
          <w:ilvl w:val="0"/>
          <w:numId w:val="11"/>
        </w:numPr>
        <w:jc w:val="both"/>
        <w:rPr>
          <w:snapToGrid w:val="0"/>
          <w:sz w:val="24"/>
        </w:rPr>
      </w:pPr>
      <w:r>
        <w:rPr>
          <w:snapToGrid w:val="0"/>
          <w:sz w:val="24"/>
        </w:rPr>
        <w:t xml:space="preserve">Křivka síta zjištěná při zkoušce způsobilosti prostřednictvím akreditované laboratoře pomocí zařízení Camsizer, která se týká směsi posypu, je uloženo jako původní vzorek, pokud žadatel / dodavatel posypu nemůže dodat vlastní křivku zrnitosti zařízení Camsitzer. Přípustná tolerance jednotlivého rezidua na každém sítu podle uvedené specifikace bude do budoucna činit ± 50 % rel. Hodnota uvedená jako 1. - min. 5 % reflexních perel, musí být zásadně dodržena, tzn. 5 % musí být splněno také po zohlednění tolerance 50 % z jednotlivého rezidua na odpovídajícím sítu. </w:t>
      </w:r>
    </w:p>
    <w:p w:rsidR="00B1266C" w:rsidRPr="003A38BA" w:rsidRDefault="00B1266C" w:rsidP="007C21AF">
      <w:pPr>
        <w:jc w:val="both"/>
        <w:rPr>
          <w:snapToGrid w:val="0"/>
          <w:sz w:val="24"/>
        </w:rPr>
      </w:pPr>
    </w:p>
    <w:p w:rsidR="00B1266C" w:rsidRPr="003A38BA" w:rsidRDefault="00B1266C" w:rsidP="007C21AF">
      <w:pPr>
        <w:ind w:left="360" w:firstLine="0"/>
        <w:jc w:val="both"/>
        <w:rPr>
          <w:snapToGrid w:val="0"/>
          <w:sz w:val="24"/>
        </w:rPr>
      </w:pPr>
      <w:r>
        <w:rPr>
          <w:snapToGrid w:val="0"/>
          <w:sz w:val="24"/>
        </w:rPr>
        <w:t xml:space="preserve">Příklad: Bylo-li na sítu o velikosti 500 μm při zkoušce způsobilosti zjištěno 30 g jako reziduum, pak toleranční rozsah činí 15 g až 45 g. Tím má být zajištěno, aby směsi posypů dodávané v praxi souhlasily se směsmi dodávanými do zkušební laboratoře ke zkoušce způsobilosti v rámci udávaných mezí. </w:t>
      </w:r>
    </w:p>
    <w:p w:rsidR="00B1266C" w:rsidRPr="003A38BA" w:rsidRDefault="00B1266C" w:rsidP="007C21AF">
      <w:pPr>
        <w:jc w:val="both"/>
        <w:rPr>
          <w:snapToGrid w:val="0"/>
          <w:sz w:val="24"/>
        </w:rPr>
      </w:pPr>
    </w:p>
    <w:p w:rsidR="00B1266C" w:rsidRPr="003A38BA" w:rsidRDefault="00B1266C" w:rsidP="007C21AF">
      <w:pPr>
        <w:numPr>
          <w:ilvl w:val="0"/>
          <w:numId w:val="11"/>
        </w:numPr>
        <w:jc w:val="both"/>
        <w:rPr>
          <w:snapToGrid w:val="0"/>
          <w:sz w:val="24"/>
        </w:rPr>
      </w:pPr>
      <w:r>
        <w:rPr>
          <w:snapToGrid w:val="0"/>
          <w:sz w:val="24"/>
        </w:rPr>
        <w:t xml:space="preserve">Pro odběr vzorku při zkoušce způsobilosti platí, že výrobce je sám odpovědný za to, aby do akreditované zkušební laboratoře doručil reprezentativní vzorek. Posyp dodávaný výrobci ke zkoušce způsobilosti, např. ve 25kilogramové nádobě, je prostřednictvím dělení 1/1 rozdělen do objemů nutných pro zkoušku. </w:t>
      </w:r>
    </w:p>
    <w:p w:rsidR="00B1266C" w:rsidRPr="003A38BA" w:rsidRDefault="00B1266C" w:rsidP="007C21AF">
      <w:pPr>
        <w:jc w:val="both"/>
        <w:rPr>
          <w:snapToGrid w:val="0"/>
          <w:sz w:val="24"/>
        </w:rPr>
      </w:pPr>
    </w:p>
    <w:p w:rsidR="00B1266C" w:rsidRPr="003A38BA" w:rsidRDefault="00B1266C" w:rsidP="007C21AF">
      <w:pPr>
        <w:numPr>
          <w:ilvl w:val="0"/>
          <w:numId w:val="11"/>
        </w:numPr>
        <w:jc w:val="both"/>
        <w:rPr>
          <w:snapToGrid w:val="0"/>
          <w:sz w:val="24"/>
        </w:rPr>
      </w:pPr>
      <w:r>
        <w:rPr>
          <w:snapToGrid w:val="0"/>
          <w:sz w:val="24"/>
        </w:rPr>
        <w:t>V obchodních názvech posypových prostředků smí být udávána pouze skutečná existující křivka síta.</w:t>
      </w:r>
    </w:p>
    <w:sectPr w:rsidR="00B1266C" w:rsidRPr="003A38BA" w:rsidSect="00E6359B">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819" w:rsidRDefault="00433819" w:rsidP="006D5959">
      <w:r>
        <w:separator/>
      </w:r>
    </w:p>
  </w:endnote>
  <w:endnote w:type="continuationSeparator" w:id="0">
    <w:p w:rsidR="00433819" w:rsidRDefault="00433819" w:rsidP="006D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8BA" w:rsidRDefault="003A38BA">
    <w:pPr>
      <w:tabs>
        <w:tab w:val="left" w:pos="3686"/>
      </w:tabs>
      <w:ind w:right="360"/>
      <w:rPr>
        <w:sz w:val="24"/>
      </w:rPr>
    </w:pPr>
    <w:r>
      <w:rPr>
        <w:sz w:val="24"/>
      </w:rPr>
      <w:fldChar w:fldCharType="begin"/>
    </w:r>
    <w:r>
      <w:rPr>
        <w:sz w:val="24"/>
      </w:rPr>
      <w:instrText xml:space="preserve"> PAGE </w:instrText>
    </w:r>
    <w:r>
      <w:rPr>
        <w:sz w:val="24"/>
      </w:rPr>
      <w:fldChar w:fldCharType="separate"/>
    </w:r>
    <w:r w:rsidR="00060E75">
      <w:rPr>
        <w:noProof/>
        <w:sz w:val="24"/>
      </w:rPr>
      <w:t>XXIV</w:t>
    </w:r>
    <w:r>
      <w:rPr>
        <w:sz w:val="24"/>
      </w:rPr>
      <w:fldChar w:fldCharType="end"/>
    </w:r>
    <w:r>
      <w:rPr>
        <w:sz w:val="24"/>
      </w:rPr>
      <w:tab/>
      <w:t>Návrh červen 1997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819" w:rsidRDefault="00433819" w:rsidP="006D5959">
      <w:r>
        <w:separator/>
      </w:r>
    </w:p>
  </w:footnote>
  <w:footnote w:type="continuationSeparator" w:id="0">
    <w:p w:rsidR="00433819" w:rsidRDefault="00433819" w:rsidP="006D5959">
      <w:r>
        <w:continuationSeparator/>
      </w:r>
    </w:p>
  </w:footnote>
  <w:footnote w:id="1">
    <w:p w:rsidR="003A38BA" w:rsidRDefault="003A38BA" w:rsidP="003E3497">
      <w:pPr>
        <w:spacing w:after="120"/>
        <w:ind w:left="0" w:firstLine="0"/>
      </w:pPr>
      <w:r>
        <w:rPr>
          <w:rStyle w:val="FootnoteReference"/>
        </w:rPr>
        <w:footnoteRef/>
      </w:r>
      <w:r>
        <w:t xml:space="preserve"> Vypsané aplikační postupy mohou být zapsanými obchodními známkami nebo podléhat ochraně průmyslového vzoru.</w:t>
      </w:r>
    </w:p>
  </w:footnote>
  <w:footnote w:id="2">
    <w:p w:rsidR="003A38BA" w:rsidRDefault="003A38BA" w:rsidP="003E3497">
      <w:pPr>
        <w:spacing w:after="120"/>
        <w:ind w:left="0" w:firstLine="0"/>
      </w:pPr>
      <w:r>
        <w:rPr>
          <w:rStyle w:val="FootnoteReference"/>
        </w:rPr>
        <w:footnoteRef/>
      </w:r>
      <w:r>
        <w:t xml:space="preserve"> Doba sušení do momentu, kdy je možné přejíždět, závisí mimo jiné na povětrnostních podmínkách a množství aplikovaného materiálu. Doba sušení do momentu, kdy je možné přejíždět, která byla docílena v laboratoři, nesmí být brána jako záruka pro dobu sušení za podmínek, které nastávají v praxi.</w:t>
      </w:r>
    </w:p>
  </w:footnote>
  <w:footnote w:id="3">
    <w:p w:rsidR="003A38BA" w:rsidRDefault="003A38BA" w:rsidP="001D4247">
      <w:pPr>
        <w:spacing w:after="120"/>
        <w:ind w:left="0" w:firstLine="0"/>
      </w:pPr>
      <w:r>
        <w:rPr>
          <w:vertAlign w:val="superscript"/>
        </w:rPr>
        <w:footnoteRef/>
      </w:r>
      <w:r>
        <w:t>Ojeté pneumatiky jsou během zkoušky vyměněny.</w:t>
      </w:r>
    </w:p>
  </w:footnote>
  <w:footnote w:id="4">
    <w:p w:rsidR="003A38BA" w:rsidRDefault="003A38BA" w:rsidP="001D4247">
      <w:pPr>
        <w:spacing w:after="120"/>
        <w:ind w:left="0" w:firstLine="0"/>
      </w:pPr>
      <w:r>
        <w:rPr>
          <w:vertAlign w:val="superscript"/>
        </w:rPr>
        <w:footnoteRef/>
      </w:r>
      <w:r>
        <w:t xml:space="preserve"> Obě normy mají být v budoucnu spojeny. Posypové prostředky a (do budoucna) premix. tělesa mají být používána pouze tehdy, pokud nesou označení značkou CE.</w:t>
      </w:r>
    </w:p>
  </w:footnote>
  <w:footnote w:id="5">
    <w:p w:rsidR="003A38BA" w:rsidRDefault="003A38BA" w:rsidP="001D4247">
      <w:pPr>
        <w:spacing w:after="120"/>
        <w:ind w:left="0" w:firstLine="0"/>
      </w:pPr>
      <w:r>
        <w:rPr>
          <w:vertAlign w:val="superscript"/>
        </w:rPr>
        <w:footnoteRef/>
      </w:r>
      <w:r>
        <w:t xml:space="preserve"> Předloha: Dohoda mezi BASt, výrobcem perel a DSGS v Bergisch-Gladbachu a Braunlage v srpnu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8BA" w:rsidRDefault="003A38BA">
    <w:pPr>
      <w:jc w:val="center"/>
      <w:rPr>
        <w:sz w:val="24"/>
      </w:rPr>
    </w:pPr>
    <w:r>
      <w:rPr>
        <w:sz w:val="24"/>
      </w:rPr>
      <w:t>TL-M 97</w:t>
    </w:r>
  </w:p>
  <w:p w:rsidR="003A38BA" w:rsidRDefault="003A38BA">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50699"/>
      <w:docPartObj>
        <w:docPartGallery w:val="Page Numbers (Top of Page)"/>
        <w:docPartUnique/>
      </w:docPartObj>
    </w:sdtPr>
    <w:sdtEndPr/>
    <w:sdtContent>
      <w:p w:rsidR="003A38BA" w:rsidRPr="00C427EB" w:rsidRDefault="003A38BA">
        <w:pPr>
          <w:pStyle w:val="Header"/>
          <w:jc w:val="center"/>
        </w:pPr>
        <w:r>
          <w:fldChar w:fldCharType="begin"/>
        </w:r>
        <w:r>
          <w:instrText xml:space="preserve"> PAGE  \* Arabic  \* MERGEFORMAT </w:instrText>
        </w:r>
        <w:r>
          <w:fldChar w:fldCharType="separate"/>
        </w:r>
        <w:r w:rsidR="000519AF">
          <w:rPr>
            <w:noProof/>
          </w:rPr>
          <w:t>23</w:t>
        </w:r>
        <w:r>
          <w:fldChar w:fldCharType="end"/>
        </w:r>
      </w:p>
    </w:sdtContent>
  </w:sdt>
  <w:p w:rsidR="003A38BA" w:rsidRDefault="003A38BA">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8BA" w:rsidRDefault="003A38BA" w:rsidP="00B032BC">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42298F0"/>
    <w:lvl w:ilvl="0">
      <w:start w:val="1"/>
      <w:numFmt w:val="decimal"/>
      <w:lvlText w:val="%1."/>
      <w:lvlJc w:val="left"/>
      <w:rPr>
        <w:rFonts w:asciiTheme="minorHAnsi" w:hAnsiTheme="minorHAnsi" w:cs="Arial" w:hint="default"/>
        <w:b/>
        <w:bCs/>
        <w:i w:val="0"/>
        <w:iCs w:val="0"/>
        <w:smallCaps w:val="0"/>
        <w:strike w:val="0"/>
        <w:color w:val="000000"/>
        <w:spacing w:val="0"/>
        <w:w w:val="100"/>
        <w:position w:val="0"/>
        <w:sz w:val="22"/>
        <w:szCs w:val="22"/>
        <w:u w:val="none"/>
      </w:rPr>
    </w:lvl>
    <w:lvl w:ilvl="1">
      <w:start w:val="1"/>
      <w:numFmt w:val="decimal"/>
      <w:lvlText w:val="%1.%2"/>
      <w:lvlJc w:val="left"/>
    </w:lvl>
    <w:lvl w:ilvl="2">
      <w:start w:val="1"/>
      <w:numFmt w:val="decimal"/>
      <w:lvlText w:val="%1.%2"/>
      <w:lvlJc w:val="left"/>
    </w:lvl>
    <w:lvl w:ilvl="3">
      <w:start w:val="1"/>
      <w:numFmt w:val="decimal"/>
      <w:lvlText w:val="%1.%2"/>
      <w:lvlJc w:val="left"/>
    </w:lvl>
    <w:lvl w:ilvl="4">
      <w:start w:val="1"/>
      <w:numFmt w:val="decimal"/>
      <w:lvlText w:val="%1.%2"/>
      <w:lvlJc w:val="left"/>
    </w:lvl>
    <w:lvl w:ilvl="5">
      <w:start w:val="1"/>
      <w:numFmt w:val="decimal"/>
      <w:lvlText w:val="%1.%2"/>
      <w:lvlJc w:val="left"/>
    </w:lvl>
    <w:lvl w:ilvl="6">
      <w:start w:val="1"/>
      <w:numFmt w:val="decimal"/>
      <w:lvlText w:val="%1.%2"/>
      <w:lvlJc w:val="left"/>
    </w:lvl>
    <w:lvl w:ilvl="7">
      <w:start w:val="1"/>
      <w:numFmt w:val="decimal"/>
      <w:lvlText w:val="%1.%2"/>
      <w:lvlJc w:val="left"/>
    </w:lvl>
    <w:lvl w:ilvl="8">
      <w:start w:val="1"/>
      <w:numFmt w:val="decimal"/>
      <w:lvlText w:val="%1.%2"/>
      <w:lvlJc w:val="left"/>
    </w:lvl>
  </w:abstractNum>
  <w:abstractNum w:abstractNumId="1" w15:restartNumberingAfterBreak="0">
    <w:nsid w:val="06970E6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497AD5"/>
    <w:multiLevelType w:val="hybridMultilevel"/>
    <w:tmpl w:val="0CE878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791D78"/>
    <w:multiLevelType w:val="singleLevel"/>
    <w:tmpl w:val="99C23CA6"/>
    <w:lvl w:ilvl="0">
      <w:start w:val="7"/>
      <w:numFmt w:val="bullet"/>
      <w:pStyle w:val="SP1"/>
      <w:lvlText w:val="-"/>
      <w:lvlJc w:val="left"/>
      <w:pPr>
        <w:tabs>
          <w:tab w:val="num" w:pos="1069"/>
        </w:tabs>
        <w:ind w:left="1069" w:hanging="360"/>
      </w:pPr>
      <w:rPr>
        <w:rFonts w:hint="default"/>
      </w:rPr>
    </w:lvl>
  </w:abstractNum>
  <w:abstractNum w:abstractNumId="4" w15:restartNumberingAfterBreak="0">
    <w:nsid w:val="268D198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3F200C"/>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C41C1F"/>
    <w:multiLevelType w:val="multilevel"/>
    <w:tmpl w:val="993E88FE"/>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92" w:hanging="432"/>
      </w:pPr>
      <w:rPr>
        <w:rFonts w:asciiTheme="minorHAnsi" w:hAnsiTheme="minorHAnsi" w:hint="default"/>
      </w:rPr>
    </w:lvl>
    <w:lvl w:ilvl="2">
      <w:start w:val="1"/>
      <w:numFmt w:val="decimal"/>
      <w:lvlText w:val="%1.%2.%3."/>
      <w:lvlJc w:val="left"/>
      <w:pPr>
        <w:ind w:left="1224" w:hanging="504"/>
      </w:pPr>
      <w:rPr>
        <w:rFonts w:asciiTheme="minorHAnsi" w:hAnsi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01412C"/>
    <w:multiLevelType w:val="multilevel"/>
    <w:tmpl w:val="993E88FE"/>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92" w:hanging="432"/>
      </w:pPr>
      <w:rPr>
        <w:rFonts w:asciiTheme="minorHAnsi" w:hAnsiTheme="minorHAnsi" w:hint="default"/>
      </w:rPr>
    </w:lvl>
    <w:lvl w:ilvl="2">
      <w:start w:val="1"/>
      <w:numFmt w:val="decimal"/>
      <w:lvlText w:val="%1.%2.%3."/>
      <w:lvlJc w:val="left"/>
      <w:pPr>
        <w:ind w:left="1224" w:hanging="504"/>
      </w:pPr>
      <w:rPr>
        <w:rFonts w:asciiTheme="minorHAnsi" w:hAnsi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612EFE"/>
    <w:multiLevelType w:val="hybridMultilevel"/>
    <w:tmpl w:val="074C60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94417DB"/>
    <w:multiLevelType w:val="singleLevel"/>
    <w:tmpl w:val="0407000F"/>
    <w:lvl w:ilvl="0">
      <w:start w:val="1"/>
      <w:numFmt w:val="decimal"/>
      <w:lvlText w:val="%1."/>
      <w:lvlJc w:val="left"/>
      <w:pPr>
        <w:tabs>
          <w:tab w:val="num" w:pos="360"/>
        </w:tabs>
        <w:ind w:left="360" w:hanging="360"/>
      </w:pPr>
      <w:rPr>
        <w:rFonts w:hint="default"/>
      </w:rPr>
    </w:lvl>
  </w:abstractNum>
  <w:abstractNum w:abstractNumId="10" w15:restartNumberingAfterBreak="0">
    <w:nsid w:val="3D702589"/>
    <w:multiLevelType w:val="singleLevel"/>
    <w:tmpl w:val="E8F485B0"/>
    <w:lvl w:ilvl="0">
      <w:start w:val="1"/>
      <w:numFmt w:val="bullet"/>
      <w:pStyle w:val="-Einzug1"/>
      <w:lvlText w:val="-"/>
      <w:lvlJc w:val="left"/>
      <w:pPr>
        <w:tabs>
          <w:tab w:val="num" w:pos="360"/>
        </w:tabs>
        <w:ind w:left="284" w:hanging="284"/>
      </w:pPr>
      <w:rPr>
        <w:rFonts w:ascii="Times New Roman" w:hAnsi="Times New Roman" w:hint="default"/>
        <w:b/>
        <w:i w:val="0"/>
        <w:sz w:val="24"/>
      </w:rPr>
    </w:lvl>
  </w:abstractNum>
  <w:abstractNum w:abstractNumId="11" w15:restartNumberingAfterBreak="0">
    <w:nsid w:val="48790F9C"/>
    <w:multiLevelType w:val="multilevel"/>
    <w:tmpl w:val="993E88FE"/>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92" w:hanging="432"/>
      </w:pPr>
      <w:rPr>
        <w:rFonts w:asciiTheme="minorHAnsi" w:hAnsiTheme="minorHAnsi" w:hint="default"/>
      </w:rPr>
    </w:lvl>
    <w:lvl w:ilvl="2">
      <w:start w:val="1"/>
      <w:numFmt w:val="decimal"/>
      <w:lvlText w:val="%1.%2.%3."/>
      <w:lvlJc w:val="left"/>
      <w:pPr>
        <w:ind w:left="1224" w:hanging="504"/>
      </w:pPr>
      <w:rPr>
        <w:rFonts w:asciiTheme="minorHAnsi" w:hAnsi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7452F67"/>
    <w:multiLevelType w:val="hybridMultilevel"/>
    <w:tmpl w:val="F47E257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B41620C"/>
    <w:multiLevelType w:val="singleLevel"/>
    <w:tmpl w:val="04070011"/>
    <w:lvl w:ilvl="0">
      <w:start w:val="1"/>
      <w:numFmt w:val="decimal"/>
      <w:lvlText w:val="%1)"/>
      <w:lvlJc w:val="left"/>
      <w:pPr>
        <w:tabs>
          <w:tab w:val="num" w:pos="360"/>
        </w:tabs>
        <w:ind w:left="360" w:hanging="360"/>
      </w:pPr>
      <w:rPr>
        <w:rFonts w:hint="default"/>
      </w:rPr>
    </w:lvl>
  </w:abstractNum>
  <w:abstractNum w:abstractNumId="14" w15:restartNumberingAfterBreak="0">
    <w:nsid w:val="6D860D0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484C2B"/>
    <w:multiLevelType w:val="hybridMultilevel"/>
    <w:tmpl w:val="BAB2AC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
  </w:num>
  <w:num w:numId="4">
    <w:abstractNumId w:val="4"/>
  </w:num>
  <w:num w:numId="5">
    <w:abstractNumId w:val="7"/>
  </w:num>
  <w:num w:numId="6">
    <w:abstractNumId w:val="3"/>
  </w:num>
  <w:num w:numId="7">
    <w:abstractNumId w:val="13"/>
  </w:num>
  <w:num w:numId="8">
    <w:abstractNumId w:val="11"/>
  </w:num>
  <w:num w:numId="9">
    <w:abstractNumId w:val="6"/>
  </w:num>
  <w:num w:numId="10">
    <w:abstractNumId w:val="10"/>
  </w:num>
  <w:num w:numId="11">
    <w:abstractNumId w:val="9"/>
  </w:num>
  <w:num w:numId="12">
    <w:abstractNumId w:val="15"/>
  </w:num>
  <w:num w:numId="13">
    <w:abstractNumId w:val="8"/>
  </w:num>
  <w:num w:numId="14">
    <w:abstractNumId w:val="2"/>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96"/>
    <w:rsid w:val="00001AF1"/>
    <w:rsid w:val="0000718D"/>
    <w:rsid w:val="00012C48"/>
    <w:rsid w:val="00032E7A"/>
    <w:rsid w:val="00036B48"/>
    <w:rsid w:val="000503D0"/>
    <w:rsid w:val="000519AF"/>
    <w:rsid w:val="00060E75"/>
    <w:rsid w:val="00061E4E"/>
    <w:rsid w:val="0006290A"/>
    <w:rsid w:val="0006557A"/>
    <w:rsid w:val="00065E75"/>
    <w:rsid w:val="00067037"/>
    <w:rsid w:val="0006760D"/>
    <w:rsid w:val="00070660"/>
    <w:rsid w:val="000766A6"/>
    <w:rsid w:val="00080A86"/>
    <w:rsid w:val="000923BB"/>
    <w:rsid w:val="000A474A"/>
    <w:rsid w:val="000A5A3C"/>
    <w:rsid w:val="000B2B83"/>
    <w:rsid w:val="000B4B23"/>
    <w:rsid w:val="000B6380"/>
    <w:rsid w:val="000B73D7"/>
    <w:rsid w:val="000D47B9"/>
    <w:rsid w:val="000D5BC9"/>
    <w:rsid w:val="000D70C0"/>
    <w:rsid w:val="000E20DE"/>
    <w:rsid w:val="000E4514"/>
    <w:rsid w:val="000F7E81"/>
    <w:rsid w:val="001001BF"/>
    <w:rsid w:val="00155580"/>
    <w:rsid w:val="00161FD3"/>
    <w:rsid w:val="00193098"/>
    <w:rsid w:val="00197249"/>
    <w:rsid w:val="001A4BD1"/>
    <w:rsid w:val="001B12A8"/>
    <w:rsid w:val="001B4E56"/>
    <w:rsid w:val="001C2543"/>
    <w:rsid w:val="001C7094"/>
    <w:rsid w:val="001D17DA"/>
    <w:rsid w:val="001D4247"/>
    <w:rsid w:val="001E3D7B"/>
    <w:rsid w:val="001E5919"/>
    <w:rsid w:val="001E6414"/>
    <w:rsid w:val="001F5C99"/>
    <w:rsid w:val="002100A4"/>
    <w:rsid w:val="00216013"/>
    <w:rsid w:val="002210B7"/>
    <w:rsid w:val="00232406"/>
    <w:rsid w:val="00234C80"/>
    <w:rsid w:val="0023536B"/>
    <w:rsid w:val="00240E0D"/>
    <w:rsid w:val="00246D88"/>
    <w:rsid w:val="00251683"/>
    <w:rsid w:val="00260651"/>
    <w:rsid w:val="00261DE1"/>
    <w:rsid w:val="0026750D"/>
    <w:rsid w:val="00276C32"/>
    <w:rsid w:val="00284C37"/>
    <w:rsid w:val="0029168C"/>
    <w:rsid w:val="002A210D"/>
    <w:rsid w:val="002A3614"/>
    <w:rsid w:val="002B2FD2"/>
    <w:rsid w:val="002C0BE7"/>
    <w:rsid w:val="002D65D1"/>
    <w:rsid w:val="002D70B1"/>
    <w:rsid w:val="003000D1"/>
    <w:rsid w:val="003114C1"/>
    <w:rsid w:val="0031501F"/>
    <w:rsid w:val="00324B33"/>
    <w:rsid w:val="0033608C"/>
    <w:rsid w:val="00337B4D"/>
    <w:rsid w:val="00345447"/>
    <w:rsid w:val="003456A9"/>
    <w:rsid w:val="003459E2"/>
    <w:rsid w:val="003508CA"/>
    <w:rsid w:val="00370F4D"/>
    <w:rsid w:val="00380189"/>
    <w:rsid w:val="003850FD"/>
    <w:rsid w:val="003876E5"/>
    <w:rsid w:val="0039084B"/>
    <w:rsid w:val="003916B9"/>
    <w:rsid w:val="003956F3"/>
    <w:rsid w:val="003A38BA"/>
    <w:rsid w:val="003A401B"/>
    <w:rsid w:val="003B1252"/>
    <w:rsid w:val="003B7C76"/>
    <w:rsid w:val="003D219A"/>
    <w:rsid w:val="003D5920"/>
    <w:rsid w:val="003E1828"/>
    <w:rsid w:val="003E3497"/>
    <w:rsid w:val="003F610E"/>
    <w:rsid w:val="003F6C43"/>
    <w:rsid w:val="0040352A"/>
    <w:rsid w:val="004056B0"/>
    <w:rsid w:val="0040636B"/>
    <w:rsid w:val="00407B63"/>
    <w:rsid w:val="00414363"/>
    <w:rsid w:val="004268BA"/>
    <w:rsid w:val="0043206D"/>
    <w:rsid w:val="00433819"/>
    <w:rsid w:val="004463AF"/>
    <w:rsid w:val="00451DF6"/>
    <w:rsid w:val="00456905"/>
    <w:rsid w:val="00461B5C"/>
    <w:rsid w:val="00463F9F"/>
    <w:rsid w:val="0046509B"/>
    <w:rsid w:val="0047073B"/>
    <w:rsid w:val="00474AFB"/>
    <w:rsid w:val="00491BD3"/>
    <w:rsid w:val="00491D31"/>
    <w:rsid w:val="00493616"/>
    <w:rsid w:val="004939B5"/>
    <w:rsid w:val="00495D5C"/>
    <w:rsid w:val="00495E9A"/>
    <w:rsid w:val="00497E24"/>
    <w:rsid w:val="004A2F9C"/>
    <w:rsid w:val="004A64FC"/>
    <w:rsid w:val="004B3430"/>
    <w:rsid w:val="004C2F96"/>
    <w:rsid w:val="004C32A6"/>
    <w:rsid w:val="004D297E"/>
    <w:rsid w:val="004D7F92"/>
    <w:rsid w:val="004E0137"/>
    <w:rsid w:val="004E3D16"/>
    <w:rsid w:val="004E5314"/>
    <w:rsid w:val="004F03F3"/>
    <w:rsid w:val="004F79C9"/>
    <w:rsid w:val="0052348C"/>
    <w:rsid w:val="00523ACA"/>
    <w:rsid w:val="00532584"/>
    <w:rsid w:val="00535C9C"/>
    <w:rsid w:val="00536458"/>
    <w:rsid w:val="0054039D"/>
    <w:rsid w:val="005517CE"/>
    <w:rsid w:val="00555159"/>
    <w:rsid w:val="00555609"/>
    <w:rsid w:val="00556442"/>
    <w:rsid w:val="00572C20"/>
    <w:rsid w:val="00577F38"/>
    <w:rsid w:val="00583621"/>
    <w:rsid w:val="00586DCF"/>
    <w:rsid w:val="005A00AC"/>
    <w:rsid w:val="005A16A6"/>
    <w:rsid w:val="005C6B21"/>
    <w:rsid w:val="005D19E0"/>
    <w:rsid w:val="005D220F"/>
    <w:rsid w:val="005E003F"/>
    <w:rsid w:val="005E2477"/>
    <w:rsid w:val="005F2E9C"/>
    <w:rsid w:val="00601938"/>
    <w:rsid w:val="00613B11"/>
    <w:rsid w:val="006163DC"/>
    <w:rsid w:val="00617E85"/>
    <w:rsid w:val="00622AB2"/>
    <w:rsid w:val="00627B64"/>
    <w:rsid w:val="006360BD"/>
    <w:rsid w:val="00637513"/>
    <w:rsid w:val="00641E3F"/>
    <w:rsid w:val="00667BC9"/>
    <w:rsid w:val="00686B2A"/>
    <w:rsid w:val="00686F87"/>
    <w:rsid w:val="006A1970"/>
    <w:rsid w:val="006A49B7"/>
    <w:rsid w:val="006B0519"/>
    <w:rsid w:val="006B20FC"/>
    <w:rsid w:val="006B2947"/>
    <w:rsid w:val="006B7393"/>
    <w:rsid w:val="006C1677"/>
    <w:rsid w:val="006D53B5"/>
    <w:rsid w:val="006D550B"/>
    <w:rsid w:val="006D5959"/>
    <w:rsid w:val="006E1AD5"/>
    <w:rsid w:val="006E2886"/>
    <w:rsid w:val="006E6FB8"/>
    <w:rsid w:val="006F0F26"/>
    <w:rsid w:val="006F1C15"/>
    <w:rsid w:val="00701E9D"/>
    <w:rsid w:val="00706B86"/>
    <w:rsid w:val="007114CC"/>
    <w:rsid w:val="007135E3"/>
    <w:rsid w:val="00721638"/>
    <w:rsid w:val="00735CC5"/>
    <w:rsid w:val="00751BDA"/>
    <w:rsid w:val="007669FF"/>
    <w:rsid w:val="00787559"/>
    <w:rsid w:val="007947D9"/>
    <w:rsid w:val="007A0D55"/>
    <w:rsid w:val="007A4431"/>
    <w:rsid w:val="007A6695"/>
    <w:rsid w:val="007B668F"/>
    <w:rsid w:val="007B7AA0"/>
    <w:rsid w:val="007C21AF"/>
    <w:rsid w:val="007C3407"/>
    <w:rsid w:val="007D17A9"/>
    <w:rsid w:val="007D47E3"/>
    <w:rsid w:val="007D7849"/>
    <w:rsid w:val="007E35A9"/>
    <w:rsid w:val="007F44BC"/>
    <w:rsid w:val="007F561A"/>
    <w:rsid w:val="00804889"/>
    <w:rsid w:val="008432F4"/>
    <w:rsid w:val="00853381"/>
    <w:rsid w:val="008565E3"/>
    <w:rsid w:val="00877D4B"/>
    <w:rsid w:val="00880195"/>
    <w:rsid w:val="0088418C"/>
    <w:rsid w:val="00886145"/>
    <w:rsid w:val="0088638C"/>
    <w:rsid w:val="00895817"/>
    <w:rsid w:val="00896968"/>
    <w:rsid w:val="0089768F"/>
    <w:rsid w:val="008A7AD1"/>
    <w:rsid w:val="008A7F1E"/>
    <w:rsid w:val="008B34BA"/>
    <w:rsid w:val="008B4E60"/>
    <w:rsid w:val="008C0573"/>
    <w:rsid w:val="008C55C5"/>
    <w:rsid w:val="008C64DB"/>
    <w:rsid w:val="008D2005"/>
    <w:rsid w:val="008D2830"/>
    <w:rsid w:val="008E3054"/>
    <w:rsid w:val="008E78CF"/>
    <w:rsid w:val="008E7BF5"/>
    <w:rsid w:val="008E7F3E"/>
    <w:rsid w:val="008F3D75"/>
    <w:rsid w:val="00904336"/>
    <w:rsid w:val="009159E9"/>
    <w:rsid w:val="00921E13"/>
    <w:rsid w:val="00923466"/>
    <w:rsid w:val="0093336E"/>
    <w:rsid w:val="0093465E"/>
    <w:rsid w:val="0094411F"/>
    <w:rsid w:val="00946519"/>
    <w:rsid w:val="00946AE5"/>
    <w:rsid w:val="00947FA2"/>
    <w:rsid w:val="00947FC8"/>
    <w:rsid w:val="00962976"/>
    <w:rsid w:val="0096344E"/>
    <w:rsid w:val="00965E19"/>
    <w:rsid w:val="009700EB"/>
    <w:rsid w:val="00970203"/>
    <w:rsid w:val="009759A4"/>
    <w:rsid w:val="00992058"/>
    <w:rsid w:val="00993CFC"/>
    <w:rsid w:val="009A49D5"/>
    <w:rsid w:val="009C56A9"/>
    <w:rsid w:val="009D6ACE"/>
    <w:rsid w:val="009D7680"/>
    <w:rsid w:val="009E20AE"/>
    <w:rsid w:val="009E5CB3"/>
    <w:rsid w:val="009F1842"/>
    <w:rsid w:val="009F5F07"/>
    <w:rsid w:val="009F7F53"/>
    <w:rsid w:val="00A1060E"/>
    <w:rsid w:val="00A11530"/>
    <w:rsid w:val="00A13538"/>
    <w:rsid w:val="00A13EDC"/>
    <w:rsid w:val="00A2285F"/>
    <w:rsid w:val="00A34119"/>
    <w:rsid w:val="00A36652"/>
    <w:rsid w:val="00A37E2F"/>
    <w:rsid w:val="00A42ACC"/>
    <w:rsid w:val="00A503EF"/>
    <w:rsid w:val="00A61964"/>
    <w:rsid w:val="00A676DC"/>
    <w:rsid w:val="00A748BE"/>
    <w:rsid w:val="00A8750C"/>
    <w:rsid w:val="00A97961"/>
    <w:rsid w:val="00AC657B"/>
    <w:rsid w:val="00AD0691"/>
    <w:rsid w:val="00AD7468"/>
    <w:rsid w:val="00AE0CFD"/>
    <w:rsid w:val="00AE28B1"/>
    <w:rsid w:val="00AE4FF1"/>
    <w:rsid w:val="00AF00F2"/>
    <w:rsid w:val="00AF38A1"/>
    <w:rsid w:val="00AF66AF"/>
    <w:rsid w:val="00B031D0"/>
    <w:rsid w:val="00B032BC"/>
    <w:rsid w:val="00B04171"/>
    <w:rsid w:val="00B057A1"/>
    <w:rsid w:val="00B0600F"/>
    <w:rsid w:val="00B1266C"/>
    <w:rsid w:val="00B1758A"/>
    <w:rsid w:val="00B21B6B"/>
    <w:rsid w:val="00B2761F"/>
    <w:rsid w:val="00B303E9"/>
    <w:rsid w:val="00B324A1"/>
    <w:rsid w:val="00B3476D"/>
    <w:rsid w:val="00B356EB"/>
    <w:rsid w:val="00B521EE"/>
    <w:rsid w:val="00B53040"/>
    <w:rsid w:val="00B533DC"/>
    <w:rsid w:val="00B6273F"/>
    <w:rsid w:val="00B947D9"/>
    <w:rsid w:val="00BA17D6"/>
    <w:rsid w:val="00BB5BD5"/>
    <w:rsid w:val="00BB5DDD"/>
    <w:rsid w:val="00BC0D3C"/>
    <w:rsid w:val="00BC136D"/>
    <w:rsid w:val="00BC7497"/>
    <w:rsid w:val="00BD23B3"/>
    <w:rsid w:val="00BD3FCD"/>
    <w:rsid w:val="00BE1620"/>
    <w:rsid w:val="00BE3A89"/>
    <w:rsid w:val="00BE7065"/>
    <w:rsid w:val="00BF3220"/>
    <w:rsid w:val="00BF5E10"/>
    <w:rsid w:val="00C04DD6"/>
    <w:rsid w:val="00C05C4A"/>
    <w:rsid w:val="00C145F2"/>
    <w:rsid w:val="00C15AA5"/>
    <w:rsid w:val="00C268D7"/>
    <w:rsid w:val="00C3226B"/>
    <w:rsid w:val="00C32DCC"/>
    <w:rsid w:val="00C34F3E"/>
    <w:rsid w:val="00C35B60"/>
    <w:rsid w:val="00C42545"/>
    <w:rsid w:val="00C427EB"/>
    <w:rsid w:val="00C527C1"/>
    <w:rsid w:val="00C61CCD"/>
    <w:rsid w:val="00C65458"/>
    <w:rsid w:val="00C8360F"/>
    <w:rsid w:val="00C94718"/>
    <w:rsid w:val="00CA0607"/>
    <w:rsid w:val="00CA2BC5"/>
    <w:rsid w:val="00CA745A"/>
    <w:rsid w:val="00CB4B8F"/>
    <w:rsid w:val="00CB64D4"/>
    <w:rsid w:val="00CB7F9F"/>
    <w:rsid w:val="00CC1B26"/>
    <w:rsid w:val="00CC39DC"/>
    <w:rsid w:val="00CC5EC9"/>
    <w:rsid w:val="00CD0A25"/>
    <w:rsid w:val="00CD3C24"/>
    <w:rsid w:val="00CE7EE5"/>
    <w:rsid w:val="00D00887"/>
    <w:rsid w:val="00D02C13"/>
    <w:rsid w:val="00D066FD"/>
    <w:rsid w:val="00D1262E"/>
    <w:rsid w:val="00D21166"/>
    <w:rsid w:val="00D3285B"/>
    <w:rsid w:val="00D336A7"/>
    <w:rsid w:val="00D44507"/>
    <w:rsid w:val="00D45948"/>
    <w:rsid w:val="00D473A7"/>
    <w:rsid w:val="00D47A42"/>
    <w:rsid w:val="00D518B6"/>
    <w:rsid w:val="00D54158"/>
    <w:rsid w:val="00D60C9B"/>
    <w:rsid w:val="00D65B9A"/>
    <w:rsid w:val="00D74A8B"/>
    <w:rsid w:val="00D763A9"/>
    <w:rsid w:val="00D77FEB"/>
    <w:rsid w:val="00D80F4C"/>
    <w:rsid w:val="00D82DF7"/>
    <w:rsid w:val="00D946EB"/>
    <w:rsid w:val="00D9642C"/>
    <w:rsid w:val="00D97E23"/>
    <w:rsid w:val="00DA5720"/>
    <w:rsid w:val="00DA60F8"/>
    <w:rsid w:val="00DC1470"/>
    <w:rsid w:val="00DE00FE"/>
    <w:rsid w:val="00DF3B72"/>
    <w:rsid w:val="00DF4A21"/>
    <w:rsid w:val="00DF53FE"/>
    <w:rsid w:val="00E146D8"/>
    <w:rsid w:val="00E15D8C"/>
    <w:rsid w:val="00E35384"/>
    <w:rsid w:val="00E355B8"/>
    <w:rsid w:val="00E46BBA"/>
    <w:rsid w:val="00E51F2A"/>
    <w:rsid w:val="00E54343"/>
    <w:rsid w:val="00E5609C"/>
    <w:rsid w:val="00E6359B"/>
    <w:rsid w:val="00E650EB"/>
    <w:rsid w:val="00E661CD"/>
    <w:rsid w:val="00E67C87"/>
    <w:rsid w:val="00E726CF"/>
    <w:rsid w:val="00E83FAC"/>
    <w:rsid w:val="00E954B3"/>
    <w:rsid w:val="00EA3CC1"/>
    <w:rsid w:val="00EA5AF6"/>
    <w:rsid w:val="00EB1650"/>
    <w:rsid w:val="00EB7072"/>
    <w:rsid w:val="00EB7D09"/>
    <w:rsid w:val="00EC3056"/>
    <w:rsid w:val="00F06298"/>
    <w:rsid w:val="00F13A86"/>
    <w:rsid w:val="00F24962"/>
    <w:rsid w:val="00F349C5"/>
    <w:rsid w:val="00F3733E"/>
    <w:rsid w:val="00F423F6"/>
    <w:rsid w:val="00F478B0"/>
    <w:rsid w:val="00F60D51"/>
    <w:rsid w:val="00F61B48"/>
    <w:rsid w:val="00F630F0"/>
    <w:rsid w:val="00F653D9"/>
    <w:rsid w:val="00F653E7"/>
    <w:rsid w:val="00F657B0"/>
    <w:rsid w:val="00F71794"/>
    <w:rsid w:val="00F7349F"/>
    <w:rsid w:val="00F77BC2"/>
    <w:rsid w:val="00F80870"/>
    <w:rsid w:val="00F82ED3"/>
    <w:rsid w:val="00F95161"/>
    <w:rsid w:val="00F9526A"/>
    <w:rsid w:val="00FA1D3F"/>
    <w:rsid w:val="00FB4E45"/>
    <w:rsid w:val="00FC3F19"/>
    <w:rsid w:val="00FC4346"/>
    <w:rsid w:val="00FC457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1B0875-B1A8-4EAB-B189-F4FF1251B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ind w:left="357" w:hanging="35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7A1"/>
  </w:style>
  <w:style w:type="paragraph" w:styleId="Heading1">
    <w:name w:val="heading 1"/>
    <w:basedOn w:val="Normal"/>
    <w:next w:val="Normal"/>
    <w:link w:val="Heading1Char"/>
    <w:qFormat/>
    <w:rsid w:val="003360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B64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B64D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CB64D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CB64D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autoRedefine/>
    <w:qFormat/>
    <w:rsid w:val="00A13EDC"/>
    <w:pPr>
      <w:keepNext/>
      <w:tabs>
        <w:tab w:val="num" w:pos="1152"/>
      </w:tabs>
      <w:spacing w:before="120" w:after="80"/>
      <w:ind w:left="1152" w:hanging="1152"/>
      <w:outlineLvl w:val="5"/>
    </w:pPr>
    <w:rPr>
      <w:rFonts w:ascii="Times New Roman" w:eastAsia="Times New Roman" w:hAnsi="Times New Roman" w:cs="Times New Roman"/>
      <w:b/>
      <w:kern w:val="28"/>
      <w:sz w:val="20"/>
      <w:szCs w:val="20"/>
      <w:lang w:eastAsia="de-DE"/>
    </w:rPr>
  </w:style>
  <w:style w:type="paragraph" w:styleId="Heading7">
    <w:name w:val="heading 7"/>
    <w:basedOn w:val="Normal"/>
    <w:next w:val="Normal"/>
    <w:link w:val="Heading7Char"/>
    <w:qFormat/>
    <w:rsid w:val="00A13EDC"/>
    <w:pPr>
      <w:keepNext/>
      <w:tabs>
        <w:tab w:val="num" w:pos="1296"/>
      </w:tabs>
      <w:spacing w:before="80" w:after="60"/>
      <w:ind w:left="1296" w:hanging="1296"/>
      <w:outlineLvl w:val="6"/>
    </w:pPr>
    <w:rPr>
      <w:rFonts w:ascii="Times New Roman" w:eastAsia="Times New Roman" w:hAnsi="Times New Roman" w:cs="Times New Roman"/>
      <w:b/>
      <w:kern w:val="28"/>
      <w:sz w:val="20"/>
      <w:szCs w:val="20"/>
      <w:lang w:eastAsia="de-DE"/>
    </w:rPr>
  </w:style>
  <w:style w:type="paragraph" w:styleId="Heading8">
    <w:name w:val="heading 8"/>
    <w:basedOn w:val="Normal"/>
    <w:next w:val="Normal"/>
    <w:link w:val="Heading8Char"/>
    <w:qFormat/>
    <w:rsid w:val="00A13EDC"/>
    <w:pPr>
      <w:keepNext/>
      <w:tabs>
        <w:tab w:val="num" w:pos="1440"/>
      </w:tabs>
      <w:spacing w:before="80" w:after="60"/>
      <w:ind w:left="1440" w:hanging="1440"/>
      <w:outlineLvl w:val="7"/>
    </w:pPr>
    <w:rPr>
      <w:rFonts w:ascii="Times New Roman" w:eastAsia="Times New Roman" w:hAnsi="Times New Roman" w:cs="Times New Roman"/>
      <w:b/>
      <w:i/>
      <w:kern w:val="28"/>
      <w:sz w:val="20"/>
      <w:szCs w:val="20"/>
      <w:lang w:eastAsia="de-DE"/>
    </w:rPr>
  </w:style>
  <w:style w:type="paragraph" w:styleId="Heading9">
    <w:name w:val="heading 9"/>
    <w:basedOn w:val="Normal"/>
    <w:next w:val="Normal"/>
    <w:link w:val="Heading9Char"/>
    <w:qFormat/>
    <w:rsid w:val="00A13EDC"/>
    <w:pPr>
      <w:keepNext/>
      <w:tabs>
        <w:tab w:val="num" w:pos="1584"/>
      </w:tabs>
      <w:spacing w:before="80" w:after="60"/>
      <w:ind w:left="1584" w:hanging="1584"/>
      <w:outlineLvl w:val="8"/>
    </w:pPr>
    <w:rPr>
      <w:rFonts w:ascii="Times New Roman" w:eastAsia="Times New Roman" w:hAnsi="Times New Roman" w:cs="Times New Roman"/>
      <w:b/>
      <w:i/>
      <w:kern w:val="28"/>
      <w:sz w:val="2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C2F96"/>
    <w:pPr>
      <w:ind w:left="720"/>
      <w:contextualSpacing/>
    </w:pPr>
  </w:style>
  <w:style w:type="character" w:styleId="PlaceholderText">
    <w:name w:val="Placeholder Text"/>
    <w:basedOn w:val="DefaultParagraphFont"/>
    <w:uiPriority w:val="99"/>
    <w:semiHidden/>
    <w:rsid w:val="007669FF"/>
    <w:rPr>
      <w:color w:val="808080"/>
    </w:rPr>
  </w:style>
  <w:style w:type="table" w:styleId="TableGrid">
    <w:name w:val="Table Grid"/>
    <w:basedOn w:val="TableNormal"/>
    <w:uiPriority w:val="59"/>
    <w:rsid w:val="00AD74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rsid w:val="006D5959"/>
    <w:pPr>
      <w:keepNext/>
      <w:tabs>
        <w:tab w:val="center" w:pos="4536"/>
        <w:tab w:val="right" w:pos="9072"/>
      </w:tabs>
      <w:ind w:left="0" w:firstLine="0"/>
    </w:pPr>
    <w:rPr>
      <w:rFonts w:ascii="Times New Roman" w:eastAsia="Times New Roman" w:hAnsi="Times New Roman" w:cs="Times New Roman"/>
      <w:sz w:val="20"/>
      <w:szCs w:val="20"/>
      <w:lang w:eastAsia="de-DE"/>
    </w:rPr>
  </w:style>
  <w:style w:type="character" w:customStyle="1" w:styleId="HeaderChar">
    <w:name w:val="Header Char"/>
    <w:basedOn w:val="DefaultParagraphFont"/>
    <w:link w:val="Header"/>
    <w:uiPriority w:val="99"/>
    <w:rsid w:val="006D5959"/>
    <w:rPr>
      <w:rFonts w:ascii="Times New Roman" w:eastAsia="Times New Roman" w:hAnsi="Times New Roman" w:cs="Times New Roman"/>
      <w:sz w:val="20"/>
      <w:szCs w:val="20"/>
      <w:lang w:eastAsia="de-DE"/>
    </w:rPr>
  </w:style>
  <w:style w:type="character" w:styleId="PageNumber">
    <w:name w:val="page number"/>
    <w:basedOn w:val="DefaultParagraphFont"/>
    <w:semiHidden/>
    <w:rsid w:val="006D5959"/>
  </w:style>
  <w:style w:type="paragraph" w:styleId="TOC1">
    <w:name w:val="toc 1"/>
    <w:basedOn w:val="Normal"/>
    <w:next w:val="Normal"/>
    <w:autoRedefine/>
    <w:uiPriority w:val="39"/>
    <w:rsid w:val="006D5959"/>
    <w:pPr>
      <w:keepNext/>
      <w:tabs>
        <w:tab w:val="left" w:pos="851"/>
        <w:tab w:val="right" w:pos="9062"/>
      </w:tabs>
      <w:spacing w:before="120" w:line="300" w:lineRule="exact"/>
      <w:ind w:left="851" w:hanging="851"/>
    </w:pPr>
    <w:rPr>
      <w:rFonts w:ascii="Times New Roman" w:eastAsia="Times New Roman" w:hAnsi="Times New Roman" w:cs="Times New Roman"/>
      <w:b/>
      <w:noProof/>
      <w:sz w:val="20"/>
      <w:szCs w:val="20"/>
      <w:lang w:eastAsia="de-DE"/>
    </w:rPr>
  </w:style>
  <w:style w:type="paragraph" w:styleId="TOC2">
    <w:name w:val="toc 2"/>
    <w:basedOn w:val="Normal"/>
    <w:next w:val="Normal"/>
    <w:autoRedefine/>
    <w:uiPriority w:val="39"/>
    <w:rsid w:val="006D5959"/>
    <w:pPr>
      <w:keepNext/>
      <w:tabs>
        <w:tab w:val="left" w:pos="851"/>
        <w:tab w:val="right" w:pos="9062"/>
      </w:tabs>
      <w:spacing w:before="60" w:after="60" w:line="280" w:lineRule="exact"/>
      <w:ind w:left="0" w:firstLine="0"/>
    </w:pPr>
    <w:rPr>
      <w:rFonts w:ascii="Times New Roman" w:eastAsia="Times New Roman" w:hAnsi="Times New Roman" w:cs="Times New Roman"/>
      <w:b/>
      <w:sz w:val="20"/>
      <w:szCs w:val="20"/>
      <w:lang w:eastAsia="de-DE"/>
    </w:rPr>
  </w:style>
  <w:style w:type="paragraph" w:styleId="TOC3">
    <w:name w:val="toc 3"/>
    <w:basedOn w:val="Normal"/>
    <w:next w:val="Normal"/>
    <w:autoRedefine/>
    <w:uiPriority w:val="39"/>
    <w:rsid w:val="006D5959"/>
    <w:pPr>
      <w:keepNext/>
      <w:tabs>
        <w:tab w:val="left" w:pos="851"/>
        <w:tab w:val="right" w:pos="9062"/>
      </w:tabs>
      <w:ind w:left="0" w:firstLine="0"/>
    </w:pPr>
    <w:rPr>
      <w:rFonts w:ascii="Times New Roman" w:eastAsia="Times New Roman" w:hAnsi="Times New Roman" w:cs="Times New Roman"/>
      <w:noProof/>
      <w:sz w:val="20"/>
      <w:szCs w:val="20"/>
      <w:lang w:eastAsia="de-DE"/>
    </w:rPr>
  </w:style>
  <w:style w:type="character" w:customStyle="1" w:styleId="Heading1Char">
    <w:name w:val="Heading 1 Char"/>
    <w:basedOn w:val="DefaultParagraphFont"/>
    <w:link w:val="Heading1"/>
    <w:rsid w:val="0033608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3608C"/>
    <w:pPr>
      <w:spacing w:line="276" w:lineRule="auto"/>
      <w:ind w:left="0" w:firstLine="0"/>
      <w:outlineLvl w:val="9"/>
    </w:pPr>
  </w:style>
  <w:style w:type="character" w:styleId="Hyperlink">
    <w:name w:val="Hyperlink"/>
    <w:basedOn w:val="DefaultParagraphFont"/>
    <w:uiPriority w:val="99"/>
    <w:unhideWhenUsed/>
    <w:rsid w:val="0033608C"/>
    <w:rPr>
      <w:color w:val="0000FF" w:themeColor="hyperlink"/>
      <w:u w:val="single"/>
    </w:rPr>
  </w:style>
  <w:style w:type="character" w:customStyle="1" w:styleId="Heading2Char">
    <w:name w:val="Heading 2 Char"/>
    <w:basedOn w:val="DefaultParagraphFont"/>
    <w:link w:val="Heading2"/>
    <w:uiPriority w:val="9"/>
    <w:semiHidden/>
    <w:rsid w:val="00CB64D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B64D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B64D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B64D4"/>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semiHidden/>
    <w:rsid w:val="00CB64D4"/>
    <w:pPr>
      <w:keepNext/>
      <w:ind w:left="170" w:hanging="170"/>
    </w:pPr>
    <w:rPr>
      <w:rFonts w:ascii="Times New Roman" w:eastAsia="Times New Roman" w:hAnsi="Times New Roman" w:cs="Times New Roman"/>
      <w:sz w:val="20"/>
      <w:szCs w:val="20"/>
      <w:lang w:eastAsia="de-DE"/>
    </w:rPr>
  </w:style>
  <w:style w:type="character" w:customStyle="1" w:styleId="FootnoteTextChar">
    <w:name w:val="Footnote Text Char"/>
    <w:basedOn w:val="DefaultParagraphFont"/>
    <w:link w:val="FootnoteText"/>
    <w:semiHidden/>
    <w:rsid w:val="00CB64D4"/>
    <w:rPr>
      <w:rFonts w:ascii="Times New Roman" w:eastAsia="Times New Roman" w:hAnsi="Times New Roman" w:cs="Times New Roman"/>
      <w:sz w:val="20"/>
      <w:szCs w:val="20"/>
      <w:lang w:eastAsia="de-DE"/>
    </w:rPr>
  </w:style>
  <w:style w:type="paragraph" w:customStyle="1" w:styleId="Text">
    <w:name w:val="Text"/>
    <w:basedOn w:val="Normal"/>
    <w:autoRedefine/>
    <w:rsid w:val="00CB64D4"/>
    <w:pPr>
      <w:keepNext/>
      <w:spacing w:after="80" w:line="300" w:lineRule="exact"/>
      <w:ind w:left="0" w:firstLine="0"/>
    </w:pPr>
    <w:rPr>
      <w:rFonts w:ascii="Times New Roman" w:eastAsia="Times New Roman" w:hAnsi="Times New Roman" w:cs="Times New Roman"/>
      <w:bCs/>
      <w:kern w:val="28"/>
      <w:szCs w:val="20"/>
      <w:lang w:eastAsia="de-DE"/>
    </w:rPr>
  </w:style>
  <w:style w:type="paragraph" w:customStyle="1" w:styleId="Einzug-1">
    <w:name w:val="Einzug-1"/>
    <w:basedOn w:val="Normal"/>
    <w:autoRedefine/>
    <w:rsid w:val="00CB64D4"/>
    <w:pPr>
      <w:keepNext/>
      <w:tabs>
        <w:tab w:val="left" w:pos="426"/>
      </w:tabs>
      <w:spacing w:before="60" w:after="60" w:line="300" w:lineRule="exact"/>
      <w:ind w:left="0" w:firstLine="0"/>
    </w:pPr>
    <w:rPr>
      <w:rFonts w:ascii="Times New Roman" w:eastAsia="Times New Roman" w:hAnsi="Times New Roman" w:cs="Times New Roman"/>
      <w:sz w:val="24"/>
      <w:szCs w:val="20"/>
      <w:lang w:eastAsia="de-DE"/>
    </w:rPr>
  </w:style>
  <w:style w:type="paragraph" w:customStyle="1" w:styleId="Tabellen">
    <w:name w:val="Tabellen"/>
    <w:basedOn w:val="Text"/>
    <w:rsid w:val="00CB64D4"/>
  </w:style>
  <w:style w:type="paragraph" w:customStyle="1" w:styleId="Tab-berschrift">
    <w:name w:val="Tab-Überschrift"/>
    <w:basedOn w:val="Tabellen"/>
    <w:autoRedefine/>
    <w:rsid w:val="006C1677"/>
    <w:rPr>
      <w:rFonts w:asciiTheme="minorHAnsi" w:hAnsiTheme="minorHAnsi"/>
      <w:b/>
      <w:bCs w:val="0"/>
    </w:rPr>
  </w:style>
  <w:style w:type="character" w:styleId="FootnoteReference">
    <w:name w:val="footnote reference"/>
    <w:basedOn w:val="DefaultParagraphFont"/>
    <w:semiHidden/>
    <w:rsid w:val="00CB64D4"/>
    <w:rPr>
      <w:vertAlign w:val="superscript"/>
    </w:rPr>
  </w:style>
  <w:style w:type="paragraph" w:customStyle="1" w:styleId="SP1">
    <w:name w:val="SP1"/>
    <w:basedOn w:val="Normal"/>
    <w:autoRedefine/>
    <w:rsid w:val="00CB64D4"/>
    <w:pPr>
      <w:numPr>
        <w:numId w:val="6"/>
      </w:numPr>
      <w:spacing w:before="40" w:after="40" w:line="240" w:lineRule="exact"/>
      <w:ind w:left="567" w:hanging="501"/>
    </w:pPr>
    <w:rPr>
      <w:rFonts w:ascii="Times New Roman" w:eastAsia="Times New Roman" w:hAnsi="Times New Roman" w:cs="Times New Roman"/>
      <w:sz w:val="24"/>
      <w:szCs w:val="20"/>
      <w:lang w:eastAsia="de-DE"/>
    </w:rPr>
  </w:style>
  <w:style w:type="paragraph" w:customStyle="1" w:styleId="Tab-Kopf">
    <w:name w:val="Tab-Kopf"/>
    <w:basedOn w:val="Tab-berschrift"/>
    <w:rsid w:val="00CB64D4"/>
    <w:pPr>
      <w:spacing w:before="60" w:after="60" w:line="260" w:lineRule="exact"/>
    </w:pPr>
    <w:rPr>
      <w:sz w:val="20"/>
    </w:rPr>
  </w:style>
  <w:style w:type="character" w:customStyle="1" w:styleId="Heading6Char">
    <w:name w:val="Heading 6 Char"/>
    <w:basedOn w:val="DefaultParagraphFont"/>
    <w:link w:val="Heading6"/>
    <w:rsid w:val="00A13EDC"/>
    <w:rPr>
      <w:rFonts w:ascii="Times New Roman" w:eastAsia="Times New Roman" w:hAnsi="Times New Roman" w:cs="Times New Roman"/>
      <w:b/>
      <w:kern w:val="28"/>
      <w:sz w:val="20"/>
      <w:szCs w:val="20"/>
      <w:lang w:eastAsia="de-DE"/>
    </w:rPr>
  </w:style>
  <w:style w:type="character" w:customStyle="1" w:styleId="Heading7Char">
    <w:name w:val="Heading 7 Char"/>
    <w:basedOn w:val="DefaultParagraphFont"/>
    <w:link w:val="Heading7"/>
    <w:rsid w:val="00A13EDC"/>
    <w:rPr>
      <w:rFonts w:ascii="Times New Roman" w:eastAsia="Times New Roman" w:hAnsi="Times New Roman" w:cs="Times New Roman"/>
      <w:b/>
      <w:kern w:val="28"/>
      <w:sz w:val="20"/>
      <w:szCs w:val="20"/>
      <w:lang w:eastAsia="de-DE"/>
    </w:rPr>
  </w:style>
  <w:style w:type="character" w:customStyle="1" w:styleId="Heading8Char">
    <w:name w:val="Heading 8 Char"/>
    <w:basedOn w:val="DefaultParagraphFont"/>
    <w:link w:val="Heading8"/>
    <w:rsid w:val="00A13EDC"/>
    <w:rPr>
      <w:rFonts w:ascii="Times New Roman" w:eastAsia="Times New Roman" w:hAnsi="Times New Roman" w:cs="Times New Roman"/>
      <w:b/>
      <w:i/>
      <w:kern w:val="28"/>
      <w:sz w:val="20"/>
      <w:szCs w:val="20"/>
      <w:lang w:eastAsia="de-DE"/>
    </w:rPr>
  </w:style>
  <w:style w:type="character" w:customStyle="1" w:styleId="Heading9Char">
    <w:name w:val="Heading 9 Char"/>
    <w:basedOn w:val="DefaultParagraphFont"/>
    <w:link w:val="Heading9"/>
    <w:rsid w:val="00A13EDC"/>
    <w:rPr>
      <w:rFonts w:ascii="Times New Roman" w:eastAsia="Times New Roman" w:hAnsi="Times New Roman" w:cs="Times New Roman"/>
      <w:b/>
      <w:i/>
      <w:kern w:val="28"/>
      <w:sz w:val="20"/>
      <w:szCs w:val="20"/>
      <w:lang w:eastAsia="de-DE"/>
    </w:rPr>
  </w:style>
  <w:style w:type="paragraph" w:customStyle="1" w:styleId="Tablefootnote">
    <w:name w:val="Table footnote"/>
    <w:basedOn w:val="Normal"/>
    <w:rsid w:val="00A13EDC"/>
    <w:pPr>
      <w:tabs>
        <w:tab w:val="left" w:pos="340"/>
      </w:tabs>
      <w:spacing w:before="60" w:after="60" w:line="190" w:lineRule="atLeast"/>
      <w:ind w:left="0" w:firstLine="0"/>
      <w:jc w:val="both"/>
    </w:pPr>
    <w:rPr>
      <w:rFonts w:ascii="Arial" w:eastAsia="MS Mincho" w:hAnsi="Arial" w:cs="Times New Roman"/>
      <w:sz w:val="16"/>
      <w:szCs w:val="20"/>
      <w:lang w:eastAsia="de-DE"/>
    </w:rPr>
  </w:style>
  <w:style w:type="character" w:customStyle="1" w:styleId="TableFootNoteXref">
    <w:name w:val="TableFootNoteXref"/>
    <w:rsid w:val="00A13EDC"/>
    <w:rPr>
      <w:noProof/>
      <w:position w:val="6"/>
      <w:sz w:val="14"/>
      <w:lang w:val="cs-CZ"/>
    </w:rPr>
  </w:style>
  <w:style w:type="paragraph" w:customStyle="1" w:styleId="Tabletext10">
    <w:name w:val="Table text (10)"/>
    <w:basedOn w:val="Normal"/>
    <w:rsid w:val="00A13EDC"/>
    <w:pPr>
      <w:spacing w:before="60" w:after="60" w:line="230" w:lineRule="atLeast"/>
      <w:ind w:left="0" w:firstLine="0"/>
      <w:jc w:val="both"/>
    </w:pPr>
    <w:rPr>
      <w:rFonts w:ascii="Arial" w:eastAsia="MS Mincho" w:hAnsi="Arial" w:cs="Times New Roman"/>
      <w:sz w:val="20"/>
      <w:szCs w:val="20"/>
      <w:lang w:eastAsia="de-DE"/>
    </w:rPr>
  </w:style>
  <w:style w:type="paragraph" w:customStyle="1" w:styleId="ISOChange">
    <w:name w:val="ISO_Change"/>
    <w:basedOn w:val="Normal"/>
    <w:rsid w:val="00A13EDC"/>
    <w:pPr>
      <w:spacing w:before="210" w:line="210" w:lineRule="exact"/>
      <w:ind w:left="0" w:firstLine="0"/>
    </w:pPr>
    <w:rPr>
      <w:rFonts w:ascii="Arial" w:eastAsia="Times New Roman" w:hAnsi="Arial" w:cs="Arial"/>
      <w:sz w:val="18"/>
      <w:szCs w:val="18"/>
    </w:rPr>
  </w:style>
  <w:style w:type="paragraph" w:customStyle="1" w:styleId="ISOSecretObservations">
    <w:name w:val="ISO_Secret_Observations"/>
    <w:basedOn w:val="Normal"/>
    <w:rsid w:val="00A13EDC"/>
    <w:pPr>
      <w:spacing w:before="210" w:line="210" w:lineRule="exact"/>
      <w:ind w:left="0" w:firstLine="0"/>
    </w:pPr>
    <w:rPr>
      <w:rFonts w:ascii="Arial" w:eastAsia="Times New Roman" w:hAnsi="Arial" w:cs="Arial"/>
      <w:sz w:val="18"/>
      <w:szCs w:val="18"/>
    </w:rPr>
  </w:style>
  <w:style w:type="paragraph" w:styleId="Footer">
    <w:name w:val="footer"/>
    <w:basedOn w:val="Normal"/>
    <w:link w:val="FooterChar"/>
    <w:uiPriority w:val="99"/>
    <w:unhideWhenUsed/>
    <w:rsid w:val="0094411F"/>
    <w:pPr>
      <w:tabs>
        <w:tab w:val="center" w:pos="4536"/>
        <w:tab w:val="right" w:pos="9072"/>
      </w:tabs>
    </w:pPr>
  </w:style>
  <w:style w:type="character" w:customStyle="1" w:styleId="FooterChar">
    <w:name w:val="Footer Char"/>
    <w:basedOn w:val="DefaultParagraphFont"/>
    <w:link w:val="Footer"/>
    <w:uiPriority w:val="99"/>
    <w:rsid w:val="0094411F"/>
  </w:style>
  <w:style w:type="paragraph" w:styleId="Subtitle">
    <w:name w:val="Subtitle"/>
    <w:basedOn w:val="Normal"/>
    <w:next w:val="Normal"/>
    <w:link w:val="SubtitleChar"/>
    <w:uiPriority w:val="11"/>
    <w:qFormat/>
    <w:rsid w:val="000D70C0"/>
    <w:pPr>
      <w:numPr>
        <w:ilvl w:val="1"/>
      </w:numPr>
      <w:ind w:left="357" w:hanging="35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D70C0"/>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semiHidden/>
    <w:rsid w:val="00B521EE"/>
    <w:pPr>
      <w:ind w:left="0" w:firstLine="0"/>
    </w:pPr>
    <w:rPr>
      <w:rFonts w:ascii="Times New Roman" w:eastAsia="Times New Roman" w:hAnsi="Times New Roman" w:cs="Times New Roman"/>
      <w:b/>
      <w:sz w:val="24"/>
      <w:szCs w:val="20"/>
      <w:lang w:eastAsia="de-DE"/>
    </w:rPr>
  </w:style>
  <w:style w:type="character" w:customStyle="1" w:styleId="BodyTextChar">
    <w:name w:val="Body Text Char"/>
    <w:basedOn w:val="DefaultParagraphFont"/>
    <w:link w:val="BodyText"/>
    <w:semiHidden/>
    <w:rsid w:val="00B521EE"/>
    <w:rPr>
      <w:rFonts w:ascii="Times New Roman" w:eastAsia="Times New Roman" w:hAnsi="Times New Roman" w:cs="Times New Roman"/>
      <w:b/>
      <w:sz w:val="24"/>
      <w:szCs w:val="20"/>
      <w:lang w:eastAsia="de-DE"/>
    </w:rPr>
  </w:style>
  <w:style w:type="paragraph" w:customStyle="1" w:styleId="-Einzug1">
    <w:name w:val="-Einzug1"/>
    <w:basedOn w:val="BodyText2"/>
    <w:autoRedefine/>
    <w:rsid w:val="00B521EE"/>
    <w:pPr>
      <w:keepNext/>
      <w:numPr>
        <w:numId w:val="10"/>
      </w:numPr>
      <w:tabs>
        <w:tab w:val="clear" w:pos="360"/>
        <w:tab w:val="num" w:pos="907"/>
        <w:tab w:val="left" w:pos="4111"/>
      </w:tabs>
      <w:spacing w:before="40" w:after="40" w:line="280" w:lineRule="exact"/>
      <w:ind w:left="4111" w:hanging="3487"/>
    </w:pPr>
    <w:rPr>
      <w:rFonts w:ascii="Times New Roman" w:eastAsia="Times New Roman" w:hAnsi="Times New Roman" w:cs="Times New Roman"/>
      <w:sz w:val="24"/>
      <w:szCs w:val="20"/>
      <w:lang w:eastAsia="de-DE"/>
    </w:rPr>
  </w:style>
  <w:style w:type="paragraph" w:styleId="BodyText2">
    <w:name w:val="Body Text 2"/>
    <w:basedOn w:val="Normal"/>
    <w:link w:val="BodyText2Char"/>
    <w:uiPriority w:val="99"/>
    <w:semiHidden/>
    <w:unhideWhenUsed/>
    <w:rsid w:val="00B521EE"/>
    <w:pPr>
      <w:spacing w:after="120" w:line="480" w:lineRule="auto"/>
    </w:pPr>
  </w:style>
  <w:style w:type="character" w:customStyle="1" w:styleId="BodyText2Char">
    <w:name w:val="Body Text 2 Char"/>
    <w:basedOn w:val="DefaultParagraphFont"/>
    <w:link w:val="BodyText2"/>
    <w:uiPriority w:val="99"/>
    <w:semiHidden/>
    <w:rsid w:val="00B521EE"/>
  </w:style>
  <w:style w:type="paragraph" w:customStyle="1" w:styleId="ZTVMFliestext">
    <w:name w:val="ZTV M Fliestext"/>
    <w:basedOn w:val="Normal"/>
    <w:rsid w:val="00CC1B26"/>
    <w:pPr>
      <w:pBdr>
        <w:right w:val="single" w:sz="12" w:space="4" w:color="auto"/>
      </w:pBdr>
      <w:tabs>
        <w:tab w:val="left" w:pos="1260"/>
      </w:tabs>
      <w:spacing w:before="60" w:after="120" w:line="280" w:lineRule="exact"/>
      <w:ind w:left="0" w:firstLine="0"/>
    </w:pPr>
    <w:rPr>
      <w:rFonts w:ascii="Times New Roman" w:eastAsia="Times New Roman" w:hAnsi="Times New Roman" w:cs="Times New Roman"/>
      <w:color w:val="000000"/>
      <w:sz w:val="24"/>
      <w:szCs w:val="20"/>
      <w:lang w:eastAsia="de-DE"/>
    </w:rPr>
  </w:style>
  <w:style w:type="paragraph" w:styleId="BodyTextIndent">
    <w:name w:val="Body Text Indent"/>
    <w:basedOn w:val="Normal"/>
    <w:link w:val="BodyTextIndentChar"/>
    <w:uiPriority w:val="99"/>
    <w:semiHidden/>
    <w:unhideWhenUsed/>
    <w:rsid w:val="00B1266C"/>
    <w:pPr>
      <w:spacing w:after="120"/>
      <w:ind w:left="283"/>
    </w:pPr>
  </w:style>
  <w:style w:type="character" w:customStyle="1" w:styleId="BodyTextIndentChar">
    <w:name w:val="Body Text Indent Char"/>
    <w:basedOn w:val="DefaultParagraphFont"/>
    <w:link w:val="BodyTextIndent"/>
    <w:uiPriority w:val="99"/>
    <w:semiHidden/>
    <w:rsid w:val="00B1266C"/>
  </w:style>
  <w:style w:type="paragraph" w:styleId="Title">
    <w:name w:val="Title"/>
    <w:basedOn w:val="Normal"/>
    <w:link w:val="TitleChar"/>
    <w:qFormat/>
    <w:rsid w:val="00B1266C"/>
    <w:pPr>
      <w:ind w:left="0" w:firstLine="0"/>
      <w:jc w:val="center"/>
    </w:pPr>
    <w:rPr>
      <w:rFonts w:ascii="Times New Roman" w:eastAsia="Times New Roman" w:hAnsi="Times New Roman" w:cs="Times New Roman"/>
      <w:b/>
      <w:snapToGrid w:val="0"/>
      <w:sz w:val="28"/>
      <w:szCs w:val="20"/>
      <w:lang w:eastAsia="de-DE"/>
    </w:rPr>
  </w:style>
  <w:style w:type="character" w:customStyle="1" w:styleId="TitleChar">
    <w:name w:val="Title Char"/>
    <w:basedOn w:val="DefaultParagraphFont"/>
    <w:link w:val="Title"/>
    <w:rsid w:val="00B1266C"/>
    <w:rPr>
      <w:rFonts w:ascii="Times New Roman" w:eastAsia="Times New Roman" w:hAnsi="Times New Roman" w:cs="Times New Roman"/>
      <w:b/>
      <w:snapToGrid w:val="0"/>
      <w:sz w:val="28"/>
      <w:szCs w:val="20"/>
      <w:lang w:eastAsia="de-DE"/>
    </w:rPr>
  </w:style>
  <w:style w:type="paragraph" w:styleId="BalloonText">
    <w:name w:val="Balloon Text"/>
    <w:basedOn w:val="Normal"/>
    <w:link w:val="BalloonTextChar"/>
    <w:uiPriority w:val="99"/>
    <w:semiHidden/>
    <w:unhideWhenUsed/>
    <w:rsid w:val="002A210D"/>
    <w:rPr>
      <w:rFonts w:ascii="Tahoma" w:hAnsi="Tahoma" w:cs="Tahoma"/>
      <w:sz w:val="16"/>
      <w:szCs w:val="16"/>
    </w:rPr>
  </w:style>
  <w:style w:type="character" w:customStyle="1" w:styleId="BalloonTextChar">
    <w:name w:val="Balloon Text Char"/>
    <w:basedOn w:val="DefaultParagraphFont"/>
    <w:link w:val="BalloonText"/>
    <w:uiPriority w:val="99"/>
    <w:semiHidden/>
    <w:rsid w:val="002A210D"/>
    <w:rPr>
      <w:rFonts w:ascii="Tahoma" w:hAnsi="Tahoma" w:cs="Tahoma"/>
      <w:sz w:val="16"/>
      <w:szCs w:val="16"/>
    </w:rPr>
  </w:style>
  <w:style w:type="character" w:styleId="CommentReference">
    <w:name w:val="annotation reference"/>
    <w:basedOn w:val="DefaultParagraphFont"/>
    <w:uiPriority w:val="99"/>
    <w:semiHidden/>
    <w:unhideWhenUsed/>
    <w:rsid w:val="00536458"/>
    <w:rPr>
      <w:sz w:val="16"/>
      <w:szCs w:val="16"/>
    </w:rPr>
  </w:style>
  <w:style w:type="paragraph" w:styleId="CommentText">
    <w:name w:val="annotation text"/>
    <w:basedOn w:val="Normal"/>
    <w:link w:val="CommentTextChar"/>
    <w:uiPriority w:val="99"/>
    <w:semiHidden/>
    <w:unhideWhenUsed/>
    <w:rsid w:val="00536458"/>
    <w:rPr>
      <w:sz w:val="20"/>
      <w:szCs w:val="20"/>
    </w:rPr>
  </w:style>
  <w:style w:type="character" w:customStyle="1" w:styleId="CommentTextChar">
    <w:name w:val="Comment Text Char"/>
    <w:basedOn w:val="DefaultParagraphFont"/>
    <w:link w:val="CommentText"/>
    <w:uiPriority w:val="99"/>
    <w:semiHidden/>
    <w:rsid w:val="00536458"/>
    <w:rPr>
      <w:sz w:val="20"/>
      <w:szCs w:val="20"/>
    </w:rPr>
  </w:style>
  <w:style w:type="character" w:styleId="Strong">
    <w:name w:val="Strong"/>
    <w:basedOn w:val="DefaultParagraphFont"/>
    <w:uiPriority w:val="22"/>
    <w:qFormat/>
    <w:rsid w:val="008D2005"/>
    <w:rPr>
      <w:b/>
      <w:bCs/>
    </w:rPr>
  </w:style>
  <w:style w:type="paragraph" w:styleId="CommentSubject">
    <w:name w:val="annotation subject"/>
    <w:basedOn w:val="CommentText"/>
    <w:next w:val="CommentText"/>
    <w:link w:val="CommentSubjectChar"/>
    <w:uiPriority w:val="99"/>
    <w:semiHidden/>
    <w:unhideWhenUsed/>
    <w:rsid w:val="00BD23B3"/>
    <w:rPr>
      <w:b/>
      <w:bCs/>
    </w:rPr>
  </w:style>
  <w:style w:type="character" w:customStyle="1" w:styleId="CommentSubjectChar">
    <w:name w:val="Comment Subject Char"/>
    <w:basedOn w:val="CommentTextChar"/>
    <w:link w:val="CommentSubject"/>
    <w:uiPriority w:val="99"/>
    <w:semiHidden/>
    <w:rsid w:val="00BD23B3"/>
    <w:rPr>
      <w:b/>
      <w:bCs/>
      <w:sz w:val="20"/>
      <w:szCs w:val="20"/>
    </w:rPr>
  </w:style>
  <w:style w:type="paragraph" w:styleId="Revision">
    <w:name w:val="Revision"/>
    <w:hidden/>
    <w:uiPriority w:val="99"/>
    <w:semiHidden/>
    <w:rsid w:val="008F3D75"/>
    <w:pPr>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00696">
      <w:bodyDiv w:val="1"/>
      <w:marLeft w:val="0"/>
      <w:marRight w:val="0"/>
      <w:marTop w:val="0"/>
      <w:marBottom w:val="0"/>
      <w:divBdr>
        <w:top w:val="none" w:sz="0" w:space="0" w:color="auto"/>
        <w:left w:val="none" w:sz="0" w:space="0" w:color="auto"/>
        <w:bottom w:val="none" w:sz="0" w:space="0" w:color="auto"/>
        <w:right w:val="none" w:sz="0" w:space="0" w:color="auto"/>
      </w:divBdr>
    </w:div>
    <w:div w:id="657268090">
      <w:bodyDiv w:val="1"/>
      <w:marLeft w:val="0"/>
      <w:marRight w:val="0"/>
      <w:marTop w:val="0"/>
      <w:marBottom w:val="0"/>
      <w:divBdr>
        <w:top w:val="none" w:sz="0" w:space="0" w:color="auto"/>
        <w:left w:val="none" w:sz="0" w:space="0" w:color="auto"/>
        <w:bottom w:val="none" w:sz="0" w:space="0" w:color="auto"/>
        <w:right w:val="none" w:sz="0" w:space="0" w:color="auto"/>
      </w:divBdr>
    </w:div>
    <w:div w:id="948396053">
      <w:bodyDiv w:val="1"/>
      <w:marLeft w:val="0"/>
      <w:marRight w:val="0"/>
      <w:marTop w:val="0"/>
      <w:marBottom w:val="0"/>
      <w:divBdr>
        <w:top w:val="none" w:sz="0" w:space="0" w:color="auto"/>
        <w:left w:val="none" w:sz="0" w:space="0" w:color="auto"/>
        <w:bottom w:val="none" w:sz="0" w:space="0" w:color="auto"/>
        <w:right w:val="none" w:sz="0" w:space="0" w:color="auto"/>
      </w:divBdr>
    </w:div>
    <w:div w:id="1597981163">
      <w:bodyDiv w:val="1"/>
      <w:marLeft w:val="0"/>
      <w:marRight w:val="0"/>
      <w:marTop w:val="0"/>
      <w:marBottom w:val="0"/>
      <w:divBdr>
        <w:top w:val="none" w:sz="0" w:space="0" w:color="auto"/>
        <w:left w:val="none" w:sz="0" w:space="0" w:color="auto"/>
        <w:bottom w:val="none" w:sz="0" w:space="0" w:color="auto"/>
        <w:right w:val="none" w:sz="0" w:space="0" w:color="auto"/>
      </w:divBdr>
    </w:div>
    <w:div w:id="163251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BC2CF-6B38-4CFD-B1BA-7C65D8525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24</Pages>
  <Words>7365</Words>
  <Characters>41983</Characters>
  <Application>Microsoft Office Word</Application>
  <DocSecurity>0</DocSecurity>
  <Lines>349</Lines>
  <Paragraphs>98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BASt</Company>
  <LinksUpToDate>false</LinksUpToDate>
  <CharactersWithSpaces>49250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V4</dc:creator>
  <cp:lastModifiedBy>Ke, Tingting</cp:lastModifiedBy>
  <cp:revision>21</cp:revision>
  <cp:lastPrinted>2018-06-14T08:38:00Z</cp:lastPrinted>
  <dcterms:created xsi:type="dcterms:W3CDTF">2018-08-23T11:48:00Z</dcterms:created>
  <dcterms:modified xsi:type="dcterms:W3CDTF">2019-06-26T13:16:00Z</dcterms:modified>
</cp:coreProperties>
</file>