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3A38BA" w:rsidRDefault="006D5959" w:rsidP="006D5959">
      <w:pPr>
        <w:jc w:val="center"/>
        <w:rPr>
          <w:b/>
          <w:sz w:val="32"/>
        </w:rPr>
      </w:pPr>
    </w:p>
    <w:p w:rsidR="006D5959" w:rsidRPr="003A38BA" w:rsidRDefault="006D5959" w:rsidP="006D5959">
      <w:pPr>
        <w:jc w:val="center"/>
        <w:rPr>
          <w:b/>
          <w:sz w:val="32"/>
        </w:rPr>
      </w:pPr>
    </w:p>
    <w:p w:rsidR="001B12A8" w:rsidRPr="00EE13A3" w:rsidRDefault="001B12A8" w:rsidP="001B12A8">
      <w:pPr>
        <w:ind w:left="0" w:firstLine="0"/>
        <w:jc w:val="center"/>
        <w:rPr>
          <w:rFonts w:ascii="Courier New" w:hAnsi="Courier New"/>
          <w:sz w:val="20"/>
        </w:rPr>
      </w:pPr>
      <w:r>
        <w:rPr>
          <w:rFonts w:ascii="Courier New" w:hAnsi="Courier New"/>
          <w:sz w:val="20"/>
        </w:rPr>
        <w:t>1. ------IND- 2017 0262 D-- SL- ------ 20190626 --- --- FINAL</w:t>
      </w:r>
    </w:p>
    <w:p w:rsidR="002A210D" w:rsidRPr="003A38BA" w:rsidRDefault="002A210D" w:rsidP="006D5959">
      <w:pPr>
        <w:jc w:val="cente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jc w:val="center"/>
        <w:rPr>
          <w:sz w:val="40"/>
        </w:rPr>
      </w:pPr>
      <w:r>
        <w:rPr>
          <w:b/>
          <w:sz w:val="40"/>
        </w:rPr>
        <w:t>Tehnični preskusni pogoji za sisteme za označevanje</w:t>
      </w:r>
    </w:p>
    <w:p w:rsidR="006D5959" w:rsidRPr="003A38BA" w:rsidRDefault="006D5959" w:rsidP="006D5959">
      <w:pPr>
        <w:rPr>
          <w:b/>
          <w:sz w:val="40"/>
        </w:rPr>
      </w:pPr>
    </w:p>
    <w:p w:rsidR="006D5959" w:rsidRPr="003A38BA" w:rsidRDefault="00C32DCC" w:rsidP="006D5959">
      <w:pPr>
        <w:jc w:val="center"/>
        <w:rPr>
          <w:b/>
          <w:sz w:val="40"/>
          <w:szCs w:val="40"/>
        </w:rPr>
      </w:pPr>
      <w:r>
        <w:rPr>
          <w:b/>
          <w:sz w:val="40"/>
          <w:szCs w:val="40"/>
        </w:rPr>
        <w:t xml:space="preserve">TP M </w:t>
      </w:r>
    </w:p>
    <w:p w:rsidR="006D5959" w:rsidRPr="003A38BA" w:rsidRDefault="006D5959" w:rsidP="00B032BC">
      <w:pPr>
        <w:jc w:val="center"/>
        <w:rPr>
          <w:b/>
          <w:sz w:val="40"/>
          <w:szCs w:val="40"/>
        </w:rPr>
      </w:pPr>
    </w:p>
    <w:p w:rsidR="006D5959" w:rsidRPr="003A38BA" w:rsidRDefault="00EB1650" w:rsidP="006D5959">
      <w:pPr>
        <w:jc w:val="center"/>
        <w:rPr>
          <w:sz w:val="36"/>
          <w:szCs w:val="36"/>
        </w:rPr>
      </w:pPr>
      <w:r>
        <w:rPr>
          <w:b/>
          <w:sz w:val="36"/>
          <w:szCs w:val="36"/>
        </w:rPr>
        <w:t>2018</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EB1650" w:rsidRPr="003A38BA" w:rsidRDefault="00EB1650" w:rsidP="00EB1650">
      <w:pPr>
        <w:jc w:val="center"/>
        <w:rPr>
          <w:sz w:val="32"/>
        </w:rPr>
      </w:pPr>
      <w:r>
        <w:rPr>
          <w:sz w:val="32"/>
        </w:rPr>
        <w:t>pripravil Zvezni urad za ceste</w:t>
      </w:r>
    </w:p>
    <w:p w:rsidR="006D5959" w:rsidRPr="003A38BA" w:rsidRDefault="00EB1650" w:rsidP="00EB1650">
      <w:pPr>
        <w:jc w:val="center"/>
        <w:rPr>
          <w:sz w:val="32"/>
        </w:rPr>
      </w:pPr>
      <w:r>
        <w:rPr>
          <w:sz w:val="32"/>
        </w:rPr>
        <w:t>Bergisch Gladbach</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6D5959">
      <w:pPr>
        <w:jc w:val="center"/>
        <w:rPr>
          <w:sz w:val="32"/>
        </w:rPr>
      </w:pPr>
      <w:bookmarkStart w:id="0" w:name="_Toc382970342"/>
      <w:bookmarkStart w:id="1" w:name="_Toc382970502"/>
      <w:bookmarkStart w:id="2" w:name="_Toc382971511"/>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497E24" w:rsidP="006D5959">
      <w:pPr>
        <w:jc w:val="center"/>
        <w:rPr>
          <w:sz w:val="32"/>
        </w:rPr>
      </w:pPr>
      <w:bookmarkStart w:id="3" w:name="_Toc382970343"/>
      <w:bookmarkStart w:id="4" w:name="_Toc382970503"/>
      <w:bookmarkStart w:id="5" w:name="_Toc382971512"/>
      <w:bookmarkEnd w:id="0"/>
      <w:bookmarkEnd w:id="1"/>
      <w:bookmarkEnd w:id="2"/>
      <w:r>
        <w:rPr>
          <w:sz w:val="32"/>
        </w:rPr>
        <w:t>Izdaja iz leta 2018</w:t>
      </w:r>
    </w:p>
    <w:p w:rsidR="006D5959" w:rsidRPr="003A38BA" w:rsidRDefault="006D5959" w:rsidP="008C55C5">
      <w:pPr>
        <w:pageBreakBefore/>
        <w:spacing w:before="8400" w:line="300" w:lineRule="exact"/>
        <w:ind w:left="0" w:firstLine="0"/>
        <w:rPr>
          <w:b/>
          <w:sz w:val="24"/>
        </w:rPr>
      </w:pPr>
      <w:r>
        <w:rPr>
          <w:b/>
          <w:sz w:val="24"/>
        </w:rPr>
        <w:lastRenderedPageBreak/>
        <w:t>Uvodna opomba</w:t>
      </w:r>
      <w:bookmarkEnd w:id="3"/>
      <w:bookmarkEnd w:id="4"/>
      <w:bookmarkEnd w:id="5"/>
    </w:p>
    <w:p w:rsidR="006D5959" w:rsidRPr="003A38BA" w:rsidRDefault="006D5959" w:rsidP="006D5959"/>
    <w:p w:rsidR="006D5959" w:rsidRPr="003A38BA" w:rsidRDefault="00CC1B26" w:rsidP="00CC1B26">
      <w:pPr>
        <w:ind w:left="0" w:firstLine="0"/>
        <w:jc w:val="both"/>
      </w:pPr>
      <w:r>
        <w:t>„Tehnične preskusne pogoje za sisteme za označevanje“ je pripravil Zvezni urad za ceste po naročilu Zveznega ministrstva za promet in digitalno infrastrukturo (BMVI) v dogovoru z zveznimi deželami in strokovnjaki zveznih dežel za označevanje. Stališča industrije je pred objavo pridobila Nemška raziskovalna skupina za oznake vozišč (DSGS e.V).</w:t>
      </w:r>
    </w:p>
    <w:p w:rsidR="00CC1B26" w:rsidRPr="003A38BA" w:rsidRDefault="003E1828" w:rsidP="004A2F9C">
      <w:pPr>
        <w:ind w:left="0" w:firstLine="0"/>
        <w:jc w:val="both"/>
      </w:pPr>
      <w:r>
        <w:t>Upoštevane so bile obveznosti iz Direktive (EU) 2015/1535 Evropskega parlamenta in Sveta z dne 9. septembra 2015 o določitvi postopka za zbiranje informacij na področju tehničnih predpisov in pravil za storitve informacijske družbe (UL L 241, 17.9.2015, str. 1).</w:t>
      </w:r>
    </w:p>
    <w:p w:rsidR="006D5959" w:rsidRPr="003A38BA" w:rsidRDefault="006D5959" w:rsidP="006D5959">
      <w:pPr>
        <w:jc w:val="center"/>
        <w:rPr>
          <w:b/>
          <w:sz w:val="28"/>
        </w:rPr>
        <w:sectPr w:rsidR="006D5959" w:rsidRPr="003A38BA">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color w:val="auto"/>
          <w:sz w:val="22"/>
          <w:szCs w:val="22"/>
        </w:rPr>
        <w:id w:val="2540518"/>
        <w:docPartObj>
          <w:docPartGallery w:val="Table of Contents"/>
          <w:docPartUnique/>
        </w:docPartObj>
      </w:sdtPr>
      <w:sdtEndPr>
        <w:rPr>
          <w:sz w:val="24"/>
          <w:szCs w:val="24"/>
        </w:rPr>
      </w:sdtEndPr>
      <w:sdtContent>
        <w:p w:rsidR="002100A4" w:rsidRPr="003A38BA" w:rsidRDefault="002100A4">
          <w:pPr>
            <w:pStyle w:val="TOCHeading"/>
          </w:pPr>
          <w:r>
            <w:t>Vsebina</w:t>
          </w:r>
        </w:p>
        <w:p w:rsidR="008F058B" w:rsidRDefault="004939B5">
          <w:pPr>
            <w:pStyle w:val="TOC1"/>
            <w:rPr>
              <w:rFonts w:asciiTheme="minorHAnsi" w:eastAsiaTheme="minorEastAsia" w:hAnsiTheme="minorHAnsi" w:cstheme="minorBidi"/>
              <w:b w:val="0"/>
              <w:sz w:val="22"/>
              <w:szCs w:val="22"/>
              <w:lang w:val="en-US" w:eastAsia="en-US"/>
            </w:rPr>
          </w:pPr>
          <w:r w:rsidRPr="003A38BA">
            <w:rPr>
              <w:rFonts w:asciiTheme="minorHAnsi" w:hAnsiTheme="minorHAnsi"/>
              <w:b w:val="0"/>
              <w:sz w:val="24"/>
              <w:szCs w:val="24"/>
            </w:rPr>
            <w:fldChar w:fldCharType="begin"/>
          </w:r>
          <w:r w:rsidR="002100A4" w:rsidRPr="003A38BA">
            <w:rPr>
              <w:rFonts w:asciiTheme="minorHAnsi" w:hAnsiTheme="minorHAnsi"/>
              <w:b w:val="0"/>
              <w:sz w:val="24"/>
              <w:szCs w:val="24"/>
            </w:rPr>
            <w:instrText xml:space="preserve"> TOC \o "1-3" \h \z \u </w:instrText>
          </w:r>
          <w:r w:rsidRPr="003A38BA">
            <w:rPr>
              <w:rFonts w:asciiTheme="minorHAnsi" w:hAnsiTheme="minorHAnsi"/>
              <w:b w:val="0"/>
              <w:sz w:val="24"/>
              <w:szCs w:val="24"/>
            </w:rPr>
            <w:fldChar w:fldCharType="separate"/>
          </w:r>
          <w:hyperlink w:anchor="_Toc12559193" w:history="1">
            <w:r w:rsidR="008F058B" w:rsidRPr="007A7831">
              <w:rPr>
                <w:rStyle w:val="Hyperlink"/>
                <w:rFonts w:eastAsiaTheme="majorEastAsia"/>
              </w:rPr>
              <w:t>1.</w:t>
            </w:r>
            <w:r w:rsidR="008F058B">
              <w:rPr>
                <w:rFonts w:asciiTheme="minorHAnsi" w:eastAsiaTheme="minorEastAsia" w:hAnsiTheme="minorHAnsi" w:cstheme="minorBidi"/>
                <w:b w:val="0"/>
                <w:sz w:val="22"/>
                <w:szCs w:val="22"/>
                <w:lang w:val="en-US" w:eastAsia="en-US"/>
              </w:rPr>
              <w:tab/>
            </w:r>
            <w:r w:rsidR="008F058B" w:rsidRPr="007A7831">
              <w:rPr>
                <w:rStyle w:val="Hyperlink"/>
                <w:rFonts w:eastAsiaTheme="majorEastAsia"/>
              </w:rPr>
              <w:t>Splošno</w:t>
            </w:r>
            <w:r w:rsidR="008F058B">
              <w:rPr>
                <w:webHidden/>
              </w:rPr>
              <w:tab/>
            </w:r>
            <w:r w:rsidR="008F058B">
              <w:rPr>
                <w:webHidden/>
              </w:rPr>
              <w:fldChar w:fldCharType="begin"/>
            </w:r>
            <w:r w:rsidR="008F058B">
              <w:rPr>
                <w:webHidden/>
              </w:rPr>
              <w:instrText xml:space="preserve"> PAGEREF _Toc12559193 \h </w:instrText>
            </w:r>
            <w:r w:rsidR="008F058B">
              <w:rPr>
                <w:webHidden/>
              </w:rPr>
            </w:r>
            <w:r w:rsidR="008F058B">
              <w:rPr>
                <w:webHidden/>
              </w:rPr>
              <w:fldChar w:fldCharType="separate"/>
            </w:r>
            <w:r w:rsidR="008F058B">
              <w:rPr>
                <w:webHidden/>
              </w:rPr>
              <w:t>5</w:t>
            </w:r>
            <w:r w:rsidR="008F058B">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194" w:history="1">
            <w:r w:rsidRPr="007A7831">
              <w:rPr>
                <w:rStyle w:val="Hyperlink"/>
                <w:rFonts w:eastAsiaTheme="majorEastAsia"/>
              </w:rPr>
              <w:t>2.</w:t>
            </w:r>
            <w:r>
              <w:rPr>
                <w:rFonts w:asciiTheme="minorHAnsi" w:eastAsiaTheme="minorEastAsia" w:hAnsiTheme="minorHAnsi" w:cstheme="minorBidi"/>
                <w:b w:val="0"/>
                <w:sz w:val="22"/>
                <w:szCs w:val="22"/>
                <w:lang w:val="en-US" w:eastAsia="en-US"/>
              </w:rPr>
              <w:tab/>
            </w:r>
            <w:r w:rsidRPr="007A7831">
              <w:rPr>
                <w:rStyle w:val="Hyperlink"/>
                <w:rFonts w:eastAsiaTheme="majorEastAsia"/>
              </w:rPr>
              <w:t>Sklicevanja na standarde</w:t>
            </w:r>
            <w:r>
              <w:rPr>
                <w:webHidden/>
              </w:rPr>
              <w:tab/>
            </w:r>
            <w:r>
              <w:rPr>
                <w:webHidden/>
              </w:rPr>
              <w:fldChar w:fldCharType="begin"/>
            </w:r>
            <w:r>
              <w:rPr>
                <w:webHidden/>
              </w:rPr>
              <w:instrText xml:space="preserve"> PAGEREF _Toc12559194 \h </w:instrText>
            </w:r>
            <w:r>
              <w:rPr>
                <w:webHidden/>
              </w:rPr>
            </w:r>
            <w:r>
              <w:rPr>
                <w:webHidden/>
              </w:rPr>
              <w:fldChar w:fldCharType="separate"/>
            </w:r>
            <w:r>
              <w:rPr>
                <w:webHidden/>
              </w:rPr>
              <w:t>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195" w:history="1">
            <w:r w:rsidRPr="007A7831">
              <w:rPr>
                <w:rStyle w:val="Hyperlink"/>
                <w:rFonts w:eastAsiaTheme="majorEastAsia"/>
              </w:rPr>
              <w:t>3.</w:t>
            </w:r>
            <w:r>
              <w:rPr>
                <w:rFonts w:asciiTheme="minorHAnsi" w:eastAsiaTheme="minorEastAsia" w:hAnsiTheme="minorHAnsi" w:cstheme="minorBidi"/>
                <w:b w:val="0"/>
                <w:sz w:val="22"/>
                <w:szCs w:val="22"/>
                <w:lang w:val="en-US" w:eastAsia="en-US"/>
              </w:rPr>
              <w:tab/>
            </w:r>
            <w:r w:rsidRPr="007A7831">
              <w:rPr>
                <w:rStyle w:val="Hyperlink"/>
                <w:rFonts w:eastAsiaTheme="majorEastAsia"/>
              </w:rPr>
              <w:t>Opredelitev pojmov</w:t>
            </w:r>
            <w:r>
              <w:rPr>
                <w:webHidden/>
              </w:rPr>
              <w:tab/>
            </w:r>
            <w:r>
              <w:rPr>
                <w:webHidden/>
              </w:rPr>
              <w:fldChar w:fldCharType="begin"/>
            </w:r>
            <w:r>
              <w:rPr>
                <w:webHidden/>
              </w:rPr>
              <w:instrText xml:space="preserve"> PAGEREF _Toc12559195 \h </w:instrText>
            </w:r>
            <w:r>
              <w:rPr>
                <w:webHidden/>
              </w:rPr>
            </w:r>
            <w:r>
              <w:rPr>
                <w:webHidden/>
              </w:rPr>
              <w:fldChar w:fldCharType="separate"/>
            </w:r>
            <w:r>
              <w:rPr>
                <w:webHidden/>
              </w:rPr>
              <w:t>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196" w:history="1">
            <w:r w:rsidRPr="007A7831">
              <w:rPr>
                <w:rStyle w:val="Hyperlink"/>
                <w:rFonts w:eastAsiaTheme="majorEastAsia"/>
              </w:rPr>
              <w:t>4.</w:t>
            </w:r>
            <w:r>
              <w:rPr>
                <w:rFonts w:asciiTheme="minorHAnsi" w:eastAsiaTheme="minorEastAsia" w:hAnsiTheme="minorHAnsi" w:cstheme="minorBidi"/>
                <w:b w:val="0"/>
                <w:sz w:val="22"/>
                <w:szCs w:val="22"/>
                <w:lang w:val="en-US" w:eastAsia="en-US"/>
              </w:rPr>
              <w:tab/>
            </w:r>
            <w:r w:rsidRPr="007A7831">
              <w:rPr>
                <w:rStyle w:val="Hyperlink"/>
                <w:rFonts w:eastAsiaTheme="majorEastAsia"/>
              </w:rPr>
              <w:t>Obremenitveni preskusi sistemov za označevanje</w:t>
            </w:r>
            <w:r>
              <w:rPr>
                <w:webHidden/>
              </w:rPr>
              <w:tab/>
            </w:r>
            <w:r>
              <w:rPr>
                <w:webHidden/>
              </w:rPr>
              <w:fldChar w:fldCharType="begin"/>
            </w:r>
            <w:r>
              <w:rPr>
                <w:webHidden/>
              </w:rPr>
              <w:instrText xml:space="preserve"> PAGEREF _Toc12559196 \h </w:instrText>
            </w:r>
            <w:r>
              <w:rPr>
                <w:webHidden/>
              </w:rPr>
            </w:r>
            <w:r>
              <w:rPr>
                <w:webHidden/>
              </w:rPr>
              <w:fldChar w:fldCharType="separate"/>
            </w:r>
            <w:r>
              <w:rPr>
                <w:webHidden/>
              </w:rPr>
              <w:t>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197" w:history="1">
            <w:r w:rsidRPr="007A7831">
              <w:rPr>
                <w:rStyle w:val="Hyperlink"/>
                <w:rFonts w:eastAsiaTheme="majorEastAsia" w:cs="Arial"/>
              </w:rPr>
              <w:t>4.1.</w:t>
            </w:r>
            <w:r>
              <w:rPr>
                <w:rFonts w:asciiTheme="minorHAnsi" w:eastAsiaTheme="minorEastAsia" w:hAnsiTheme="minorHAnsi" w:cstheme="minorBidi"/>
                <w:b w:val="0"/>
                <w:sz w:val="22"/>
                <w:szCs w:val="22"/>
                <w:lang w:val="en-US" w:eastAsia="en-US"/>
              </w:rPr>
              <w:tab/>
            </w:r>
            <w:r w:rsidRPr="007A7831">
              <w:rPr>
                <w:rStyle w:val="Hyperlink"/>
                <w:rFonts w:eastAsiaTheme="majorEastAsia"/>
              </w:rPr>
              <w:t>Vrtljiva plošča za simulacijo obrabe</w:t>
            </w:r>
            <w:r>
              <w:rPr>
                <w:webHidden/>
              </w:rPr>
              <w:tab/>
            </w:r>
            <w:r>
              <w:rPr>
                <w:webHidden/>
              </w:rPr>
              <w:fldChar w:fldCharType="begin"/>
            </w:r>
            <w:r>
              <w:rPr>
                <w:webHidden/>
              </w:rPr>
              <w:instrText xml:space="preserve"> PAGEREF _Toc12559197 \h </w:instrText>
            </w:r>
            <w:r>
              <w:rPr>
                <w:webHidden/>
              </w:rPr>
            </w:r>
            <w:r>
              <w:rPr>
                <w:webHidden/>
              </w:rPr>
              <w:fldChar w:fldCharType="separate"/>
            </w:r>
            <w:r>
              <w:rPr>
                <w:webHidden/>
              </w:rPr>
              <w:t>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198" w:history="1">
            <w:r w:rsidRPr="007A7831">
              <w:rPr>
                <w:rStyle w:val="Hyperlink"/>
                <w:rFonts w:eastAsiaTheme="majorEastAsia" w:cs="Arial"/>
              </w:rPr>
              <w:t>4.1.1.</w:t>
            </w:r>
            <w:r>
              <w:rPr>
                <w:rFonts w:asciiTheme="minorHAnsi" w:eastAsiaTheme="minorEastAsia" w:hAnsiTheme="minorHAnsi" w:cstheme="minorBidi"/>
                <w:b w:val="0"/>
                <w:sz w:val="22"/>
                <w:szCs w:val="22"/>
                <w:lang w:val="en-US" w:eastAsia="en-US"/>
              </w:rPr>
              <w:tab/>
            </w:r>
            <w:r w:rsidRPr="007A7831">
              <w:rPr>
                <w:rStyle w:val="Hyperlink"/>
                <w:rFonts w:eastAsiaTheme="majorEastAsia"/>
              </w:rPr>
              <w:t>Kolesa</w:t>
            </w:r>
            <w:r>
              <w:rPr>
                <w:webHidden/>
              </w:rPr>
              <w:tab/>
            </w:r>
            <w:r>
              <w:rPr>
                <w:webHidden/>
              </w:rPr>
              <w:fldChar w:fldCharType="begin"/>
            </w:r>
            <w:r>
              <w:rPr>
                <w:webHidden/>
              </w:rPr>
              <w:instrText xml:space="preserve"> PAGEREF _Toc12559198 \h </w:instrText>
            </w:r>
            <w:r>
              <w:rPr>
                <w:webHidden/>
              </w:rPr>
            </w:r>
            <w:r>
              <w:rPr>
                <w:webHidden/>
              </w:rPr>
              <w:fldChar w:fldCharType="separate"/>
            </w:r>
            <w:r>
              <w:rPr>
                <w:webHidden/>
              </w:rPr>
              <w:t>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199" w:history="1">
            <w:r w:rsidRPr="007A7831">
              <w:rPr>
                <w:rStyle w:val="Hyperlink"/>
                <w:rFonts w:eastAsiaTheme="majorEastAsia" w:cs="Arial"/>
              </w:rPr>
              <w:t>4.1.2.</w:t>
            </w:r>
            <w:r>
              <w:rPr>
                <w:rFonts w:asciiTheme="minorHAnsi" w:eastAsiaTheme="minorEastAsia" w:hAnsiTheme="minorHAnsi" w:cstheme="minorBidi"/>
                <w:b w:val="0"/>
                <w:sz w:val="22"/>
                <w:szCs w:val="22"/>
                <w:lang w:val="en-US" w:eastAsia="en-US"/>
              </w:rPr>
              <w:tab/>
            </w:r>
            <w:r w:rsidRPr="007A7831">
              <w:rPr>
                <w:rStyle w:val="Hyperlink"/>
                <w:rFonts w:eastAsiaTheme="majorEastAsia"/>
              </w:rPr>
              <w:t>Preskušanci</w:t>
            </w:r>
            <w:r>
              <w:rPr>
                <w:webHidden/>
              </w:rPr>
              <w:tab/>
            </w:r>
            <w:r>
              <w:rPr>
                <w:webHidden/>
              </w:rPr>
              <w:fldChar w:fldCharType="begin"/>
            </w:r>
            <w:r>
              <w:rPr>
                <w:webHidden/>
              </w:rPr>
              <w:instrText xml:space="preserve"> PAGEREF _Toc12559199 \h </w:instrText>
            </w:r>
            <w:r>
              <w:rPr>
                <w:webHidden/>
              </w:rPr>
            </w:r>
            <w:r>
              <w:rPr>
                <w:webHidden/>
              </w:rPr>
              <w:fldChar w:fldCharType="separate"/>
            </w:r>
            <w:r>
              <w:rPr>
                <w:webHidden/>
              </w:rPr>
              <w:t>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0" w:history="1">
            <w:r w:rsidRPr="007A7831">
              <w:rPr>
                <w:rStyle w:val="Hyperlink"/>
                <w:rFonts w:eastAsiaTheme="majorEastAsia"/>
              </w:rPr>
              <w:t>4.1.3.</w:t>
            </w:r>
            <w:r>
              <w:rPr>
                <w:rFonts w:asciiTheme="minorHAnsi" w:eastAsiaTheme="minorEastAsia" w:hAnsiTheme="minorHAnsi" w:cstheme="minorBidi"/>
                <w:b w:val="0"/>
                <w:sz w:val="22"/>
                <w:szCs w:val="22"/>
                <w:lang w:val="en-US" w:eastAsia="en-US"/>
              </w:rPr>
              <w:tab/>
            </w:r>
            <w:r w:rsidRPr="007A7831">
              <w:rPr>
                <w:rStyle w:val="Hyperlink"/>
                <w:rFonts w:eastAsiaTheme="majorEastAsia"/>
              </w:rPr>
              <w:t>Čistilni sistem</w:t>
            </w:r>
            <w:r>
              <w:rPr>
                <w:webHidden/>
              </w:rPr>
              <w:tab/>
            </w:r>
            <w:r>
              <w:rPr>
                <w:webHidden/>
              </w:rPr>
              <w:fldChar w:fldCharType="begin"/>
            </w:r>
            <w:r>
              <w:rPr>
                <w:webHidden/>
              </w:rPr>
              <w:instrText xml:space="preserve"> PAGEREF _Toc12559200 \h </w:instrText>
            </w:r>
            <w:r>
              <w:rPr>
                <w:webHidden/>
              </w:rPr>
            </w:r>
            <w:r>
              <w:rPr>
                <w:webHidden/>
              </w:rPr>
              <w:fldChar w:fldCharType="separate"/>
            </w:r>
            <w:r>
              <w:rPr>
                <w:webHidden/>
              </w:rPr>
              <w:t>7</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1" w:history="1">
            <w:r w:rsidRPr="007A7831">
              <w:rPr>
                <w:rStyle w:val="Hyperlink"/>
                <w:rFonts w:eastAsiaTheme="majorEastAsia"/>
              </w:rPr>
              <w:t>4.2.</w:t>
            </w:r>
            <w:r>
              <w:rPr>
                <w:rFonts w:asciiTheme="minorHAnsi" w:eastAsiaTheme="minorEastAsia" w:hAnsiTheme="minorHAnsi" w:cstheme="minorBidi"/>
                <w:b w:val="0"/>
                <w:sz w:val="22"/>
                <w:szCs w:val="22"/>
                <w:lang w:val="en-US" w:eastAsia="en-US"/>
              </w:rPr>
              <w:tab/>
            </w:r>
            <w:r w:rsidRPr="007A7831">
              <w:rPr>
                <w:rStyle w:val="Hyperlink"/>
                <w:rFonts w:eastAsiaTheme="majorEastAsia"/>
              </w:rPr>
              <w:t>Priprava preskušancev</w:t>
            </w:r>
            <w:r>
              <w:rPr>
                <w:webHidden/>
              </w:rPr>
              <w:tab/>
            </w:r>
            <w:r>
              <w:rPr>
                <w:webHidden/>
              </w:rPr>
              <w:fldChar w:fldCharType="begin"/>
            </w:r>
            <w:r>
              <w:rPr>
                <w:webHidden/>
              </w:rPr>
              <w:instrText xml:space="preserve"> PAGEREF _Toc12559201 \h </w:instrText>
            </w:r>
            <w:r>
              <w:rPr>
                <w:webHidden/>
              </w:rPr>
            </w:r>
            <w:r>
              <w:rPr>
                <w:webHidden/>
              </w:rPr>
              <w:fldChar w:fldCharType="separate"/>
            </w:r>
            <w:r>
              <w:rPr>
                <w:webHidden/>
              </w:rPr>
              <w:t>7</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2" w:history="1">
            <w:r w:rsidRPr="007A7831">
              <w:rPr>
                <w:rStyle w:val="Hyperlink"/>
                <w:rFonts w:eastAsiaTheme="majorEastAsia"/>
              </w:rPr>
              <w:t>4.2.1.</w:t>
            </w:r>
            <w:r>
              <w:rPr>
                <w:rFonts w:asciiTheme="minorHAnsi" w:eastAsiaTheme="minorEastAsia" w:hAnsiTheme="minorHAnsi" w:cstheme="minorBidi"/>
                <w:b w:val="0"/>
                <w:sz w:val="22"/>
                <w:szCs w:val="22"/>
                <w:lang w:val="en-US" w:eastAsia="en-US"/>
              </w:rPr>
              <w:tab/>
            </w:r>
            <w:r w:rsidRPr="007A7831">
              <w:rPr>
                <w:rStyle w:val="Hyperlink"/>
                <w:rFonts w:eastAsiaTheme="majorEastAsia"/>
              </w:rPr>
              <w:t>Nanos</w:t>
            </w:r>
            <w:r>
              <w:rPr>
                <w:webHidden/>
              </w:rPr>
              <w:tab/>
            </w:r>
            <w:r>
              <w:rPr>
                <w:webHidden/>
              </w:rPr>
              <w:fldChar w:fldCharType="begin"/>
            </w:r>
            <w:r>
              <w:rPr>
                <w:webHidden/>
              </w:rPr>
              <w:instrText xml:space="preserve"> PAGEREF _Toc12559202 \h </w:instrText>
            </w:r>
            <w:r>
              <w:rPr>
                <w:webHidden/>
              </w:rPr>
            </w:r>
            <w:r>
              <w:rPr>
                <w:webHidden/>
              </w:rPr>
              <w:fldChar w:fldCharType="separate"/>
            </w:r>
            <w:r>
              <w:rPr>
                <w:webHidden/>
              </w:rPr>
              <w:t>7</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3" w:history="1">
            <w:r w:rsidRPr="007A7831">
              <w:rPr>
                <w:rStyle w:val="Hyperlink"/>
                <w:rFonts w:eastAsiaTheme="majorEastAsia"/>
              </w:rPr>
              <w:t>4.2.2.</w:t>
            </w:r>
            <w:r>
              <w:rPr>
                <w:rFonts w:asciiTheme="minorHAnsi" w:eastAsiaTheme="minorEastAsia" w:hAnsiTheme="minorHAnsi" w:cstheme="minorBidi"/>
                <w:b w:val="0"/>
                <w:sz w:val="22"/>
                <w:szCs w:val="22"/>
                <w:lang w:val="en-US" w:eastAsia="en-US"/>
              </w:rPr>
              <w:tab/>
            </w:r>
            <w:r w:rsidRPr="007A7831">
              <w:rPr>
                <w:rStyle w:val="Hyperlink"/>
                <w:rFonts w:eastAsiaTheme="majorEastAsia"/>
              </w:rPr>
              <w:t>Meritve v zvezi z nanašanjem</w:t>
            </w:r>
            <w:r>
              <w:rPr>
                <w:webHidden/>
              </w:rPr>
              <w:tab/>
            </w:r>
            <w:r>
              <w:rPr>
                <w:webHidden/>
              </w:rPr>
              <w:fldChar w:fldCharType="begin"/>
            </w:r>
            <w:r>
              <w:rPr>
                <w:webHidden/>
              </w:rPr>
              <w:instrText xml:space="preserve"> PAGEREF _Toc12559203 \h </w:instrText>
            </w:r>
            <w:r>
              <w:rPr>
                <w:webHidden/>
              </w:rPr>
            </w:r>
            <w:r>
              <w:rPr>
                <w:webHidden/>
              </w:rPr>
              <w:fldChar w:fldCharType="separate"/>
            </w:r>
            <w:r>
              <w:rPr>
                <w:webHidden/>
              </w:rPr>
              <w:t>8</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4" w:history="1">
            <w:r w:rsidRPr="007A7831">
              <w:rPr>
                <w:rStyle w:val="Hyperlink"/>
                <w:rFonts w:eastAsiaTheme="majorEastAsia" w:cs="Arial"/>
              </w:rPr>
              <w:t>4.2.3.</w:t>
            </w:r>
            <w:r>
              <w:rPr>
                <w:rFonts w:asciiTheme="minorHAnsi" w:eastAsiaTheme="minorEastAsia" w:hAnsiTheme="minorHAnsi" w:cstheme="minorBidi"/>
                <w:b w:val="0"/>
                <w:sz w:val="22"/>
                <w:szCs w:val="22"/>
                <w:lang w:val="en-US" w:eastAsia="en-US"/>
              </w:rPr>
              <w:tab/>
            </w:r>
            <w:r w:rsidRPr="007A7831">
              <w:rPr>
                <w:rStyle w:val="Hyperlink"/>
                <w:rFonts w:eastAsiaTheme="majorEastAsia"/>
              </w:rPr>
              <w:t>Vzorčenje</w:t>
            </w:r>
            <w:r>
              <w:rPr>
                <w:webHidden/>
              </w:rPr>
              <w:tab/>
            </w:r>
            <w:r>
              <w:rPr>
                <w:webHidden/>
              </w:rPr>
              <w:fldChar w:fldCharType="begin"/>
            </w:r>
            <w:r>
              <w:rPr>
                <w:webHidden/>
              </w:rPr>
              <w:instrText xml:space="preserve"> PAGEREF _Toc12559204 \h </w:instrText>
            </w:r>
            <w:r>
              <w:rPr>
                <w:webHidden/>
              </w:rPr>
            </w:r>
            <w:r>
              <w:rPr>
                <w:webHidden/>
              </w:rPr>
              <w:fldChar w:fldCharType="separate"/>
            </w:r>
            <w:r>
              <w:rPr>
                <w:webHidden/>
              </w:rPr>
              <w:t>9</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5" w:history="1">
            <w:r w:rsidRPr="007A7831">
              <w:rPr>
                <w:rStyle w:val="Hyperlink"/>
                <w:rFonts w:eastAsiaTheme="majorEastAsia" w:cs="Arial"/>
              </w:rPr>
              <w:t>4.2.4.</w:t>
            </w:r>
            <w:r>
              <w:rPr>
                <w:rFonts w:asciiTheme="minorHAnsi" w:eastAsiaTheme="minorEastAsia" w:hAnsiTheme="minorHAnsi" w:cstheme="minorBidi"/>
                <w:b w:val="0"/>
                <w:sz w:val="22"/>
                <w:szCs w:val="22"/>
                <w:lang w:val="en-US" w:eastAsia="en-US"/>
              </w:rPr>
              <w:tab/>
            </w:r>
            <w:r w:rsidRPr="007A7831">
              <w:rPr>
                <w:rStyle w:val="Hyperlink"/>
                <w:rFonts w:eastAsiaTheme="majorEastAsia"/>
              </w:rPr>
              <w:t>Čas kondicioniranja</w:t>
            </w:r>
            <w:r>
              <w:rPr>
                <w:webHidden/>
              </w:rPr>
              <w:tab/>
            </w:r>
            <w:r>
              <w:rPr>
                <w:webHidden/>
              </w:rPr>
              <w:fldChar w:fldCharType="begin"/>
            </w:r>
            <w:r>
              <w:rPr>
                <w:webHidden/>
              </w:rPr>
              <w:instrText xml:space="preserve"> PAGEREF _Toc12559205 \h </w:instrText>
            </w:r>
            <w:r>
              <w:rPr>
                <w:webHidden/>
              </w:rPr>
            </w:r>
            <w:r>
              <w:rPr>
                <w:webHidden/>
              </w:rPr>
              <w:fldChar w:fldCharType="separate"/>
            </w:r>
            <w:r>
              <w:rPr>
                <w:webHidden/>
              </w:rPr>
              <w:t>9</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6" w:history="1">
            <w:r w:rsidRPr="007A7831">
              <w:rPr>
                <w:rStyle w:val="Hyperlink"/>
                <w:rFonts w:eastAsiaTheme="majorEastAsia"/>
              </w:rPr>
              <w:t>4.2.5.</w:t>
            </w:r>
            <w:r>
              <w:rPr>
                <w:rFonts w:asciiTheme="minorHAnsi" w:eastAsiaTheme="minorEastAsia" w:hAnsiTheme="minorHAnsi" w:cstheme="minorBidi"/>
                <w:b w:val="0"/>
                <w:sz w:val="22"/>
                <w:szCs w:val="22"/>
                <w:lang w:val="en-US" w:eastAsia="en-US"/>
              </w:rPr>
              <w:tab/>
            </w:r>
            <w:r w:rsidRPr="007A7831">
              <w:rPr>
                <w:rStyle w:val="Hyperlink"/>
                <w:rFonts w:eastAsiaTheme="majorEastAsia"/>
              </w:rPr>
              <w:t>Smer nanosa</w:t>
            </w:r>
            <w:r>
              <w:rPr>
                <w:webHidden/>
              </w:rPr>
              <w:tab/>
            </w:r>
            <w:r>
              <w:rPr>
                <w:webHidden/>
              </w:rPr>
              <w:fldChar w:fldCharType="begin"/>
            </w:r>
            <w:r>
              <w:rPr>
                <w:webHidden/>
              </w:rPr>
              <w:instrText xml:space="preserve"> PAGEREF _Toc12559206 \h </w:instrText>
            </w:r>
            <w:r>
              <w:rPr>
                <w:webHidden/>
              </w:rPr>
            </w:r>
            <w:r>
              <w:rPr>
                <w:webHidden/>
              </w:rPr>
              <w:fldChar w:fldCharType="separate"/>
            </w:r>
            <w:r>
              <w:rPr>
                <w:webHidden/>
              </w:rPr>
              <w:t>9</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7" w:history="1">
            <w:r w:rsidRPr="007A7831">
              <w:rPr>
                <w:rStyle w:val="Hyperlink"/>
                <w:rFonts w:eastAsiaTheme="majorEastAsia" w:cs="Arial"/>
              </w:rPr>
              <w:t>4.3.</w:t>
            </w:r>
            <w:r>
              <w:rPr>
                <w:rFonts w:asciiTheme="minorHAnsi" w:eastAsiaTheme="minorEastAsia" w:hAnsiTheme="minorHAnsi" w:cstheme="minorBidi"/>
                <w:b w:val="0"/>
                <w:sz w:val="22"/>
                <w:szCs w:val="22"/>
                <w:lang w:val="en-US" w:eastAsia="en-US"/>
              </w:rPr>
              <w:tab/>
            </w:r>
            <w:r w:rsidRPr="007A7831">
              <w:rPr>
                <w:rStyle w:val="Hyperlink"/>
                <w:rFonts w:eastAsiaTheme="majorEastAsia"/>
              </w:rPr>
              <w:t>Referenčni vzorec</w:t>
            </w:r>
            <w:r>
              <w:rPr>
                <w:webHidden/>
              </w:rPr>
              <w:tab/>
            </w:r>
            <w:r>
              <w:rPr>
                <w:webHidden/>
              </w:rPr>
              <w:fldChar w:fldCharType="begin"/>
            </w:r>
            <w:r>
              <w:rPr>
                <w:webHidden/>
              </w:rPr>
              <w:instrText xml:space="preserve"> PAGEREF _Toc12559207 \h </w:instrText>
            </w:r>
            <w:r>
              <w:rPr>
                <w:webHidden/>
              </w:rPr>
            </w:r>
            <w:r>
              <w:rPr>
                <w:webHidden/>
              </w:rPr>
              <w:fldChar w:fldCharType="separate"/>
            </w:r>
            <w:r>
              <w:rPr>
                <w:webHidden/>
              </w:rPr>
              <w:t>9</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8" w:history="1">
            <w:r w:rsidRPr="007A7831">
              <w:rPr>
                <w:rStyle w:val="Hyperlink"/>
                <w:rFonts w:eastAsiaTheme="majorEastAsia"/>
              </w:rPr>
              <w:t>4.4.</w:t>
            </w:r>
            <w:r>
              <w:rPr>
                <w:rFonts w:asciiTheme="minorHAnsi" w:eastAsiaTheme="minorEastAsia" w:hAnsiTheme="minorHAnsi" w:cstheme="minorBidi"/>
                <w:b w:val="0"/>
                <w:sz w:val="22"/>
                <w:szCs w:val="22"/>
                <w:lang w:val="en-US" w:eastAsia="en-US"/>
              </w:rPr>
              <w:tab/>
            </w:r>
            <w:r w:rsidRPr="007A7831">
              <w:rPr>
                <w:rStyle w:val="Hyperlink"/>
                <w:rFonts w:eastAsiaTheme="majorEastAsia"/>
              </w:rPr>
              <w:t>Izvajanje preskusa</w:t>
            </w:r>
            <w:r>
              <w:rPr>
                <w:webHidden/>
              </w:rPr>
              <w:tab/>
            </w:r>
            <w:r>
              <w:rPr>
                <w:webHidden/>
              </w:rPr>
              <w:fldChar w:fldCharType="begin"/>
            </w:r>
            <w:r>
              <w:rPr>
                <w:webHidden/>
              </w:rPr>
              <w:instrText xml:space="preserve"> PAGEREF _Toc12559208 \h </w:instrText>
            </w:r>
            <w:r>
              <w:rPr>
                <w:webHidden/>
              </w:rPr>
            </w:r>
            <w:r>
              <w:rPr>
                <w:webHidden/>
              </w:rPr>
              <w:fldChar w:fldCharType="separate"/>
            </w:r>
            <w:r>
              <w:rPr>
                <w:webHidden/>
              </w:rPr>
              <w:t>9</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09" w:history="1">
            <w:r w:rsidRPr="007A7831">
              <w:rPr>
                <w:rStyle w:val="Hyperlink"/>
                <w:rFonts w:eastAsiaTheme="majorEastAsia" w:cs="Arial"/>
              </w:rPr>
              <w:t>4.4.1.</w:t>
            </w:r>
            <w:r>
              <w:rPr>
                <w:rFonts w:asciiTheme="minorHAnsi" w:eastAsiaTheme="minorEastAsia" w:hAnsiTheme="minorHAnsi" w:cstheme="minorBidi"/>
                <w:b w:val="0"/>
                <w:sz w:val="22"/>
                <w:szCs w:val="22"/>
                <w:lang w:val="en-US" w:eastAsia="en-US"/>
              </w:rPr>
              <w:tab/>
            </w:r>
            <w:r w:rsidRPr="007A7831">
              <w:rPr>
                <w:rStyle w:val="Hyperlink"/>
                <w:rFonts w:eastAsiaTheme="majorEastAsia"/>
              </w:rPr>
              <w:t>Preskusni pogoji</w:t>
            </w:r>
            <w:r>
              <w:rPr>
                <w:webHidden/>
              </w:rPr>
              <w:tab/>
            </w:r>
            <w:r>
              <w:rPr>
                <w:webHidden/>
              </w:rPr>
              <w:fldChar w:fldCharType="begin"/>
            </w:r>
            <w:r>
              <w:rPr>
                <w:webHidden/>
              </w:rPr>
              <w:instrText xml:space="preserve"> PAGEREF _Toc12559209 \h </w:instrText>
            </w:r>
            <w:r>
              <w:rPr>
                <w:webHidden/>
              </w:rPr>
            </w:r>
            <w:r>
              <w:rPr>
                <w:webHidden/>
              </w:rPr>
              <w:fldChar w:fldCharType="separate"/>
            </w:r>
            <w:r>
              <w:rPr>
                <w:webHidden/>
              </w:rPr>
              <w:t>10</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0" w:history="1">
            <w:r w:rsidRPr="007A7831">
              <w:rPr>
                <w:rStyle w:val="Hyperlink"/>
                <w:rFonts w:eastAsiaTheme="majorEastAsia"/>
              </w:rPr>
              <w:t>4.4.2.</w:t>
            </w:r>
            <w:r>
              <w:rPr>
                <w:rFonts w:asciiTheme="minorHAnsi" w:eastAsiaTheme="minorEastAsia" w:hAnsiTheme="minorHAnsi" w:cstheme="minorBidi"/>
                <w:b w:val="0"/>
                <w:sz w:val="22"/>
                <w:szCs w:val="22"/>
                <w:lang w:val="en-US" w:eastAsia="en-US"/>
              </w:rPr>
              <w:tab/>
            </w:r>
            <w:r w:rsidRPr="007A7831">
              <w:rPr>
                <w:rStyle w:val="Hyperlink"/>
                <w:rFonts w:eastAsiaTheme="majorEastAsia"/>
              </w:rPr>
              <w:t>Meritve v zvezi z napravo in preskusnimi pogoji</w:t>
            </w:r>
            <w:r>
              <w:rPr>
                <w:webHidden/>
              </w:rPr>
              <w:tab/>
            </w:r>
            <w:r>
              <w:rPr>
                <w:webHidden/>
              </w:rPr>
              <w:fldChar w:fldCharType="begin"/>
            </w:r>
            <w:r>
              <w:rPr>
                <w:webHidden/>
              </w:rPr>
              <w:instrText xml:space="preserve"> PAGEREF _Toc12559210 \h </w:instrText>
            </w:r>
            <w:r>
              <w:rPr>
                <w:webHidden/>
              </w:rPr>
            </w:r>
            <w:r>
              <w:rPr>
                <w:webHidden/>
              </w:rPr>
              <w:fldChar w:fldCharType="separate"/>
            </w:r>
            <w:r>
              <w:rPr>
                <w:webHidden/>
              </w:rPr>
              <w:t>11</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1" w:history="1">
            <w:r w:rsidRPr="007A7831">
              <w:rPr>
                <w:rStyle w:val="Hyperlink"/>
                <w:rFonts w:eastAsiaTheme="majorEastAsia"/>
              </w:rPr>
              <w:t>4.4.3.</w:t>
            </w:r>
            <w:r>
              <w:rPr>
                <w:rFonts w:asciiTheme="minorHAnsi" w:eastAsiaTheme="minorEastAsia" w:hAnsiTheme="minorHAnsi" w:cstheme="minorBidi"/>
                <w:b w:val="0"/>
                <w:sz w:val="22"/>
                <w:szCs w:val="22"/>
                <w:lang w:val="en-US" w:eastAsia="en-US"/>
              </w:rPr>
              <w:tab/>
            </w:r>
            <w:r w:rsidRPr="007A7831">
              <w:rPr>
                <w:rStyle w:val="Hyperlink"/>
                <w:rFonts w:eastAsiaTheme="majorEastAsia"/>
              </w:rPr>
              <w:t>Meritve prometno-tehničnih lastnosti sistemov za označevanje</w:t>
            </w:r>
            <w:r>
              <w:rPr>
                <w:webHidden/>
              </w:rPr>
              <w:tab/>
            </w:r>
            <w:r>
              <w:rPr>
                <w:webHidden/>
              </w:rPr>
              <w:fldChar w:fldCharType="begin"/>
            </w:r>
            <w:r>
              <w:rPr>
                <w:webHidden/>
              </w:rPr>
              <w:instrText xml:space="preserve"> PAGEREF _Toc12559211 \h </w:instrText>
            </w:r>
            <w:r>
              <w:rPr>
                <w:webHidden/>
              </w:rPr>
            </w:r>
            <w:r>
              <w:rPr>
                <w:webHidden/>
              </w:rPr>
              <w:fldChar w:fldCharType="separate"/>
            </w:r>
            <w:r>
              <w:rPr>
                <w:webHidden/>
              </w:rPr>
              <w:t>11</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2" w:history="1">
            <w:r w:rsidRPr="007A7831">
              <w:rPr>
                <w:rStyle w:val="Hyperlink"/>
                <w:rFonts w:eastAsiaTheme="majorEastAsia"/>
              </w:rPr>
              <w:t>4.4.4.</w:t>
            </w:r>
            <w:r>
              <w:rPr>
                <w:rFonts w:asciiTheme="minorHAnsi" w:eastAsiaTheme="minorEastAsia" w:hAnsiTheme="minorHAnsi" w:cstheme="minorBidi"/>
                <w:b w:val="0"/>
                <w:sz w:val="22"/>
                <w:szCs w:val="22"/>
                <w:lang w:val="en-US" w:eastAsia="en-US"/>
              </w:rPr>
              <w:tab/>
            </w:r>
            <w:r w:rsidRPr="007A7831">
              <w:rPr>
                <w:rStyle w:val="Hyperlink"/>
                <w:rFonts w:eastAsiaTheme="majorEastAsia"/>
              </w:rPr>
              <w:t>Presoja preskusov</w:t>
            </w:r>
            <w:r>
              <w:rPr>
                <w:webHidden/>
              </w:rPr>
              <w:tab/>
            </w:r>
            <w:r>
              <w:rPr>
                <w:webHidden/>
              </w:rPr>
              <w:fldChar w:fldCharType="begin"/>
            </w:r>
            <w:r>
              <w:rPr>
                <w:webHidden/>
              </w:rPr>
              <w:instrText xml:space="preserve"> PAGEREF _Toc12559212 \h </w:instrText>
            </w:r>
            <w:r>
              <w:rPr>
                <w:webHidden/>
              </w:rPr>
            </w:r>
            <w:r>
              <w:rPr>
                <w:webHidden/>
              </w:rPr>
              <w:fldChar w:fldCharType="separate"/>
            </w:r>
            <w:r>
              <w:rPr>
                <w:webHidden/>
              </w:rPr>
              <w:t>11</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3" w:history="1">
            <w:r w:rsidRPr="007A7831">
              <w:rPr>
                <w:rStyle w:val="Hyperlink"/>
                <w:rFonts w:eastAsiaTheme="majorEastAsia"/>
              </w:rPr>
              <w:t>4.4.5.</w:t>
            </w:r>
            <w:r>
              <w:rPr>
                <w:rFonts w:asciiTheme="minorHAnsi" w:eastAsiaTheme="minorEastAsia" w:hAnsiTheme="minorHAnsi" w:cstheme="minorBidi"/>
                <w:b w:val="0"/>
                <w:sz w:val="22"/>
                <w:szCs w:val="22"/>
                <w:lang w:val="en-US" w:eastAsia="en-US"/>
              </w:rPr>
              <w:tab/>
            </w:r>
            <w:r w:rsidRPr="007A7831">
              <w:rPr>
                <w:rStyle w:val="Hyperlink"/>
                <w:rFonts w:eastAsiaTheme="majorEastAsia"/>
              </w:rPr>
              <w:t>Kontrola preskusov (ponovljivost)</w:t>
            </w:r>
            <w:r>
              <w:rPr>
                <w:webHidden/>
              </w:rPr>
              <w:tab/>
            </w:r>
            <w:r>
              <w:rPr>
                <w:webHidden/>
              </w:rPr>
              <w:fldChar w:fldCharType="begin"/>
            </w:r>
            <w:r>
              <w:rPr>
                <w:webHidden/>
              </w:rPr>
              <w:instrText xml:space="preserve"> PAGEREF _Toc12559213 \h </w:instrText>
            </w:r>
            <w:r>
              <w:rPr>
                <w:webHidden/>
              </w:rPr>
            </w:r>
            <w:r>
              <w:rPr>
                <w:webHidden/>
              </w:rPr>
              <w:fldChar w:fldCharType="separate"/>
            </w:r>
            <w:r>
              <w:rPr>
                <w:webHidden/>
              </w:rPr>
              <w:t>12</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4" w:history="1">
            <w:r w:rsidRPr="007A7831">
              <w:rPr>
                <w:rStyle w:val="Hyperlink"/>
                <w:rFonts w:eastAsiaTheme="majorEastAsia"/>
              </w:rPr>
              <w:t>5.</w:t>
            </w:r>
            <w:r>
              <w:rPr>
                <w:rFonts w:asciiTheme="minorHAnsi" w:eastAsiaTheme="minorEastAsia" w:hAnsiTheme="minorHAnsi" w:cstheme="minorBidi"/>
                <w:b w:val="0"/>
                <w:sz w:val="22"/>
                <w:szCs w:val="22"/>
                <w:lang w:val="en-US" w:eastAsia="en-US"/>
              </w:rPr>
              <w:tab/>
            </w:r>
            <w:r w:rsidRPr="007A7831">
              <w:rPr>
                <w:rStyle w:val="Hyperlink"/>
                <w:rFonts w:eastAsiaTheme="majorEastAsia"/>
              </w:rPr>
              <w:t>Kemično-fizikalni preskusi materialov za označevanje in dodatkov (preskus vzorca)</w:t>
            </w:r>
            <w:r>
              <w:rPr>
                <w:webHidden/>
              </w:rPr>
              <w:tab/>
            </w:r>
            <w:r>
              <w:rPr>
                <w:webHidden/>
              </w:rPr>
              <w:fldChar w:fldCharType="begin"/>
            </w:r>
            <w:r>
              <w:rPr>
                <w:webHidden/>
              </w:rPr>
              <w:instrText xml:space="preserve"> PAGEREF _Toc12559214 \h </w:instrText>
            </w:r>
            <w:r>
              <w:rPr>
                <w:webHidden/>
              </w:rPr>
            </w:r>
            <w:r>
              <w:rPr>
                <w:webHidden/>
              </w:rPr>
              <w:fldChar w:fldCharType="separate"/>
            </w:r>
            <w:r>
              <w:rPr>
                <w:webHidden/>
              </w:rPr>
              <w:t>12</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5" w:history="1">
            <w:r w:rsidRPr="007A7831">
              <w:rPr>
                <w:rStyle w:val="Hyperlink"/>
                <w:rFonts w:eastAsiaTheme="majorEastAsia"/>
              </w:rPr>
              <w:t>5.1.</w:t>
            </w:r>
            <w:r>
              <w:rPr>
                <w:rFonts w:asciiTheme="minorHAnsi" w:eastAsiaTheme="minorEastAsia" w:hAnsiTheme="minorHAnsi" w:cstheme="minorBidi"/>
                <w:b w:val="0"/>
                <w:sz w:val="22"/>
                <w:szCs w:val="22"/>
                <w:lang w:val="en-US" w:eastAsia="en-US"/>
              </w:rPr>
              <w:tab/>
            </w:r>
            <w:r w:rsidRPr="007A7831">
              <w:rPr>
                <w:rStyle w:val="Hyperlink"/>
                <w:rFonts w:eastAsiaTheme="majorEastAsia"/>
              </w:rPr>
              <w:t>Splošno</w:t>
            </w:r>
            <w:r>
              <w:rPr>
                <w:webHidden/>
              </w:rPr>
              <w:tab/>
            </w:r>
            <w:r>
              <w:rPr>
                <w:webHidden/>
              </w:rPr>
              <w:fldChar w:fldCharType="begin"/>
            </w:r>
            <w:r>
              <w:rPr>
                <w:webHidden/>
              </w:rPr>
              <w:instrText xml:space="preserve"> PAGEREF _Toc12559215 \h </w:instrText>
            </w:r>
            <w:r>
              <w:rPr>
                <w:webHidden/>
              </w:rPr>
            </w:r>
            <w:r>
              <w:rPr>
                <w:webHidden/>
              </w:rPr>
              <w:fldChar w:fldCharType="separate"/>
            </w:r>
            <w:r>
              <w:rPr>
                <w:webHidden/>
              </w:rPr>
              <w:t>12</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6" w:history="1">
            <w:r w:rsidRPr="007A7831">
              <w:rPr>
                <w:rStyle w:val="Hyperlink"/>
                <w:rFonts w:eastAsiaTheme="majorEastAsia"/>
              </w:rPr>
              <w:t>5.2.</w:t>
            </w:r>
            <w:r>
              <w:rPr>
                <w:rFonts w:asciiTheme="minorHAnsi" w:eastAsiaTheme="minorEastAsia" w:hAnsiTheme="minorHAnsi" w:cstheme="minorBidi"/>
                <w:b w:val="0"/>
                <w:sz w:val="22"/>
                <w:szCs w:val="22"/>
                <w:lang w:val="en-US" w:eastAsia="en-US"/>
              </w:rPr>
              <w:tab/>
            </w:r>
            <w:r w:rsidRPr="007A7831">
              <w:rPr>
                <w:rStyle w:val="Hyperlink"/>
                <w:rFonts w:eastAsiaTheme="majorEastAsia"/>
              </w:rPr>
              <w:t>Vzorčenje</w:t>
            </w:r>
            <w:r>
              <w:rPr>
                <w:webHidden/>
              </w:rPr>
              <w:tab/>
            </w:r>
            <w:r>
              <w:rPr>
                <w:webHidden/>
              </w:rPr>
              <w:fldChar w:fldCharType="begin"/>
            </w:r>
            <w:r>
              <w:rPr>
                <w:webHidden/>
              </w:rPr>
              <w:instrText xml:space="preserve"> PAGEREF _Toc12559216 \h </w:instrText>
            </w:r>
            <w:r>
              <w:rPr>
                <w:webHidden/>
              </w:rPr>
            </w:r>
            <w:r>
              <w:rPr>
                <w:webHidden/>
              </w:rPr>
              <w:fldChar w:fldCharType="separate"/>
            </w:r>
            <w:r>
              <w:rPr>
                <w:webHidden/>
              </w:rPr>
              <w:t>13</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7" w:history="1">
            <w:r w:rsidRPr="007A7831">
              <w:rPr>
                <w:rStyle w:val="Hyperlink"/>
                <w:rFonts w:eastAsiaTheme="majorEastAsia"/>
              </w:rPr>
              <w:t>5.3.</w:t>
            </w:r>
            <w:r>
              <w:rPr>
                <w:rFonts w:asciiTheme="minorHAnsi" w:eastAsiaTheme="minorEastAsia" w:hAnsiTheme="minorHAnsi" w:cstheme="minorBidi"/>
                <w:b w:val="0"/>
                <w:sz w:val="22"/>
                <w:szCs w:val="22"/>
                <w:lang w:val="en-US" w:eastAsia="en-US"/>
              </w:rPr>
              <w:tab/>
            </w:r>
            <w:r w:rsidRPr="007A7831">
              <w:rPr>
                <w:rStyle w:val="Hyperlink"/>
                <w:rFonts w:eastAsiaTheme="majorEastAsia"/>
              </w:rPr>
              <w:t>Preskušanje vzorcev sistemov za označevanje, ki niso predpripravljeni</w:t>
            </w:r>
            <w:r>
              <w:rPr>
                <w:webHidden/>
              </w:rPr>
              <w:tab/>
            </w:r>
            <w:r>
              <w:rPr>
                <w:webHidden/>
              </w:rPr>
              <w:fldChar w:fldCharType="begin"/>
            </w:r>
            <w:r>
              <w:rPr>
                <w:webHidden/>
              </w:rPr>
              <w:instrText xml:space="preserve"> PAGEREF _Toc12559217 \h </w:instrText>
            </w:r>
            <w:r>
              <w:rPr>
                <w:webHidden/>
              </w:rPr>
            </w:r>
            <w:r>
              <w:rPr>
                <w:webHidden/>
              </w:rPr>
              <w:fldChar w:fldCharType="separate"/>
            </w:r>
            <w:r>
              <w:rPr>
                <w:webHidden/>
              </w:rPr>
              <w:t>13</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8" w:history="1">
            <w:r w:rsidRPr="007A7831">
              <w:rPr>
                <w:rStyle w:val="Hyperlink"/>
                <w:rFonts w:eastAsiaTheme="majorEastAsia"/>
              </w:rPr>
              <w:t>5.3.1.</w:t>
            </w:r>
            <w:r>
              <w:rPr>
                <w:rFonts w:asciiTheme="minorHAnsi" w:eastAsiaTheme="minorEastAsia" w:hAnsiTheme="minorHAnsi" w:cstheme="minorBidi"/>
                <w:b w:val="0"/>
                <w:sz w:val="22"/>
                <w:szCs w:val="22"/>
                <w:lang w:val="en-US" w:eastAsia="en-US"/>
              </w:rPr>
              <w:tab/>
            </w:r>
            <w:r w:rsidRPr="007A7831">
              <w:rPr>
                <w:rStyle w:val="Hyperlink"/>
                <w:rFonts w:eastAsiaTheme="majorEastAsia"/>
              </w:rPr>
              <w:t>Določanje organskih in anorganskih deležev</w:t>
            </w:r>
            <w:r>
              <w:rPr>
                <w:webHidden/>
              </w:rPr>
              <w:tab/>
            </w:r>
            <w:r>
              <w:rPr>
                <w:webHidden/>
              </w:rPr>
              <w:fldChar w:fldCharType="begin"/>
            </w:r>
            <w:r>
              <w:rPr>
                <w:webHidden/>
              </w:rPr>
              <w:instrText xml:space="preserve"> PAGEREF _Toc12559218 \h </w:instrText>
            </w:r>
            <w:r>
              <w:rPr>
                <w:webHidden/>
              </w:rPr>
            </w:r>
            <w:r>
              <w:rPr>
                <w:webHidden/>
              </w:rPr>
              <w:fldChar w:fldCharType="separate"/>
            </w:r>
            <w:r>
              <w:rPr>
                <w:webHidden/>
              </w:rPr>
              <w:t>13</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19" w:history="1">
            <w:r w:rsidRPr="007A7831">
              <w:rPr>
                <w:rStyle w:val="Hyperlink"/>
                <w:rFonts w:eastAsiaTheme="majorEastAsia"/>
              </w:rPr>
              <w:t>5.3.2.</w:t>
            </w:r>
            <w:r>
              <w:rPr>
                <w:rFonts w:asciiTheme="minorHAnsi" w:eastAsiaTheme="minorEastAsia" w:hAnsiTheme="minorHAnsi" w:cstheme="minorBidi"/>
                <w:b w:val="0"/>
                <w:sz w:val="22"/>
                <w:szCs w:val="22"/>
                <w:lang w:val="en-US" w:eastAsia="en-US"/>
              </w:rPr>
              <w:tab/>
            </w:r>
            <w:r w:rsidRPr="007A7831">
              <w:rPr>
                <w:rStyle w:val="Hyperlink"/>
                <w:rFonts w:eastAsiaTheme="majorEastAsia"/>
              </w:rPr>
              <w:t>Določanje hlapnih organskih spojin in monomerov/oligomerov</w:t>
            </w:r>
            <w:r>
              <w:rPr>
                <w:webHidden/>
              </w:rPr>
              <w:tab/>
            </w:r>
            <w:r>
              <w:rPr>
                <w:webHidden/>
              </w:rPr>
              <w:fldChar w:fldCharType="begin"/>
            </w:r>
            <w:r>
              <w:rPr>
                <w:webHidden/>
              </w:rPr>
              <w:instrText xml:space="preserve"> PAGEREF _Toc12559219 \h </w:instrText>
            </w:r>
            <w:r>
              <w:rPr>
                <w:webHidden/>
              </w:rPr>
            </w:r>
            <w:r>
              <w:rPr>
                <w:webHidden/>
              </w:rPr>
              <w:fldChar w:fldCharType="separate"/>
            </w:r>
            <w:r>
              <w:rPr>
                <w:webHidden/>
              </w:rPr>
              <w:t>14</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0" w:history="1">
            <w:r w:rsidRPr="007A7831">
              <w:rPr>
                <w:rStyle w:val="Hyperlink"/>
                <w:rFonts w:eastAsiaTheme="majorEastAsia"/>
              </w:rPr>
              <w:t>5.3.3.</w:t>
            </w:r>
            <w:r>
              <w:rPr>
                <w:rFonts w:asciiTheme="minorHAnsi" w:eastAsiaTheme="minorEastAsia" w:hAnsiTheme="minorHAnsi" w:cstheme="minorBidi"/>
                <w:b w:val="0"/>
                <w:sz w:val="22"/>
                <w:szCs w:val="22"/>
                <w:lang w:val="en-US" w:eastAsia="en-US"/>
              </w:rPr>
              <w:tab/>
            </w:r>
            <w:r w:rsidRPr="007A7831">
              <w:rPr>
                <w:rStyle w:val="Hyperlink"/>
                <w:rFonts w:eastAsiaTheme="majorEastAsia"/>
              </w:rPr>
              <w:t>Določanje vsebnosti titanovega dioksida v anorganskih ostankih</w:t>
            </w:r>
            <w:r>
              <w:rPr>
                <w:webHidden/>
              </w:rPr>
              <w:tab/>
            </w:r>
            <w:r>
              <w:rPr>
                <w:webHidden/>
              </w:rPr>
              <w:fldChar w:fldCharType="begin"/>
            </w:r>
            <w:r>
              <w:rPr>
                <w:webHidden/>
              </w:rPr>
              <w:instrText xml:space="preserve"> PAGEREF _Toc12559220 \h </w:instrText>
            </w:r>
            <w:r>
              <w:rPr>
                <w:webHidden/>
              </w:rPr>
            </w:r>
            <w:r>
              <w:rPr>
                <w:webHidden/>
              </w:rPr>
              <w:fldChar w:fldCharType="separate"/>
            </w:r>
            <w:r>
              <w:rPr>
                <w:webHidden/>
              </w:rPr>
              <w:t>14</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1" w:history="1">
            <w:r w:rsidRPr="007A7831">
              <w:rPr>
                <w:rStyle w:val="Hyperlink"/>
                <w:rFonts w:eastAsiaTheme="majorEastAsia"/>
              </w:rPr>
              <w:t>5.3.4.</w:t>
            </w:r>
            <w:r>
              <w:rPr>
                <w:rFonts w:asciiTheme="minorHAnsi" w:eastAsiaTheme="minorEastAsia" w:hAnsiTheme="minorHAnsi" w:cstheme="minorBidi"/>
                <w:b w:val="0"/>
                <w:sz w:val="22"/>
                <w:szCs w:val="22"/>
                <w:lang w:val="en-US" w:eastAsia="en-US"/>
              </w:rPr>
              <w:tab/>
            </w:r>
            <w:r w:rsidRPr="007A7831">
              <w:rPr>
                <w:rStyle w:val="Hyperlink"/>
                <w:rFonts w:eastAsiaTheme="majorEastAsia"/>
              </w:rPr>
              <w:t>Določanje deležev snovi za primešanje</w:t>
            </w:r>
            <w:r>
              <w:rPr>
                <w:webHidden/>
              </w:rPr>
              <w:tab/>
            </w:r>
            <w:r>
              <w:rPr>
                <w:webHidden/>
              </w:rPr>
              <w:fldChar w:fldCharType="begin"/>
            </w:r>
            <w:r>
              <w:rPr>
                <w:webHidden/>
              </w:rPr>
              <w:instrText xml:space="preserve"> PAGEREF _Toc12559221 \h </w:instrText>
            </w:r>
            <w:r>
              <w:rPr>
                <w:webHidden/>
              </w:rPr>
            </w:r>
            <w:r>
              <w:rPr>
                <w:webHidden/>
              </w:rPr>
              <w:fldChar w:fldCharType="separate"/>
            </w:r>
            <w:r>
              <w:rPr>
                <w:webHidden/>
              </w:rPr>
              <w:t>14</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2" w:history="1">
            <w:r w:rsidRPr="007A7831">
              <w:rPr>
                <w:rStyle w:val="Hyperlink"/>
                <w:rFonts w:eastAsiaTheme="majorEastAsia"/>
              </w:rPr>
              <w:t>5.3.5.</w:t>
            </w:r>
            <w:r>
              <w:rPr>
                <w:rFonts w:asciiTheme="minorHAnsi" w:eastAsiaTheme="minorEastAsia" w:hAnsiTheme="minorHAnsi" w:cstheme="minorBidi"/>
                <w:b w:val="0"/>
                <w:sz w:val="22"/>
                <w:szCs w:val="22"/>
                <w:lang w:val="en-US" w:eastAsia="en-US"/>
              </w:rPr>
              <w:tab/>
            </w:r>
            <w:r w:rsidRPr="007A7831">
              <w:rPr>
                <w:rStyle w:val="Hyperlink"/>
                <w:rFonts w:eastAsiaTheme="majorEastAsia"/>
              </w:rPr>
              <w:t>Določanje zmehčišča po Wilhelmu</w:t>
            </w:r>
            <w:r>
              <w:rPr>
                <w:webHidden/>
              </w:rPr>
              <w:tab/>
            </w:r>
            <w:r>
              <w:rPr>
                <w:webHidden/>
              </w:rPr>
              <w:fldChar w:fldCharType="begin"/>
            </w:r>
            <w:r>
              <w:rPr>
                <w:webHidden/>
              </w:rPr>
              <w:instrText xml:space="preserve"> PAGEREF _Toc12559222 \h </w:instrText>
            </w:r>
            <w:r>
              <w:rPr>
                <w:webHidden/>
              </w:rPr>
            </w:r>
            <w:r>
              <w:rPr>
                <w:webHidden/>
              </w:rPr>
              <w:fldChar w:fldCharType="separate"/>
            </w:r>
            <w:r>
              <w:rPr>
                <w:webHidden/>
              </w:rPr>
              <w:t>14</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3" w:history="1">
            <w:r w:rsidRPr="007A7831">
              <w:rPr>
                <w:rStyle w:val="Hyperlink"/>
                <w:rFonts w:eastAsiaTheme="majorEastAsia"/>
              </w:rPr>
              <w:t>5.3.6.</w:t>
            </w:r>
            <w:r>
              <w:rPr>
                <w:rFonts w:asciiTheme="minorHAnsi" w:eastAsiaTheme="minorEastAsia" w:hAnsiTheme="minorHAnsi" w:cstheme="minorBidi"/>
                <w:b w:val="0"/>
                <w:sz w:val="22"/>
                <w:szCs w:val="22"/>
                <w:lang w:val="en-US" w:eastAsia="en-US"/>
              </w:rPr>
              <w:tab/>
            </w:r>
            <w:r w:rsidRPr="007A7831">
              <w:rPr>
                <w:rStyle w:val="Hyperlink"/>
                <w:rFonts w:eastAsiaTheme="majorEastAsia"/>
              </w:rPr>
              <w:t>Odpornost proti pronicanju</w:t>
            </w:r>
            <w:r>
              <w:rPr>
                <w:webHidden/>
              </w:rPr>
              <w:tab/>
            </w:r>
            <w:r>
              <w:rPr>
                <w:webHidden/>
              </w:rPr>
              <w:fldChar w:fldCharType="begin"/>
            </w:r>
            <w:r>
              <w:rPr>
                <w:webHidden/>
              </w:rPr>
              <w:instrText xml:space="preserve"> PAGEREF _Toc12559223 \h </w:instrText>
            </w:r>
            <w:r>
              <w:rPr>
                <w:webHidden/>
              </w:rPr>
            </w:r>
            <w:r>
              <w:rPr>
                <w:webHidden/>
              </w:rPr>
              <w:fldChar w:fldCharType="separate"/>
            </w:r>
            <w:r>
              <w:rPr>
                <w:webHidden/>
              </w:rPr>
              <w:t>14</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4" w:history="1">
            <w:r w:rsidRPr="007A7831">
              <w:rPr>
                <w:rStyle w:val="Hyperlink"/>
                <w:rFonts w:eastAsiaTheme="majorEastAsia"/>
              </w:rPr>
              <w:t>5.3.7.</w:t>
            </w:r>
            <w:r>
              <w:rPr>
                <w:rFonts w:asciiTheme="minorHAnsi" w:eastAsiaTheme="minorEastAsia" w:hAnsiTheme="minorHAnsi" w:cstheme="minorBidi"/>
                <w:b w:val="0"/>
                <w:sz w:val="22"/>
                <w:szCs w:val="22"/>
                <w:lang w:val="en-US" w:eastAsia="en-US"/>
              </w:rPr>
              <w:tab/>
            </w:r>
            <w:r w:rsidRPr="007A7831">
              <w:rPr>
                <w:rStyle w:val="Hyperlink"/>
                <w:rFonts w:eastAsiaTheme="majorEastAsia"/>
              </w:rPr>
              <w:t>Preskus na vsebnost svinca in kadmija pri začasnih sistemih za označevanje</w:t>
            </w:r>
            <w:r>
              <w:rPr>
                <w:webHidden/>
              </w:rPr>
              <w:tab/>
            </w:r>
            <w:r>
              <w:rPr>
                <w:webHidden/>
              </w:rPr>
              <w:fldChar w:fldCharType="begin"/>
            </w:r>
            <w:r>
              <w:rPr>
                <w:webHidden/>
              </w:rPr>
              <w:instrText xml:space="preserve"> PAGEREF _Toc12559224 \h </w:instrText>
            </w:r>
            <w:r>
              <w:rPr>
                <w:webHidden/>
              </w:rPr>
            </w:r>
            <w:r>
              <w:rPr>
                <w:webHidden/>
              </w:rPr>
              <w:fldChar w:fldCharType="separate"/>
            </w:r>
            <w:r>
              <w:rPr>
                <w:webHidden/>
              </w:rPr>
              <w:t>15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5" w:history="1">
            <w:r w:rsidRPr="007A7831">
              <w:rPr>
                <w:rStyle w:val="Hyperlink"/>
                <w:rFonts w:eastAsiaTheme="majorEastAsia"/>
              </w:rPr>
              <w:t>5.4.</w:t>
            </w:r>
            <w:r>
              <w:rPr>
                <w:rFonts w:asciiTheme="minorHAnsi" w:eastAsiaTheme="minorEastAsia" w:hAnsiTheme="minorHAnsi" w:cstheme="minorBidi"/>
                <w:b w:val="0"/>
                <w:sz w:val="22"/>
                <w:szCs w:val="22"/>
                <w:lang w:val="en-US" w:eastAsia="en-US"/>
              </w:rPr>
              <w:tab/>
            </w:r>
            <w:r w:rsidRPr="007A7831">
              <w:rPr>
                <w:rStyle w:val="Hyperlink"/>
                <w:rFonts w:eastAsiaTheme="majorEastAsia"/>
              </w:rPr>
              <w:t>Preskus vzorca folij za označevanje (identifikacijski postopek)</w:t>
            </w:r>
            <w:r>
              <w:rPr>
                <w:webHidden/>
              </w:rPr>
              <w:tab/>
            </w:r>
            <w:r>
              <w:rPr>
                <w:webHidden/>
              </w:rPr>
              <w:fldChar w:fldCharType="begin"/>
            </w:r>
            <w:r>
              <w:rPr>
                <w:webHidden/>
              </w:rPr>
              <w:instrText xml:space="preserve"> PAGEREF _Toc12559225 \h </w:instrText>
            </w:r>
            <w:r>
              <w:rPr>
                <w:webHidden/>
              </w:rPr>
            </w:r>
            <w:r>
              <w:rPr>
                <w:webHidden/>
              </w:rPr>
              <w:fldChar w:fldCharType="separate"/>
            </w:r>
            <w:r>
              <w:rPr>
                <w:webHidden/>
              </w:rPr>
              <w:t>15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6" w:history="1">
            <w:r w:rsidRPr="007A7831">
              <w:rPr>
                <w:rStyle w:val="Hyperlink"/>
                <w:rFonts w:eastAsiaTheme="majorEastAsia"/>
              </w:rPr>
              <w:t>5.4.1.</w:t>
            </w:r>
            <w:r>
              <w:rPr>
                <w:rFonts w:asciiTheme="minorHAnsi" w:eastAsiaTheme="minorEastAsia" w:hAnsiTheme="minorHAnsi" w:cstheme="minorBidi"/>
                <w:b w:val="0"/>
                <w:sz w:val="22"/>
                <w:szCs w:val="22"/>
                <w:lang w:val="en-US" w:eastAsia="en-US"/>
              </w:rPr>
              <w:tab/>
            </w:r>
            <w:r w:rsidRPr="007A7831">
              <w:rPr>
                <w:rStyle w:val="Hyperlink"/>
                <w:rFonts w:eastAsiaTheme="majorEastAsia"/>
              </w:rPr>
              <w:t>Rezervni vzorci folij</w:t>
            </w:r>
            <w:r>
              <w:rPr>
                <w:webHidden/>
              </w:rPr>
              <w:tab/>
            </w:r>
            <w:r>
              <w:rPr>
                <w:webHidden/>
              </w:rPr>
              <w:fldChar w:fldCharType="begin"/>
            </w:r>
            <w:r>
              <w:rPr>
                <w:webHidden/>
              </w:rPr>
              <w:instrText xml:space="preserve"> PAGEREF _Toc12559226 \h </w:instrText>
            </w:r>
            <w:r>
              <w:rPr>
                <w:webHidden/>
              </w:rPr>
            </w:r>
            <w:r>
              <w:rPr>
                <w:webHidden/>
              </w:rPr>
              <w:fldChar w:fldCharType="separate"/>
            </w:r>
            <w:r>
              <w:rPr>
                <w:webHidden/>
              </w:rPr>
              <w:t>15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7" w:history="1">
            <w:r w:rsidRPr="007A7831">
              <w:rPr>
                <w:rStyle w:val="Hyperlink"/>
                <w:rFonts w:eastAsiaTheme="majorEastAsia"/>
              </w:rPr>
              <w:t>5.4.2.</w:t>
            </w:r>
            <w:r>
              <w:rPr>
                <w:rFonts w:asciiTheme="minorHAnsi" w:eastAsiaTheme="minorEastAsia" w:hAnsiTheme="minorHAnsi" w:cstheme="minorBidi"/>
                <w:b w:val="0"/>
                <w:sz w:val="22"/>
                <w:szCs w:val="22"/>
                <w:lang w:val="en-US" w:eastAsia="en-US"/>
              </w:rPr>
              <w:tab/>
            </w:r>
            <w:r w:rsidRPr="007A7831">
              <w:rPr>
                <w:rStyle w:val="Hyperlink"/>
                <w:rFonts w:eastAsiaTheme="majorEastAsia"/>
              </w:rPr>
              <w:t>Slikovna analiza folij za označevanje vozišča</w:t>
            </w:r>
            <w:r>
              <w:rPr>
                <w:webHidden/>
              </w:rPr>
              <w:tab/>
            </w:r>
            <w:r>
              <w:rPr>
                <w:webHidden/>
              </w:rPr>
              <w:fldChar w:fldCharType="begin"/>
            </w:r>
            <w:r>
              <w:rPr>
                <w:webHidden/>
              </w:rPr>
              <w:instrText xml:space="preserve"> PAGEREF _Toc12559227 \h </w:instrText>
            </w:r>
            <w:r>
              <w:rPr>
                <w:webHidden/>
              </w:rPr>
            </w:r>
            <w:r>
              <w:rPr>
                <w:webHidden/>
              </w:rPr>
              <w:fldChar w:fldCharType="separate"/>
            </w:r>
            <w:r>
              <w:rPr>
                <w:webHidden/>
              </w:rPr>
              <w:t>15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8" w:history="1">
            <w:r w:rsidRPr="007A7831">
              <w:rPr>
                <w:rStyle w:val="Hyperlink"/>
                <w:rFonts w:eastAsiaTheme="majorEastAsia"/>
              </w:rPr>
              <w:t>5.4.3.</w:t>
            </w:r>
            <w:r>
              <w:rPr>
                <w:rFonts w:asciiTheme="minorHAnsi" w:eastAsiaTheme="minorEastAsia" w:hAnsiTheme="minorHAnsi" w:cstheme="minorBidi"/>
                <w:b w:val="0"/>
                <w:sz w:val="22"/>
                <w:szCs w:val="22"/>
                <w:lang w:val="en-US" w:eastAsia="en-US"/>
              </w:rPr>
              <w:tab/>
            </w:r>
            <w:r w:rsidRPr="007A7831">
              <w:rPr>
                <w:rStyle w:val="Hyperlink"/>
                <w:rFonts w:eastAsiaTheme="majorEastAsia"/>
              </w:rPr>
              <w:t>Termogravimetrična analiza folij za označevanje</w:t>
            </w:r>
            <w:r>
              <w:rPr>
                <w:webHidden/>
              </w:rPr>
              <w:tab/>
            </w:r>
            <w:r>
              <w:rPr>
                <w:webHidden/>
              </w:rPr>
              <w:fldChar w:fldCharType="begin"/>
            </w:r>
            <w:r>
              <w:rPr>
                <w:webHidden/>
              </w:rPr>
              <w:instrText xml:space="preserve"> PAGEREF _Toc12559228 \h </w:instrText>
            </w:r>
            <w:r>
              <w:rPr>
                <w:webHidden/>
              </w:rPr>
            </w:r>
            <w:r>
              <w:rPr>
                <w:webHidden/>
              </w:rPr>
              <w:fldChar w:fldCharType="separate"/>
            </w:r>
            <w:r>
              <w:rPr>
                <w:webHidden/>
              </w:rPr>
              <w:t>15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29" w:history="1">
            <w:r w:rsidRPr="007A7831">
              <w:rPr>
                <w:rStyle w:val="Hyperlink"/>
                <w:rFonts w:eastAsiaTheme="majorEastAsia"/>
              </w:rPr>
              <w:t>5.4.4.</w:t>
            </w:r>
            <w:r>
              <w:rPr>
                <w:rFonts w:asciiTheme="minorHAnsi" w:eastAsiaTheme="minorEastAsia" w:hAnsiTheme="minorHAnsi" w:cstheme="minorBidi"/>
                <w:b w:val="0"/>
                <w:sz w:val="22"/>
                <w:szCs w:val="22"/>
                <w:lang w:val="en-US" w:eastAsia="en-US"/>
              </w:rPr>
              <w:tab/>
            </w:r>
            <w:r w:rsidRPr="007A7831">
              <w:rPr>
                <w:rStyle w:val="Hyperlink"/>
                <w:rFonts w:eastAsiaTheme="majorEastAsia"/>
              </w:rPr>
              <w:t>Analiza lepilnega sloja folij</w:t>
            </w:r>
            <w:r>
              <w:rPr>
                <w:webHidden/>
              </w:rPr>
              <w:tab/>
            </w:r>
            <w:r>
              <w:rPr>
                <w:webHidden/>
              </w:rPr>
              <w:fldChar w:fldCharType="begin"/>
            </w:r>
            <w:r>
              <w:rPr>
                <w:webHidden/>
              </w:rPr>
              <w:instrText xml:space="preserve"> PAGEREF _Toc12559229 \h </w:instrText>
            </w:r>
            <w:r>
              <w:rPr>
                <w:webHidden/>
              </w:rPr>
            </w:r>
            <w:r>
              <w:rPr>
                <w:webHidden/>
              </w:rPr>
              <w:fldChar w:fldCharType="separate"/>
            </w:r>
            <w:r>
              <w:rPr>
                <w:webHidden/>
              </w:rPr>
              <w:t>15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0" w:history="1">
            <w:r w:rsidRPr="007A7831">
              <w:rPr>
                <w:rStyle w:val="Hyperlink"/>
                <w:rFonts w:eastAsiaTheme="majorEastAsia"/>
              </w:rPr>
              <w:t>5.4.5.</w:t>
            </w:r>
            <w:r>
              <w:rPr>
                <w:rFonts w:asciiTheme="minorHAnsi" w:eastAsiaTheme="minorEastAsia" w:hAnsiTheme="minorHAnsi" w:cstheme="minorBidi"/>
                <w:b w:val="0"/>
                <w:sz w:val="22"/>
                <w:szCs w:val="22"/>
                <w:lang w:val="en-US" w:eastAsia="en-US"/>
              </w:rPr>
              <w:tab/>
            </w:r>
            <w:r w:rsidRPr="007A7831">
              <w:rPr>
                <w:rStyle w:val="Hyperlink"/>
                <w:rFonts w:eastAsiaTheme="majorEastAsia"/>
              </w:rPr>
              <w:t>Analiza bituminoznih podlag</w:t>
            </w:r>
            <w:r>
              <w:rPr>
                <w:webHidden/>
              </w:rPr>
              <w:tab/>
            </w:r>
            <w:r>
              <w:rPr>
                <w:webHidden/>
              </w:rPr>
              <w:fldChar w:fldCharType="begin"/>
            </w:r>
            <w:r>
              <w:rPr>
                <w:webHidden/>
              </w:rPr>
              <w:instrText xml:space="preserve"> PAGEREF _Toc12559230 \h </w:instrText>
            </w:r>
            <w:r>
              <w:rPr>
                <w:webHidden/>
              </w:rPr>
            </w:r>
            <w:r>
              <w:rPr>
                <w:webHidden/>
              </w:rPr>
              <w:fldChar w:fldCharType="separate"/>
            </w:r>
            <w:r>
              <w:rPr>
                <w:webHidden/>
              </w:rPr>
              <w:t>15</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1" w:history="1">
            <w:r w:rsidRPr="007A7831">
              <w:rPr>
                <w:rStyle w:val="Hyperlink"/>
                <w:rFonts w:eastAsiaTheme="majorEastAsia"/>
              </w:rPr>
              <w:t>5.5.</w:t>
            </w:r>
            <w:r>
              <w:rPr>
                <w:rFonts w:asciiTheme="minorHAnsi" w:eastAsiaTheme="minorEastAsia" w:hAnsiTheme="minorHAnsi" w:cstheme="minorBidi"/>
                <w:b w:val="0"/>
                <w:sz w:val="22"/>
                <w:szCs w:val="22"/>
                <w:lang w:val="en-US" w:eastAsia="en-US"/>
              </w:rPr>
              <w:tab/>
            </w:r>
            <w:r w:rsidRPr="007A7831">
              <w:rPr>
                <w:rStyle w:val="Hyperlink"/>
                <w:rFonts w:eastAsiaTheme="majorEastAsia"/>
              </w:rPr>
              <w:t>Preskus vzorca dodatkov</w:t>
            </w:r>
            <w:r>
              <w:rPr>
                <w:webHidden/>
              </w:rPr>
              <w:tab/>
            </w:r>
            <w:r>
              <w:rPr>
                <w:webHidden/>
              </w:rPr>
              <w:fldChar w:fldCharType="begin"/>
            </w:r>
            <w:r>
              <w:rPr>
                <w:webHidden/>
              </w:rPr>
              <w:instrText xml:space="preserve"> PAGEREF _Toc12559231 \h </w:instrText>
            </w:r>
            <w:r>
              <w:rPr>
                <w:webHidden/>
              </w:rPr>
            </w:r>
            <w:r>
              <w:rPr>
                <w:webHidden/>
              </w:rPr>
              <w:fldChar w:fldCharType="separate"/>
            </w:r>
            <w:r>
              <w:rPr>
                <w:webHidden/>
              </w:rPr>
              <w:t>16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2" w:history="1">
            <w:r w:rsidRPr="007A7831">
              <w:rPr>
                <w:rStyle w:val="Hyperlink"/>
                <w:rFonts w:eastAsiaTheme="majorEastAsia"/>
              </w:rPr>
              <w:t>5.5.1.</w:t>
            </w:r>
            <w:r>
              <w:rPr>
                <w:rFonts w:asciiTheme="minorHAnsi" w:eastAsiaTheme="minorEastAsia" w:hAnsiTheme="minorHAnsi" w:cstheme="minorBidi"/>
                <w:b w:val="0"/>
                <w:sz w:val="22"/>
                <w:szCs w:val="22"/>
                <w:lang w:val="en-US" w:eastAsia="en-US"/>
              </w:rPr>
              <w:tab/>
            </w:r>
            <w:r w:rsidRPr="007A7831">
              <w:rPr>
                <w:rStyle w:val="Hyperlink"/>
                <w:rFonts w:eastAsiaTheme="majorEastAsia"/>
              </w:rPr>
              <w:t>Analiza odsevnih steklenih kroglic in posipov za zmanjšanje drsnosti (sistemi za primešanje in posipanje)</w:t>
            </w:r>
            <w:r>
              <w:rPr>
                <w:webHidden/>
              </w:rPr>
              <w:tab/>
            </w:r>
            <w:r>
              <w:rPr>
                <w:webHidden/>
              </w:rPr>
              <w:fldChar w:fldCharType="begin"/>
            </w:r>
            <w:r>
              <w:rPr>
                <w:webHidden/>
              </w:rPr>
              <w:instrText xml:space="preserve"> PAGEREF _Toc12559232 \h </w:instrText>
            </w:r>
            <w:r>
              <w:rPr>
                <w:webHidden/>
              </w:rPr>
            </w:r>
            <w:r>
              <w:rPr>
                <w:webHidden/>
              </w:rPr>
              <w:fldChar w:fldCharType="separate"/>
            </w:r>
            <w:r>
              <w:rPr>
                <w:webHidden/>
              </w:rPr>
              <w:t>16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3" w:history="1">
            <w:r w:rsidRPr="007A7831">
              <w:rPr>
                <w:rStyle w:val="Hyperlink"/>
                <w:rFonts w:eastAsiaTheme="majorEastAsia"/>
              </w:rPr>
              <w:t>5.5.2.</w:t>
            </w:r>
            <w:r>
              <w:rPr>
                <w:rFonts w:asciiTheme="minorHAnsi" w:eastAsiaTheme="minorEastAsia" w:hAnsiTheme="minorHAnsi" w:cstheme="minorBidi"/>
                <w:b w:val="0"/>
                <w:sz w:val="22"/>
                <w:szCs w:val="22"/>
                <w:lang w:val="en-US" w:eastAsia="en-US"/>
              </w:rPr>
              <w:tab/>
            </w:r>
            <w:r w:rsidRPr="007A7831">
              <w:rPr>
                <w:rStyle w:val="Hyperlink"/>
                <w:rFonts w:eastAsiaTheme="majorEastAsia"/>
              </w:rPr>
              <w:t>Analiza premaza (coating) odsevnih steklenih kroglic in posipov za zmanjšanje drsnosti</w:t>
            </w:r>
            <w:r>
              <w:rPr>
                <w:webHidden/>
              </w:rPr>
              <w:tab/>
            </w:r>
            <w:r>
              <w:rPr>
                <w:webHidden/>
              </w:rPr>
              <w:fldChar w:fldCharType="begin"/>
            </w:r>
            <w:r>
              <w:rPr>
                <w:webHidden/>
              </w:rPr>
              <w:instrText xml:space="preserve"> PAGEREF _Toc12559233 \h </w:instrText>
            </w:r>
            <w:r>
              <w:rPr>
                <w:webHidden/>
              </w:rPr>
            </w:r>
            <w:r>
              <w:rPr>
                <w:webHidden/>
              </w:rPr>
              <w:fldChar w:fldCharType="separate"/>
            </w:r>
            <w:r>
              <w:rPr>
                <w:webHidden/>
              </w:rPr>
              <w:t>16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4" w:history="1">
            <w:r w:rsidRPr="007A7831">
              <w:rPr>
                <w:rStyle w:val="Hyperlink"/>
                <w:rFonts w:eastAsiaTheme="majorEastAsia"/>
              </w:rPr>
              <w:t>5.5.3.</w:t>
            </w:r>
            <w:r>
              <w:rPr>
                <w:rFonts w:asciiTheme="minorHAnsi" w:eastAsiaTheme="minorEastAsia" w:hAnsiTheme="minorHAnsi" w:cstheme="minorBidi"/>
                <w:b w:val="0"/>
                <w:sz w:val="22"/>
                <w:szCs w:val="22"/>
                <w:lang w:val="en-US" w:eastAsia="en-US"/>
              </w:rPr>
              <w:tab/>
            </w:r>
            <w:r w:rsidRPr="007A7831">
              <w:rPr>
                <w:rStyle w:val="Hyperlink"/>
                <w:rFonts w:eastAsiaTheme="majorEastAsia"/>
              </w:rPr>
              <w:t>Analiza ostalih dodatkov</w:t>
            </w:r>
            <w:r>
              <w:rPr>
                <w:webHidden/>
              </w:rPr>
              <w:tab/>
            </w:r>
            <w:r>
              <w:rPr>
                <w:webHidden/>
              </w:rPr>
              <w:fldChar w:fldCharType="begin"/>
            </w:r>
            <w:r>
              <w:rPr>
                <w:webHidden/>
              </w:rPr>
              <w:instrText xml:space="preserve"> PAGEREF _Toc12559234 \h </w:instrText>
            </w:r>
            <w:r>
              <w:rPr>
                <w:webHidden/>
              </w:rPr>
            </w:r>
            <w:r>
              <w:rPr>
                <w:webHidden/>
              </w:rPr>
              <w:fldChar w:fldCharType="separate"/>
            </w:r>
            <w:r>
              <w:rPr>
                <w:webHidden/>
              </w:rPr>
              <w:t>16</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5" w:history="1">
            <w:r w:rsidRPr="007A7831">
              <w:rPr>
                <w:rStyle w:val="Hyperlink"/>
                <w:rFonts w:eastAsiaTheme="majorEastAsia"/>
              </w:rPr>
              <w:t>Priloga A</w:t>
            </w:r>
            <w:r>
              <w:rPr>
                <w:webHidden/>
              </w:rPr>
              <w:tab/>
            </w:r>
            <w:r>
              <w:rPr>
                <w:webHidden/>
              </w:rPr>
              <w:fldChar w:fldCharType="begin"/>
            </w:r>
            <w:r>
              <w:rPr>
                <w:webHidden/>
              </w:rPr>
              <w:instrText xml:space="preserve"> PAGEREF _Toc12559235 \h </w:instrText>
            </w:r>
            <w:r>
              <w:rPr>
                <w:webHidden/>
              </w:rPr>
            </w:r>
            <w:r>
              <w:rPr>
                <w:webHidden/>
              </w:rPr>
              <w:fldChar w:fldCharType="separate"/>
            </w:r>
            <w:r>
              <w:rPr>
                <w:webHidden/>
              </w:rPr>
              <w:t>17</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6" w:history="1">
            <w:r w:rsidRPr="007A7831">
              <w:rPr>
                <w:rStyle w:val="Hyperlink"/>
                <w:rFonts w:eastAsiaTheme="majorEastAsia"/>
              </w:rPr>
              <w:t>Priloga B</w:t>
            </w:r>
            <w:r>
              <w:rPr>
                <w:webHidden/>
              </w:rPr>
              <w:tab/>
            </w:r>
            <w:r>
              <w:rPr>
                <w:webHidden/>
              </w:rPr>
              <w:fldChar w:fldCharType="begin"/>
            </w:r>
            <w:r>
              <w:rPr>
                <w:webHidden/>
              </w:rPr>
              <w:instrText xml:space="preserve"> PAGEREF _Toc12559236 \h </w:instrText>
            </w:r>
            <w:r>
              <w:rPr>
                <w:webHidden/>
              </w:rPr>
            </w:r>
            <w:r>
              <w:rPr>
                <w:webHidden/>
              </w:rPr>
              <w:fldChar w:fldCharType="separate"/>
            </w:r>
            <w:r>
              <w:rPr>
                <w:webHidden/>
              </w:rPr>
              <w:t>20</w:t>
            </w:r>
            <w:r>
              <w:rPr>
                <w:webHidden/>
              </w:rPr>
              <w:fldChar w:fldCharType="end"/>
            </w:r>
          </w:hyperlink>
        </w:p>
        <w:p w:rsidR="008F058B" w:rsidRDefault="008F058B">
          <w:pPr>
            <w:pStyle w:val="TOC1"/>
            <w:rPr>
              <w:rFonts w:asciiTheme="minorHAnsi" w:eastAsiaTheme="minorEastAsia" w:hAnsiTheme="minorHAnsi" w:cstheme="minorBidi"/>
              <w:b w:val="0"/>
              <w:sz w:val="22"/>
              <w:szCs w:val="22"/>
              <w:lang w:val="en-US" w:eastAsia="en-US"/>
            </w:rPr>
          </w:pPr>
          <w:hyperlink w:anchor="_Toc12559237" w:history="1">
            <w:r w:rsidRPr="007A7831">
              <w:rPr>
                <w:rStyle w:val="Hyperlink"/>
                <w:rFonts w:eastAsiaTheme="majorEastAsia"/>
              </w:rPr>
              <w:t>Priloga C</w:t>
            </w:r>
            <w:r>
              <w:rPr>
                <w:webHidden/>
              </w:rPr>
              <w:tab/>
            </w:r>
            <w:r>
              <w:rPr>
                <w:webHidden/>
              </w:rPr>
              <w:fldChar w:fldCharType="begin"/>
            </w:r>
            <w:r>
              <w:rPr>
                <w:webHidden/>
              </w:rPr>
              <w:instrText xml:space="preserve"> PAGEREF _Toc12559237 \h </w:instrText>
            </w:r>
            <w:r>
              <w:rPr>
                <w:webHidden/>
              </w:rPr>
            </w:r>
            <w:r>
              <w:rPr>
                <w:webHidden/>
              </w:rPr>
              <w:fldChar w:fldCharType="separate"/>
            </w:r>
            <w:r>
              <w:rPr>
                <w:webHidden/>
              </w:rPr>
              <w:t>24</w:t>
            </w:r>
            <w:r>
              <w:rPr>
                <w:webHidden/>
              </w:rPr>
              <w:fldChar w:fldCharType="end"/>
            </w:r>
          </w:hyperlink>
        </w:p>
        <w:p w:rsidR="002100A4" w:rsidRPr="003A38BA" w:rsidRDefault="004939B5">
          <w:pPr>
            <w:rPr>
              <w:sz w:val="24"/>
              <w:szCs w:val="24"/>
            </w:rPr>
          </w:pPr>
          <w:r w:rsidRPr="003A38BA">
            <w:rPr>
              <w:sz w:val="24"/>
              <w:szCs w:val="24"/>
            </w:rPr>
            <w:fldChar w:fldCharType="end"/>
          </w:r>
        </w:p>
      </w:sdtContent>
    </w:sdt>
    <w:p w:rsidR="006D5959" w:rsidRPr="003A38BA" w:rsidRDefault="006D5959" w:rsidP="006D5959">
      <w:pPr>
        <w:spacing w:after="200" w:line="276" w:lineRule="auto"/>
        <w:rPr>
          <w:rFonts w:cs="Arial"/>
          <w:sz w:val="24"/>
          <w:szCs w:val="24"/>
        </w:rPr>
      </w:pPr>
    </w:p>
    <w:p w:rsidR="006D5959" w:rsidRPr="003A38BA" w:rsidRDefault="006D5959">
      <w:pPr>
        <w:rPr>
          <w:rFonts w:cs="Arial"/>
          <w:sz w:val="24"/>
          <w:szCs w:val="24"/>
          <w:highlight w:val="lightGray"/>
        </w:rPr>
      </w:pPr>
      <w:r>
        <w:br w:type="page"/>
      </w:r>
    </w:p>
    <w:p w:rsidR="00F9526A" w:rsidRPr="003A38BA" w:rsidRDefault="00F9526A" w:rsidP="007C21AF">
      <w:pPr>
        <w:pStyle w:val="Heading1"/>
        <w:numPr>
          <w:ilvl w:val="0"/>
          <w:numId w:val="5"/>
        </w:numPr>
        <w:jc w:val="both"/>
        <w:rPr>
          <w:sz w:val="24"/>
          <w:szCs w:val="24"/>
        </w:rPr>
      </w:pPr>
      <w:bookmarkStart w:id="6" w:name="_Toc12559193"/>
      <w:r>
        <w:rPr>
          <w:sz w:val="24"/>
          <w:szCs w:val="24"/>
        </w:rPr>
        <w:lastRenderedPageBreak/>
        <w:t>Splošno</w:t>
      </w:r>
      <w:bookmarkEnd w:id="6"/>
    </w:p>
    <w:p w:rsidR="00532584" w:rsidRPr="003A38BA" w:rsidRDefault="00F9526A" w:rsidP="007C21AF">
      <w:pPr>
        <w:spacing w:after="120"/>
        <w:ind w:left="0" w:firstLine="0"/>
        <w:jc w:val="both"/>
      </w:pPr>
      <w:r>
        <w:t>„Tehnični preskusni pogoji za sisteme za označevanje (TP M)“ zajemajo zahteve za preskuse ustreznosti trajnih (belih) in začasnih (rumenih) oznak, ki se izvedejo s sistemi za označevanje. Predpisi teh TP M temeljijo na preskusnem standardu DIN EN 13197. V nekaterih točkah natančneje pojasnjujejo zahteve standarda oziroma določajo, kateri možni parametri v skladu s standardom DIN EN 13197 se uporabljajo v Nemčiji. V kolikor v zadevnih oddelkih ni razlik, veljajo predpisi tako za trajne kot tudi začasne oznake.</w:t>
      </w:r>
    </w:p>
    <w:p w:rsidR="00A2285F" w:rsidRPr="003A38BA" w:rsidRDefault="00A2285F" w:rsidP="007C21AF">
      <w:pPr>
        <w:spacing w:after="120"/>
        <w:ind w:left="0" w:firstLine="0"/>
        <w:jc w:val="both"/>
      </w:pPr>
      <w:r>
        <w:t xml:space="preserve">Materiali za označevanje in dodatki, ki se uporabljajo za označevanje, morajo biti skladni s „Tehničnim dobavnim pogojem za materiale za označevanje (TL M)“. Poleg tega morajo biti oznake skladne z „Dodatnimi tehničnimi pogodbenimi pogoji in smernicami za oznake vozišč (ZTV M)“. </w:t>
      </w:r>
    </w:p>
    <w:p w:rsidR="00BE1620" w:rsidRPr="003A38BA" w:rsidRDefault="00BE1620" w:rsidP="007C21AF">
      <w:pPr>
        <w:spacing w:after="120"/>
        <w:ind w:left="0" w:firstLine="0"/>
        <w:jc w:val="both"/>
      </w:pPr>
      <w:r>
        <w:t>Gradbeni materiali in zmesi gradbenih materialov za oznake vozišč, ki se zakonito proizvajajo in/ali dajejo v promet v drugi državi članici Evropske unije ali v Turčiji ali v državi Efte, pogodbeni stranki Sporazuma EGP, so v Nemčiji odobreni, če trajno zagotavljajo enako raven varnosti, ki ustreza ravni, opredeljeni v „Dodatnih tehničnih pogodbenih pogojih in smernicah za oznake vozišč (ZTV M)“ in „Tehničnih dobavnih pogojih za materiale za označevanje (TL M)“.</w:t>
      </w:r>
    </w:p>
    <w:p w:rsidR="002A210D" w:rsidRPr="003A38BA" w:rsidRDefault="002A210D" w:rsidP="007C21AF">
      <w:pPr>
        <w:pStyle w:val="Heading1"/>
        <w:numPr>
          <w:ilvl w:val="0"/>
          <w:numId w:val="5"/>
        </w:numPr>
        <w:jc w:val="both"/>
        <w:rPr>
          <w:sz w:val="24"/>
          <w:szCs w:val="24"/>
        </w:rPr>
      </w:pPr>
      <w:bookmarkStart w:id="7" w:name="_Toc12559194"/>
      <w:r>
        <w:rPr>
          <w:sz w:val="24"/>
          <w:szCs w:val="24"/>
        </w:rPr>
        <w:t>Sklicevanja na standarde</w:t>
      </w:r>
      <w:bookmarkEnd w:id="7"/>
    </w:p>
    <w:p w:rsidR="002A210D" w:rsidRPr="003A38BA" w:rsidRDefault="002A210D" w:rsidP="007C21AF">
      <w:pPr>
        <w:ind w:left="0" w:firstLine="0"/>
        <w:jc w:val="both"/>
      </w:pPr>
      <w:r>
        <w:t xml:space="preserve">Naslednji dokumenti, ki so navedeni v besedilu, so potrebni za uporabo tega dokumenta. Pri datiranih sklicevanjih velja zadevna izdaja. Pri nedatiranih sklicevanjih velja zadnja izdaja zadevnega dokumenta. </w:t>
      </w:r>
    </w:p>
    <w:p w:rsidR="001E3D7B" w:rsidRPr="003A38BA" w:rsidRDefault="001E3D7B" w:rsidP="007C21AF">
      <w:pPr>
        <w:ind w:left="0" w:firstLine="0"/>
        <w:jc w:val="both"/>
        <w:rPr>
          <w:i/>
        </w:rPr>
      </w:pPr>
    </w:p>
    <w:p w:rsidR="00D74A8B" w:rsidRPr="003A38BA" w:rsidRDefault="008D2005" w:rsidP="007C21AF">
      <w:pPr>
        <w:spacing w:after="120"/>
        <w:ind w:left="0" w:firstLine="0"/>
        <w:jc w:val="both"/>
        <w:rPr>
          <w:i/>
        </w:rPr>
      </w:pPr>
      <w:r>
        <w:rPr>
          <w:i/>
        </w:rPr>
        <w:t xml:space="preserve">DIN EN 1423 Materiali za označevanje vozišča – Materiali za posipanje – Steklene kroglice, posipi za zmanjšanje drsnosti in mešanice obeh </w:t>
      </w:r>
    </w:p>
    <w:p w:rsidR="004C32A6" w:rsidRPr="003A38BA" w:rsidRDefault="008D2005" w:rsidP="007C21AF">
      <w:pPr>
        <w:spacing w:after="120"/>
        <w:ind w:left="0" w:firstLine="0"/>
        <w:jc w:val="both"/>
        <w:rPr>
          <w:i/>
        </w:rPr>
      </w:pPr>
      <w:r>
        <w:rPr>
          <w:i/>
        </w:rPr>
        <w:t>DIN EN 1424 Materiali za označevanje vozišča – Steklene kroglice za primešanje k barvi</w:t>
      </w:r>
    </w:p>
    <w:p w:rsidR="00D74A8B" w:rsidRPr="003A38BA" w:rsidRDefault="008D2005" w:rsidP="007C21AF">
      <w:pPr>
        <w:spacing w:after="120"/>
        <w:ind w:left="0" w:firstLine="0"/>
        <w:jc w:val="both"/>
        <w:rPr>
          <w:i/>
        </w:rPr>
      </w:pPr>
      <w:r>
        <w:rPr>
          <w:i/>
        </w:rPr>
        <w:t>DIN EN 1436 Materiali za označevanje vozišča – Lastnosti označb</w:t>
      </w:r>
    </w:p>
    <w:p w:rsidR="00D74A8B" w:rsidRPr="003A38BA" w:rsidRDefault="008D2005" w:rsidP="007C21AF">
      <w:pPr>
        <w:spacing w:after="120"/>
        <w:ind w:left="0" w:firstLine="0"/>
        <w:jc w:val="both"/>
        <w:rPr>
          <w:i/>
        </w:rPr>
      </w:pPr>
      <w:r>
        <w:rPr>
          <w:i/>
        </w:rPr>
        <w:t>DIN EN 1790: 2013 Materiali za označevanje vozišča – Predoblikovane oznake</w:t>
      </w:r>
    </w:p>
    <w:p w:rsidR="00D74A8B" w:rsidRPr="003A38BA" w:rsidRDefault="008D2005" w:rsidP="007C21AF">
      <w:pPr>
        <w:spacing w:after="120"/>
        <w:ind w:left="0" w:firstLine="0"/>
        <w:jc w:val="both"/>
        <w:rPr>
          <w:i/>
        </w:rPr>
      </w:pPr>
      <w:r>
        <w:rPr>
          <w:i/>
        </w:rPr>
        <w:t>DIN EN 1871: 2000 Materiali za označevanje vozišča – Barve, hladna in vroča plastična masa – Fizikalne lastnosti</w:t>
      </w:r>
    </w:p>
    <w:p w:rsidR="00D74A8B" w:rsidRPr="003A38BA" w:rsidRDefault="008D2005" w:rsidP="007C21AF">
      <w:pPr>
        <w:spacing w:after="120"/>
        <w:ind w:left="0" w:firstLine="0"/>
        <w:jc w:val="both"/>
        <w:rPr>
          <w:i/>
        </w:rPr>
      </w:pPr>
      <w:r>
        <w:rPr>
          <w:i/>
        </w:rPr>
        <w:t>DIN EN 12802: 2011 Materiali za označevanje vozišča – Laboratorijske metode za identifikacijo</w:t>
      </w:r>
    </w:p>
    <w:p w:rsidR="001E5919" w:rsidRPr="003A38BA" w:rsidRDefault="007A6695" w:rsidP="007C21AF">
      <w:pPr>
        <w:spacing w:after="120"/>
        <w:ind w:left="0" w:firstLine="0"/>
        <w:jc w:val="both"/>
        <w:rPr>
          <w:i/>
        </w:rPr>
      </w:pPr>
      <w:r>
        <w:rPr>
          <w:i/>
        </w:rPr>
        <w:t>DIN EN 13036-1 Značilnosti cestnih in letaliških površin – Preskusne metode – 1. del: Merjenje hrapavosti površine z volumetrično metodo</w:t>
      </w:r>
    </w:p>
    <w:p w:rsidR="00D74A8B" w:rsidRPr="003A38BA" w:rsidRDefault="008D2005" w:rsidP="007C21AF">
      <w:pPr>
        <w:spacing w:after="120"/>
        <w:ind w:left="0" w:firstLine="0"/>
        <w:jc w:val="both"/>
        <w:rPr>
          <w:i/>
        </w:rPr>
      </w:pPr>
      <w:r>
        <w:rPr>
          <w:i/>
        </w:rPr>
        <w:t>DIN EN 13197: 2014 Materiali za označevanje vozišča – Vrtljiva plošča za simulacijo obrabe</w:t>
      </w:r>
    </w:p>
    <w:p w:rsidR="008D2005" w:rsidRPr="00A37E2F" w:rsidRDefault="008D2005" w:rsidP="007C21AF">
      <w:pPr>
        <w:spacing w:after="120"/>
        <w:ind w:left="0" w:firstLine="0"/>
        <w:jc w:val="both"/>
        <w:rPr>
          <w:bCs/>
          <w:i/>
        </w:rPr>
      </w:pPr>
      <w:r>
        <w:rPr>
          <w:bCs/>
          <w:i/>
        </w:rPr>
        <w:t xml:space="preserve">DIN EN ISO 11885: 2009 Kakovost vode – Določevanje izbranih elementov z optično emisijsko spektrometrijo z induktivno sklopljeno plazmo (ICP-OES) </w:t>
      </w:r>
    </w:p>
    <w:p w:rsidR="008D2005" w:rsidRPr="003A38BA" w:rsidRDefault="008D2005" w:rsidP="007C21AF">
      <w:pPr>
        <w:spacing w:after="120"/>
        <w:ind w:left="0" w:firstLine="0"/>
        <w:jc w:val="both"/>
        <w:rPr>
          <w:i/>
        </w:rPr>
      </w:pPr>
      <w:r>
        <w:rPr>
          <w:i/>
        </w:rPr>
        <w:t>ISO 2811-1: 2011 Barve in laki – Ugotavljanje gostote – 1. del: Metoda s piknometrom</w:t>
      </w:r>
    </w:p>
    <w:p w:rsidR="008D2005" w:rsidRPr="003A38BA" w:rsidRDefault="008D2005" w:rsidP="007C21AF">
      <w:pPr>
        <w:spacing w:after="120"/>
        <w:ind w:left="0" w:firstLine="0"/>
        <w:jc w:val="both"/>
        <w:rPr>
          <w:i/>
        </w:rPr>
      </w:pPr>
      <w:r>
        <w:rPr>
          <w:bCs/>
          <w:i/>
        </w:rPr>
        <w:t>ISO 11466 Kakovost tal – Ekstrakcija elementov v sledovih, topnih v zlatotopki</w:t>
      </w:r>
    </w:p>
    <w:p w:rsidR="00D74A8B" w:rsidRPr="003A38BA" w:rsidRDefault="008D2005" w:rsidP="007C21AF">
      <w:pPr>
        <w:spacing w:after="120"/>
        <w:ind w:left="0" w:firstLine="0"/>
        <w:jc w:val="both"/>
        <w:rPr>
          <w:i/>
        </w:rPr>
      </w:pPr>
      <w:r>
        <w:rPr>
          <w:i/>
        </w:rPr>
        <w:t>TL M Tehnični dobavni pogoji za materiale za označevanje</w:t>
      </w:r>
    </w:p>
    <w:p w:rsidR="00D74A8B" w:rsidRPr="003A38BA" w:rsidRDefault="00D74A8B" w:rsidP="007C21AF">
      <w:pPr>
        <w:spacing w:after="120"/>
        <w:ind w:left="0" w:firstLine="0"/>
        <w:jc w:val="both"/>
        <w:rPr>
          <w:i/>
        </w:rPr>
      </w:pPr>
      <w:r>
        <w:rPr>
          <w:i/>
        </w:rPr>
        <w:t>ZTV M Dodatni tehnični pogodbeni pogoji in smernice za oznake vozišč</w:t>
      </w:r>
    </w:p>
    <w:p w:rsidR="00FC4346" w:rsidRPr="003A38BA" w:rsidRDefault="00FC4346" w:rsidP="007C21AF">
      <w:pPr>
        <w:pStyle w:val="Heading1"/>
        <w:numPr>
          <w:ilvl w:val="0"/>
          <w:numId w:val="5"/>
        </w:numPr>
        <w:jc w:val="both"/>
        <w:rPr>
          <w:sz w:val="24"/>
          <w:szCs w:val="24"/>
        </w:rPr>
      </w:pPr>
      <w:bookmarkStart w:id="8" w:name="_Toc12559195"/>
      <w:r>
        <w:rPr>
          <w:sz w:val="24"/>
          <w:szCs w:val="24"/>
        </w:rPr>
        <w:t>Opredelitev pojmov</w:t>
      </w:r>
      <w:bookmarkEnd w:id="8"/>
    </w:p>
    <w:p w:rsidR="003000D1" w:rsidRPr="003A38BA" w:rsidRDefault="003000D1" w:rsidP="007C21AF">
      <w:pPr>
        <w:spacing w:after="120"/>
        <w:ind w:left="0" w:firstLine="0"/>
        <w:jc w:val="both"/>
      </w:pPr>
      <w:r>
        <w:t>Opredelitve pojmov za materiale za označevanje in dodatke so zajete v TL M.</w:t>
      </w:r>
    </w:p>
    <w:p w:rsidR="00FC4346" w:rsidRPr="003A38BA" w:rsidRDefault="005E003F" w:rsidP="007C21AF">
      <w:pPr>
        <w:spacing w:after="120"/>
        <w:ind w:left="0" w:firstLine="0"/>
        <w:jc w:val="both"/>
      </w:pPr>
      <w:r>
        <w:rPr>
          <w:b/>
        </w:rPr>
        <w:t>Sistemi za označevanje</w:t>
      </w:r>
      <w:r>
        <w:t xml:space="preserve"> zajemajo materiale za označevanje in pripadajoče dodatke ter se za preskus ustreznosti nanesejo na posebne preskušance.</w:t>
      </w:r>
    </w:p>
    <w:p w:rsidR="009E5CB3" w:rsidRPr="003A38BA" w:rsidRDefault="008D2830" w:rsidP="007C21AF">
      <w:pPr>
        <w:spacing w:after="120"/>
        <w:ind w:left="0" w:firstLine="0"/>
        <w:jc w:val="both"/>
      </w:pPr>
      <w:r>
        <w:rPr>
          <w:b/>
        </w:rPr>
        <w:lastRenderedPageBreak/>
        <w:t>Preskus ustreznosti</w:t>
      </w:r>
      <w:r>
        <w:t xml:space="preserve"> sistemov za označevanje sestavljata </w:t>
      </w:r>
      <w:r>
        <w:rPr>
          <w:b/>
        </w:rPr>
        <w:t>obremenitveni preskus</w:t>
      </w:r>
      <w:r>
        <w:t xml:space="preserve"> na vrtljivi plošči za simulacijo obrabe in </w:t>
      </w:r>
      <w:r>
        <w:rPr>
          <w:b/>
        </w:rPr>
        <w:t xml:space="preserve">kemično-fizikalni preskus </w:t>
      </w:r>
      <w:r>
        <w:t>(preskus vzorca).</w:t>
      </w:r>
    </w:p>
    <w:p w:rsidR="00C427EB" w:rsidRPr="003A38BA" w:rsidRDefault="00C427EB" w:rsidP="007C21AF">
      <w:pPr>
        <w:spacing w:after="120"/>
        <w:ind w:left="0" w:firstLine="0"/>
        <w:jc w:val="both"/>
      </w:pPr>
      <w:r>
        <w:rPr>
          <w:b/>
        </w:rPr>
        <w:t>Vlagatelj</w:t>
      </w:r>
      <w:r>
        <w:t xml:space="preserve"> je tisti, ki zahteva preskus ustreznosti in se akreditiranemu preskusnemu laboratoriju navede kot odgovorna kontaktna oseba.</w:t>
      </w:r>
    </w:p>
    <w:p w:rsidR="00C427EB" w:rsidRPr="003A38BA" w:rsidRDefault="00C427EB" w:rsidP="007C21AF">
      <w:pPr>
        <w:spacing w:after="120"/>
        <w:ind w:left="0" w:firstLine="0"/>
        <w:jc w:val="both"/>
      </w:pPr>
      <w:r>
        <w:rPr>
          <w:b/>
        </w:rPr>
        <w:t xml:space="preserve">Proizvajalec materiala </w:t>
      </w:r>
      <w:r>
        <w:t>je tisti, ki proizvaja in trži material za označevanje.</w:t>
      </w:r>
    </w:p>
    <w:p w:rsidR="00C427EB" w:rsidRPr="003A38BA" w:rsidRDefault="00C427EB" w:rsidP="007C21AF">
      <w:pPr>
        <w:spacing w:after="120"/>
        <w:ind w:left="0" w:firstLine="0"/>
        <w:jc w:val="both"/>
      </w:pPr>
      <w:r>
        <w:rPr>
          <w:b/>
        </w:rPr>
        <w:t>Proizvajalec materialov za posipanje</w:t>
      </w:r>
      <w:r>
        <w:t xml:space="preserve"> je tisti, ki proizvaja in trži materiale za posipanje.</w:t>
      </w:r>
    </w:p>
    <w:p w:rsidR="00C427EB" w:rsidRPr="003A38BA" w:rsidRDefault="009A49D5" w:rsidP="007C21AF">
      <w:pPr>
        <w:spacing w:after="120"/>
        <w:ind w:left="0" w:firstLine="0"/>
        <w:jc w:val="both"/>
      </w:pPr>
      <w:r>
        <w:rPr>
          <w:b/>
        </w:rPr>
        <w:t>Spričevalo o preskusu</w:t>
      </w:r>
      <w:r>
        <w:t xml:space="preserve"> se izda, kadar so izpolnjene nacionalne in evropske minimalne zahteve.</w:t>
      </w:r>
    </w:p>
    <w:p w:rsidR="00C427EB" w:rsidRPr="003A38BA" w:rsidRDefault="009A49D5" w:rsidP="007C21AF">
      <w:pPr>
        <w:spacing w:after="120"/>
        <w:ind w:left="0" w:firstLine="0"/>
        <w:jc w:val="both"/>
      </w:pPr>
      <w:r>
        <w:rPr>
          <w:b/>
        </w:rPr>
        <w:t>Potrdilo o preskusu</w:t>
      </w:r>
      <w:r>
        <w:t xml:space="preserve"> se izda, kadar so izpolnjene evropske minimalne zahteve.</w:t>
      </w:r>
    </w:p>
    <w:p w:rsidR="00D518B6" w:rsidRPr="003A38BA" w:rsidRDefault="007B7AA0" w:rsidP="007C21AF">
      <w:pPr>
        <w:spacing w:after="120"/>
        <w:ind w:left="0" w:firstLine="0"/>
        <w:jc w:val="both"/>
      </w:pPr>
      <w:r>
        <w:t>Kratica</w:t>
      </w:r>
      <w:r>
        <w:rPr>
          <w:b/>
        </w:rPr>
        <w:t xml:space="preserve"> NPD (no performance determined)</w:t>
      </w:r>
      <w:r>
        <w:t xml:space="preserve"> pomeni, da ni navedena zmogljivost za posamezno lastnost sistema za označevanje.</w:t>
      </w:r>
    </w:p>
    <w:p w:rsidR="000B6380" w:rsidRPr="003A38BA" w:rsidRDefault="00EC3056" w:rsidP="007C21AF">
      <w:pPr>
        <w:pStyle w:val="Heading1"/>
        <w:numPr>
          <w:ilvl w:val="0"/>
          <w:numId w:val="5"/>
        </w:numPr>
        <w:jc w:val="both"/>
        <w:rPr>
          <w:sz w:val="24"/>
          <w:szCs w:val="24"/>
        </w:rPr>
      </w:pPr>
      <w:bookmarkStart w:id="9" w:name="_Toc12559196"/>
      <w:r>
        <w:rPr>
          <w:sz w:val="24"/>
          <w:szCs w:val="24"/>
        </w:rPr>
        <w:t>Obremenitveni preskusi sistemov za označevanje</w:t>
      </w:r>
      <w:bookmarkEnd w:id="9"/>
    </w:p>
    <w:p w:rsidR="00B057A1" w:rsidRPr="003A38BA" w:rsidRDefault="004C2F96" w:rsidP="007C21AF">
      <w:pPr>
        <w:pStyle w:val="Heading1"/>
        <w:numPr>
          <w:ilvl w:val="1"/>
          <w:numId w:val="5"/>
        </w:numPr>
        <w:jc w:val="both"/>
        <w:rPr>
          <w:rFonts w:ascii="Arial" w:hAnsi="Arial" w:cs="Arial"/>
          <w:sz w:val="24"/>
          <w:szCs w:val="24"/>
        </w:rPr>
      </w:pPr>
      <w:bookmarkStart w:id="10" w:name="_Toc12559197"/>
      <w:r>
        <w:rPr>
          <w:sz w:val="24"/>
          <w:szCs w:val="24"/>
        </w:rPr>
        <w:t>Vrtljiva plošča za simulacijo obrabe</w:t>
      </w:r>
      <w:bookmarkEnd w:id="10"/>
    </w:p>
    <w:p w:rsidR="00F9526A" w:rsidRPr="003A38BA" w:rsidRDefault="00F9526A" w:rsidP="007C21AF">
      <w:pPr>
        <w:spacing w:after="120"/>
        <w:ind w:left="0" w:firstLine="0"/>
        <w:jc w:val="both"/>
      </w:pPr>
      <w:r>
        <w:t>Vrtljiva plošča za simulacijo obrabe je sestavljena iz vodoravno nameščene vrtljive plošče z zunanjim premerom 6,4 m. Obodna hitrost je brezstopenjsko nastavljiva do največ 120 km/h. Vrtenje lahko poteka v obe smeri. Na robu vrtljive plošče so radialno nameščeni okrovi za pritrditev preskušancev. Mere okrovov so skladne z velikostjo preskušancev (glej poglavje 4.1.2). Vrtljiva plošča se nahaja v popolnoma klimatiziranem prostoru, ki ga je mogoče zapreti.</w:t>
      </w:r>
    </w:p>
    <w:p w:rsidR="004C2F96" w:rsidRPr="003A38BA" w:rsidRDefault="004C2F96" w:rsidP="007C21AF">
      <w:pPr>
        <w:pStyle w:val="Heading1"/>
        <w:numPr>
          <w:ilvl w:val="2"/>
          <w:numId w:val="5"/>
        </w:numPr>
        <w:ind w:left="1440" w:hanging="720"/>
        <w:jc w:val="both"/>
        <w:rPr>
          <w:rFonts w:ascii="Arial" w:hAnsi="Arial" w:cs="Arial"/>
          <w:sz w:val="24"/>
          <w:szCs w:val="24"/>
        </w:rPr>
      </w:pPr>
      <w:bookmarkStart w:id="11" w:name="_Toc12559198"/>
      <w:r>
        <w:rPr>
          <w:sz w:val="24"/>
          <w:szCs w:val="24"/>
        </w:rPr>
        <w:t>Kolesa</w:t>
      </w:r>
      <w:bookmarkEnd w:id="11"/>
    </w:p>
    <w:p w:rsidR="00B2761F" w:rsidRPr="003A38BA" w:rsidRDefault="00B2761F" w:rsidP="007C21AF">
      <w:pPr>
        <w:spacing w:after="120"/>
        <w:ind w:left="0" w:firstLine="0"/>
        <w:jc w:val="both"/>
      </w:pPr>
      <w:r>
        <w:t>Obremenitev preskušancev se izvede s ponavljajočo vožnjo določenega števila koles. Na obremenitev preskušanca vplivajo število koles, vrsta pnevmatike, obremenitev kolesa, previs in zdrs.</w:t>
      </w:r>
    </w:p>
    <w:p w:rsidR="004F79C9" w:rsidRPr="003A38BA" w:rsidRDefault="00637513" w:rsidP="007C21AF">
      <w:pPr>
        <w:spacing w:after="120"/>
        <w:ind w:left="0" w:firstLine="0"/>
        <w:jc w:val="both"/>
      </w:pPr>
      <w:r>
        <w:t>Načeloma poteka obremenitev v skladu s standardom DIN EN 13197 z 2 paroma koles. Kolesi enega para koles sta nameščeni nasproti. Če se s 4 pari koles dobijo primerljivi rezultati, se lahko z odstopanjem preskuša tudi s 4 pari koles namesto z 2 paroma koles. Iz primerljivosti rezultatov se lahko izhaja, kadar dnevna in nočna vidljivost ne odstopata za več kot 15 % ter torna sposobnost ne za več kot ± 5 enot SRT.</w:t>
      </w:r>
    </w:p>
    <w:p w:rsidR="0093336E" w:rsidRPr="003A38BA" w:rsidRDefault="002210B7" w:rsidP="007C21AF">
      <w:pPr>
        <w:spacing w:after="120"/>
        <w:ind w:left="0" w:firstLine="0"/>
        <w:jc w:val="both"/>
      </w:pPr>
      <w:r>
        <w:t xml:space="preserve">Vsak preskus se začne z novimi pnevmatikami. Uporabljajo se običajne avtomobilske pnevmatike. Pnevmatike morajo biti velikosti najmanj 205/60, da se dobi povozna širina najmanj 150 mm. Če uporabljenega tipa pnevmatik ni mogoče naprej uporabljati, je treba opraviti primerjalni tek, da se zagotovi, da se z novim tipom pnevmatik dobijo primerljivi rezultati. Za oceno primerljivosti veljajo enake omejitve kot za uporabo 4 parov koles. </w:t>
      </w:r>
    </w:p>
    <w:p w:rsidR="007B668F" w:rsidRPr="003A38BA" w:rsidRDefault="003000D1" w:rsidP="0023536B">
      <w:pPr>
        <w:keepNext/>
        <w:spacing w:after="120"/>
        <w:ind w:left="0" w:firstLine="0"/>
        <w:jc w:val="both"/>
      </w:pPr>
      <w:r>
        <w:t xml:space="preserve">Vrtljiva plošča za simulacijo obrabe mora izpolnjevati naslednje tehnične okvirne pogoje: </w:t>
      </w:r>
    </w:p>
    <w:p w:rsidR="00F9526A" w:rsidRPr="003A38BA" w:rsidRDefault="00886145" w:rsidP="007C21AF">
      <w:pPr>
        <w:spacing w:after="120"/>
        <w:ind w:left="0" w:firstLine="0"/>
        <w:jc w:val="both"/>
      </w:pPr>
      <w:r>
        <w:t>obremenitev kolesa je lahko med 0 N in 4 000 N. Tlak v pnevmatikah lahko znaša med 0 MPa in 0,3 MPa. Okvirni pogoji za preskus ustreznosti sistemov za označevanje so navedeni v preglednici 3. Pritrdilni sistem koles mora omogočati nastavitev zdrsa z odstopanjem ± 10‘ in previsa z odstopanjem ± 1°. Pred začetkom novega preskusa je treba preveriti nastavitev zdrsa in previsa ter tlak v pnevmatikah. Po vsaki daljši prekinitvi preskusa je treba preveriti parametre in jih po potrebi korigirati.</w:t>
      </w:r>
    </w:p>
    <w:p w:rsidR="00C145F2" w:rsidRPr="003A38BA" w:rsidRDefault="004C2F96" w:rsidP="007C21AF">
      <w:pPr>
        <w:pStyle w:val="Heading1"/>
        <w:numPr>
          <w:ilvl w:val="2"/>
          <w:numId w:val="5"/>
        </w:numPr>
        <w:ind w:left="1440" w:hanging="720"/>
        <w:jc w:val="both"/>
        <w:rPr>
          <w:rFonts w:ascii="Arial" w:hAnsi="Arial" w:cs="Arial"/>
          <w:sz w:val="24"/>
          <w:szCs w:val="24"/>
        </w:rPr>
      </w:pPr>
      <w:bookmarkStart w:id="12" w:name="_Toc12559199"/>
      <w:r>
        <w:rPr>
          <w:sz w:val="24"/>
          <w:szCs w:val="24"/>
        </w:rPr>
        <w:t>Preskušanci</w:t>
      </w:r>
      <w:bookmarkEnd w:id="12"/>
    </w:p>
    <w:p w:rsidR="008E7BF5" w:rsidRPr="003A38BA" w:rsidRDefault="0029168C" w:rsidP="007C21AF">
      <w:pPr>
        <w:spacing w:after="120"/>
        <w:ind w:left="0" w:firstLine="0"/>
        <w:jc w:val="both"/>
      </w:pPr>
      <w:r>
        <w:t xml:space="preserve">Sistemi za označevanje, ki jih je treba preskusiti, se nanesejo na posebne preskušance. Preskušanci morajo biti dovolj togi, da se lastnosti površine med preskusom ne spremenijo in da se omogoči ravnanje z njimi pri temperaturi do 50 °C brez očitnih deformacij ali lomov. Za pripravo preskušancev </w:t>
      </w:r>
      <w:r>
        <w:lastRenderedPageBreak/>
        <w:t xml:space="preserve">se uporabi material z vsebnostjo bitumna (npr. liti asfalt). Hrapavost površine preskušancev se določi v skladu s postopki, navedenimi v standardu DIN EN 13036-1. Hrapavost znaša ≤ 0,6 mm in ustreza razredu RG 1 standarda DIN EN 13197. Velikost preskušancev znaša: </w:t>
      </w:r>
    </w:p>
    <w:p w:rsidR="008E7BF5" w:rsidRPr="003A38BA" w:rsidRDefault="008E7BF5" w:rsidP="008F058B">
      <w:pPr>
        <w:ind w:left="2552" w:hanging="1136"/>
        <w:jc w:val="both"/>
      </w:pPr>
      <w:r>
        <w:t>dolžina:</w:t>
      </w:r>
      <w:r>
        <w:tab/>
        <w:t>397 mm (± 2 mm),</w:t>
      </w:r>
    </w:p>
    <w:p w:rsidR="008E7BF5" w:rsidRPr="003A38BA" w:rsidRDefault="008E7BF5" w:rsidP="008F058B">
      <w:pPr>
        <w:ind w:left="2552" w:hanging="1136"/>
        <w:jc w:val="both"/>
      </w:pPr>
      <w:r>
        <w:t>širina:</w:t>
      </w:r>
      <w:r>
        <w:tab/>
        <w:t>198 mm (± 2 mm),</w:t>
      </w:r>
    </w:p>
    <w:p w:rsidR="00DA60F8" w:rsidRPr="003A38BA" w:rsidRDefault="007B668F" w:rsidP="008F058B">
      <w:pPr>
        <w:ind w:left="2552" w:hanging="1136"/>
        <w:jc w:val="both"/>
      </w:pPr>
      <w:r>
        <w:t>debelina:</w:t>
      </w:r>
      <w:r>
        <w:tab/>
        <w:t>48 mm (± 2 mm).</w:t>
      </w:r>
    </w:p>
    <w:p w:rsidR="008E7BF5" w:rsidRPr="003A38BA" w:rsidRDefault="008E7BF5" w:rsidP="007C21AF">
      <w:pPr>
        <w:ind w:left="708" w:firstLine="708"/>
        <w:jc w:val="both"/>
      </w:pPr>
    </w:p>
    <w:p w:rsidR="00C145F2" w:rsidRPr="003A38BA" w:rsidRDefault="00C145F2" w:rsidP="007C21AF">
      <w:pPr>
        <w:spacing w:after="120"/>
        <w:ind w:left="0" w:firstLine="0"/>
        <w:jc w:val="both"/>
      </w:pPr>
      <w:r>
        <w:t>Pritrditev preskušancev v okrovu skrbi za to, da je zgornja stran preskušancev v isti višini kot zunanji del okrova, da se preprečijo preskoki. Nastati mora enakomerna povozna površina brez zdrsov ali tresljajev, preskušanci pa morajo biti nepremično nameščeni v okrovu.</w:t>
      </w:r>
    </w:p>
    <w:p w:rsidR="00234C80" w:rsidRPr="003A38BA" w:rsidRDefault="00234C80" w:rsidP="007C21AF">
      <w:pPr>
        <w:pStyle w:val="Heading1"/>
        <w:numPr>
          <w:ilvl w:val="2"/>
          <w:numId w:val="5"/>
        </w:numPr>
        <w:ind w:left="1440" w:hanging="720"/>
        <w:jc w:val="both"/>
        <w:rPr>
          <w:sz w:val="24"/>
          <w:szCs w:val="24"/>
        </w:rPr>
      </w:pPr>
      <w:bookmarkStart w:id="13" w:name="_Toc12559200"/>
      <w:r>
        <w:rPr>
          <w:sz w:val="24"/>
          <w:szCs w:val="24"/>
        </w:rPr>
        <w:t>Čistilni sistem</w:t>
      </w:r>
      <w:bookmarkEnd w:id="13"/>
    </w:p>
    <w:p w:rsidR="00234C80" w:rsidRPr="003A38BA" w:rsidRDefault="00234C80" w:rsidP="007C21AF">
      <w:pPr>
        <w:spacing w:after="120"/>
        <w:ind w:left="0" w:firstLine="0"/>
        <w:jc w:val="both"/>
      </w:pPr>
      <w:r>
        <w:t>Med preskusom se odpadli delci s stisnjenim zrakom odstranijo z vrtljive plošče, da se prepreči medsebojni vpliv preskusnih vzorcev.</w:t>
      </w:r>
    </w:p>
    <w:p w:rsidR="00921E13" w:rsidRPr="003A38BA" w:rsidRDefault="00921E13" w:rsidP="007C21AF">
      <w:pPr>
        <w:spacing w:after="120"/>
        <w:ind w:left="0" w:firstLine="0"/>
        <w:jc w:val="both"/>
      </w:pPr>
      <w:r>
        <w:t>Dodatno se lahko pnevmatike med preskusom hladijo z razpršeno vodo. Hlajenje pnevmatik je načeloma potrebno za termoplastiko.</w:t>
      </w:r>
    </w:p>
    <w:p w:rsidR="004C2F96" w:rsidRPr="003A38BA" w:rsidRDefault="000D70C0" w:rsidP="007C21AF">
      <w:pPr>
        <w:pStyle w:val="Heading1"/>
        <w:numPr>
          <w:ilvl w:val="1"/>
          <w:numId w:val="5"/>
        </w:numPr>
        <w:jc w:val="both"/>
        <w:rPr>
          <w:sz w:val="24"/>
          <w:szCs w:val="24"/>
        </w:rPr>
      </w:pPr>
      <w:bookmarkStart w:id="14" w:name="_Toc12559201"/>
      <w:r>
        <w:rPr>
          <w:sz w:val="24"/>
          <w:szCs w:val="24"/>
        </w:rPr>
        <w:t>Priprava preskušancev</w:t>
      </w:r>
      <w:bookmarkEnd w:id="14"/>
    </w:p>
    <w:p w:rsidR="000D70C0" w:rsidRPr="003A38BA" w:rsidRDefault="000D70C0" w:rsidP="007C21AF">
      <w:pPr>
        <w:pStyle w:val="Heading1"/>
        <w:numPr>
          <w:ilvl w:val="2"/>
          <w:numId w:val="5"/>
        </w:numPr>
        <w:ind w:left="1440" w:hanging="720"/>
        <w:jc w:val="both"/>
        <w:rPr>
          <w:sz w:val="24"/>
          <w:szCs w:val="24"/>
        </w:rPr>
      </w:pPr>
      <w:bookmarkStart w:id="15" w:name="_Toc12559202"/>
      <w:r>
        <w:rPr>
          <w:sz w:val="24"/>
          <w:szCs w:val="24"/>
        </w:rPr>
        <w:t>Nanos</w:t>
      </w:r>
      <w:bookmarkEnd w:id="15"/>
    </w:p>
    <w:p w:rsidR="00F9526A" w:rsidRPr="003A38BA" w:rsidRDefault="00232406" w:rsidP="007C21AF">
      <w:pPr>
        <w:spacing w:after="120"/>
        <w:ind w:left="0" w:firstLine="0"/>
        <w:jc w:val="both"/>
      </w:pPr>
      <w:r>
        <w:t>Na preskus vplivajo različni dejavniki nanašanja, predvsem način nanašanja in nanesena količina, smer nanašanja ter pogoji sušenja oziroma strditve.</w:t>
      </w:r>
    </w:p>
    <w:p w:rsidR="008A7AD1" w:rsidRPr="003A38BA" w:rsidRDefault="008A7AD1" w:rsidP="007C21AF">
      <w:pPr>
        <w:spacing w:after="120"/>
        <w:ind w:left="0" w:firstLine="0"/>
        <w:jc w:val="both"/>
      </w:pPr>
      <w:r>
        <w:t>Načeloma se sistem za označevanje nanese tako, kot je predvideno nanašanje v praksi. Vlagatelj mora navesti vse podatke, potrebne za nanašanje, vključno z vsemi potrebnimi komponentami in njihovo količino, ter način nanašanja. Postopek nanosa (natančen opis v skladu s preglednico 1) in vsi podatki, dobljeni med nanosom, se dokumentirajo v protokolu nanosa. Nanos se izvede pod nadzorom akreditiranega preskusnega laboratorija ali pa ga izvede organ, ki ga pooblasti akreditirani preskusni laboratorij. Če želi, je lahko vlagatelj prisoten pri nanosu.</w:t>
      </w:r>
    </w:p>
    <w:p w:rsidR="00921E13" w:rsidRPr="003A38BA" w:rsidRDefault="00921E13" w:rsidP="007C21AF">
      <w:pPr>
        <w:spacing w:after="120"/>
        <w:ind w:left="0" w:firstLine="0"/>
        <w:jc w:val="both"/>
      </w:pPr>
      <w:r>
        <w:t xml:space="preserve">Raziskave so pokazale, da reaktivni sistemi, sestavljeni iz 2 ali 3 komponent (navodilo za osnovno razmerje 98:2 ali 1:1), glede prometno-tehničnih lastnosti dosegajo primerljive rezultate in se lahko ob upoštevanju navodil proizvajalca nanašajo v enem ali drugem osnovnem razmerju. Osnovno razmerje v spričevalu o preskusu ni navedeno, če proizvajalec snovi pred začetkom preskusa pisno potrdi, da se lahko material za označevanje brez razlik v kemični sestavi nanaša v osnovnem razmerju 98:2 in tudi v osnovnem razmerju 1:1. Komponenta 98 iz dvokomponentnega materiala ustreza mešanici komponent A in B iz trikomponentnega materiala v mešalnem razmerju (v skladu z osnovnim razmerjem) 1:1. Izvzeti so sistemi s trdnimi odsevnimi steklenimi kroglicami (tako imenovane reaktivne steklene kroglice). </w:t>
      </w:r>
    </w:p>
    <w:p w:rsidR="000D70C0" w:rsidRPr="003A38BA" w:rsidRDefault="003E3497" w:rsidP="008F058B">
      <w:pPr>
        <w:pStyle w:val="Subtitle"/>
        <w:ind w:left="1701" w:hanging="1701"/>
        <w:jc w:val="both"/>
        <w:rPr>
          <w:spacing w:val="0"/>
          <w:sz w:val="22"/>
          <w:szCs w:val="22"/>
        </w:rPr>
      </w:pPr>
      <w:r>
        <w:rPr>
          <w:sz w:val="22"/>
          <w:szCs w:val="22"/>
        </w:rPr>
        <w:t>Preglednica 1:</w:t>
      </w:r>
      <w:r>
        <w:rPr>
          <w:sz w:val="22"/>
          <w:szCs w:val="22"/>
        </w:rPr>
        <w:tab/>
        <w:t>Poenostavljeni opis tehnik nanašanja glede na uporabljeno skupino snovi</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5"/>
        <w:gridCol w:w="5103"/>
        <w:gridCol w:w="1701"/>
      </w:tblGrid>
      <w:tr w:rsidR="00D82DF7" w:rsidRPr="003A38BA" w:rsidTr="003E3497">
        <w:tc>
          <w:tcPr>
            <w:tcW w:w="2425" w:type="dxa"/>
            <w:shd w:val="clear" w:color="000000" w:fill="D8D8D8"/>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 xml:space="preserve">Poenostavljeni opis tehnik nanašanja </w:t>
            </w:r>
          </w:p>
        </w:tc>
        <w:tc>
          <w:tcPr>
            <w:tcW w:w="5103" w:type="dxa"/>
            <w:shd w:val="clear" w:color="000000" w:fill="D8D8D8"/>
            <w:noWrap/>
            <w:vAlign w:val="center"/>
            <w:hideMark/>
          </w:tcPr>
          <w:p w:rsidR="00D82DF7" w:rsidRPr="003A38BA" w:rsidRDefault="00706B86"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Natančni opisi v protokolu nanašanja</w:t>
            </w:r>
            <w:r w:rsidR="003000D1" w:rsidRPr="003A38BA">
              <w:rPr>
                <w:rStyle w:val="FootnoteReference"/>
                <w:rFonts w:ascii="Calibri" w:eastAsia="Times New Roman" w:hAnsi="Calibri" w:cs="Times New Roman"/>
                <w:b/>
                <w:bCs/>
                <w:color w:val="000000"/>
                <w:sz w:val="20"/>
                <w:szCs w:val="20"/>
                <w:lang w:eastAsia="de-DE"/>
              </w:rPr>
              <w:footnoteReference w:id="1"/>
            </w:r>
          </w:p>
        </w:tc>
        <w:tc>
          <w:tcPr>
            <w:tcW w:w="1701" w:type="dxa"/>
            <w:shd w:val="clear" w:color="000000" w:fill="D8D8D8"/>
            <w:noWrap/>
            <w:vAlign w:val="center"/>
            <w:hideMark/>
          </w:tcPr>
          <w:p w:rsidR="00D82DF7" w:rsidRPr="003A38BA" w:rsidRDefault="00D82DF7" w:rsidP="00D82DF7">
            <w:pPr>
              <w:ind w:left="0" w:firstLine="0"/>
              <w:jc w:val="center"/>
              <w:rPr>
                <w:rFonts w:ascii="Calibri" w:eastAsia="Times New Roman" w:hAnsi="Calibri" w:cs="Times New Roman"/>
                <w:b/>
                <w:bCs/>
                <w:color w:val="000000"/>
                <w:sz w:val="20"/>
                <w:szCs w:val="20"/>
              </w:rPr>
            </w:pPr>
            <w:r>
              <w:rPr>
                <w:rFonts w:ascii="Calibri" w:hAnsi="Calibri"/>
                <w:b/>
                <w:bCs/>
                <w:color w:val="000000"/>
                <w:sz w:val="20"/>
                <w:szCs w:val="20"/>
              </w:rPr>
              <w:t>Skupina snovi</w:t>
            </w: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Brizgalna tehnika</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Airless</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Barve, hladna plastika, termoplastika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Komprimiran zrak</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On-Line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Airless s primešanimi steklenimi kroglicami</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 sprej</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Od poti odvisen atomiziran zrak</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Atomiziran zrak z zunanjo mešanico – tekoče trdilo</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Pravilni aglomerati</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Večtočkovna linija</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Hladna plastika, termoplastika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Pravilne točke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Toplotni ekstruder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Spotflex</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Ekstruder / posebni označevalnik</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Sistem Visidot</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Nepravilni aglomerati</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Ekstruder</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Hladna plastika, termoplastika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Prednapete vzmeti iz jeklene pločevine (sistem Feichtner)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Perforirana pločevina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Bodičasti valj</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Centrifugalna tehnika</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Polna črta</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Aplikator</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Hladna plastika, termoplastika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Ekstruder</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Polna črta s strukturirano površino</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Aplikator + valj za strukturiranje</w:t>
            </w:r>
          </w:p>
        </w:tc>
        <w:tc>
          <w:tcPr>
            <w:tcW w:w="1701" w:type="dxa"/>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Hladna plastika</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Valj</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Navaljano</w:t>
            </w: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Temeljni premaz (podlaga), navaljan</w:t>
            </w:r>
          </w:p>
        </w:tc>
        <w:tc>
          <w:tcPr>
            <w:tcW w:w="1701" w:type="dxa"/>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Folije</w:t>
            </w: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Brez podlage, navaljane</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Bitumen plus, navaljan</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D82DF7" w:rsidRPr="003A38BA" w:rsidTr="003E3497">
        <w:tc>
          <w:tcPr>
            <w:tcW w:w="2425"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Asfalt plus, navaljan</w:t>
            </w:r>
          </w:p>
        </w:tc>
        <w:tc>
          <w:tcPr>
            <w:tcW w:w="1701" w:type="dxa"/>
            <w:vMerge/>
            <w:vAlign w:val="center"/>
            <w:hideMark/>
          </w:tcPr>
          <w:p w:rsidR="00D82DF7" w:rsidRPr="003A38BA" w:rsidRDefault="00D82DF7" w:rsidP="00D82DF7">
            <w:pPr>
              <w:ind w:left="0" w:firstLine="0"/>
              <w:rPr>
                <w:rFonts w:ascii="Calibri" w:eastAsia="Times New Roman" w:hAnsi="Calibri" w:cs="Times New Roman"/>
                <w:color w:val="000000"/>
                <w:sz w:val="20"/>
                <w:szCs w:val="20"/>
                <w:lang w:eastAsia="de-DE"/>
              </w:rPr>
            </w:pPr>
          </w:p>
        </w:tc>
      </w:tr>
      <w:tr w:rsidR="006E1AD5" w:rsidRPr="003A38BA" w:rsidTr="003E3497">
        <w:tc>
          <w:tcPr>
            <w:tcW w:w="2425" w:type="dxa"/>
            <w:vMerge w:val="restart"/>
            <w:shd w:val="clear" w:color="auto" w:fill="auto"/>
            <w:vAlign w:val="center"/>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Predpripravljen sistem za označevanje</w:t>
            </w: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Predpripravljen sistem za označevanje, nataljen z ročnim gorilnikom</w:t>
            </w:r>
          </w:p>
        </w:tc>
        <w:tc>
          <w:tcPr>
            <w:tcW w:w="1701" w:type="dxa"/>
            <w:vMerge w:val="restart"/>
            <w:shd w:val="clear" w:color="auto" w:fill="auto"/>
            <w:noWrap/>
            <w:vAlign w:val="center"/>
            <w:hideMark/>
          </w:tcPr>
          <w:p w:rsidR="006E1AD5" w:rsidRPr="003A38BA" w:rsidRDefault="006E1AD5" w:rsidP="0023536B">
            <w:pPr>
              <w:ind w:left="0" w:firstLine="0"/>
              <w:jc w:val="center"/>
              <w:rPr>
                <w:rFonts w:ascii="Calibri" w:eastAsia="Times New Roman" w:hAnsi="Calibri" w:cs="Times New Roman"/>
                <w:color w:val="000000"/>
                <w:sz w:val="20"/>
                <w:szCs w:val="20"/>
              </w:rPr>
            </w:pPr>
            <w:r>
              <w:rPr>
                <w:rFonts w:ascii="Calibri" w:hAnsi="Calibri"/>
                <w:color w:val="000000"/>
                <w:sz w:val="20"/>
                <w:szCs w:val="20"/>
              </w:rPr>
              <w:t>Termoplastika, morebiti v prihodnje tudi hladna plastika</w:t>
            </w:r>
          </w:p>
        </w:tc>
      </w:tr>
      <w:tr w:rsidR="006E1AD5" w:rsidRPr="003A38BA" w:rsidTr="003E3497">
        <w:tc>
          <w:tcPr>
            <w:tcW w:w="2425" w:type="dxa"/>
            <w:vMerge/>
            <w:vAlign w:val="center"/>
            <w:hideMark/>
          </w:tcPr>
          <w:p w:rsidR="006E1AD5" w:rsidRPr="003A38BA" w:rsidRDefault="006E1AD5" w:rsidP="00D82DF7">
            <w:pPr>
              <w:ind w:left="0" w:firstLine="0"/>
              <w:rPr>
                <w:rFonts w:ascii="Calibri" w:eastAsia="Times New Roman" w:hAnsi="Calibri" w:cs="Times New Roman"/>
                <w:color w:val="000000"/>
                <w:sz w:val="20"/>
                <w:szCs w:val="20"/>
                <w:lang w:eastAsia="de-DE"/>
              </w:rPr>
            </w:pPr>
          </w:p>
        </w:tc>
        <w:tc>
          <w:tcPr>
            <w:tcW w:w="5103" w:type="dxa"/>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szCs w:val="20"/>
              </w:rPr>
              <w:t>Predpripravljen sistem za označevanje, nataljen z ročnim gorilnikom, z dodatnimi termoplastičnimi točkami</w:t>
            </w:r>
          </w:p>
        </w:tc>
        <w:tc>
          <w:tcPr>
            <w:tcW w:w="1701" w:type="dxa"/>
            <w:vMerge/>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lang w:eastAsia="de-DE"/>
              </w:rPr>
            </w:pPr>
          </w:p>
        </w:tc>
      </w:tr>
    </w:tbl>
    <w:p w:rsidR="00EB1650" w:rsidRPr="003A38BA" w:rsidRDefault="00EB1650" w:rsidP="007C21AF">
      <w:pPr>
        <w:spacing w:after="120"/>
        <w:ind w:left="0" w:firstLine="0"/>
        <w:jc w:val="both"/>
      </w:pPr>
      <w:r>
        <w:t xml:space="preserve">V nasprotju z natančnim opisom postopka nanosa v protokolu nanašanja se v spričevalu o preskusu ali potrdilu o preskusu navedejo poenostavljeni opisi tehnik nanašanja iz preglednice 1. </w:t>
      </w:r>
    </w:p>
    <w:p w:rsidR="00260651" w:rsidRPr="003A38BA" w:rsidRDefault="00260651" w:rsidP="007C21AF">
      <w:pPr>
        <w:spacing w:after="120"/>
        <w:ind w:left="0" w:firstLine="0"/>
        <w:jc w:val="both"/>
      </w:pPr>
      <w:r>
        <w:t xml:space="preserve">Sistem za označevanje se nanese na 4 preskušance. Če se določa čas sušenja, je potrebnih 5 preskušancev. Preskušanec je vzorec in opredeljuje novo stanje. 3 preskušanci se uporabijo v vrtljivi plošči za simulacijo obrabe. </w:t>
      </w:r>
    </w:p>
    <w:p w:rsidR="00B2761F" w:rsidRPr="00A37E2F" w:rsidRDefault="00B2761F" w:rsidP="007C21AF">
      <w:pPr>
        <w:pStyle w:val="Heading1"/>
        <w:numPr>
          <w:ilvl w:val="2"/>
          <w:numId w:val="5"/>
        </w:numPr>
        <w:ind w:left="1440" w:hanging="720"/>
        <w:jc w:val="both"/>
        <w:rPr>
          <w:rFonts w:asciiTheme="minorHAnsi" w:hAnsiTheme="minorHAnsi"/>
          <w:sz w:val="24"/>
          <w:szCs w:val="24"/>
        </w:rPr>
      </w:pPr>
      <w:bookmarkStart w:id="16" w:name="_Toc12559203"/>
      <w:r>
        <w:rPr>
          <w:rFonts w:asciiTheme="minorHAnsi" w:hAnsiTheme="minorHAnsi"/>
          <w:sz w:val="24"/>
          <w:szCs w:val="24"/>
        </w:rPr>
        <w:t>Meritve v zvezi z nanašanjem</w:t>
      </w:r>
      <w:bookmarkEnd w:id="16"/>
    </w:p>
    <w:p w:rsidR="000D70C0" w:rsidRPr="003A38BA" w:rsidRDefault="000D70C0" w:rsidP="007C21AF">
      <w:pPr>
        <w:spacing w:after="120"/>
        <w:ind w:left="0" w:firstLine="0"/>
        <w:jc w:val="both"/>
      </w:pPr>
      <w:r>
        <w:t xml:space="preserve">Označba se nanesejo pri temperaturi zraka med +10 °C in +35 °C ter relativni vlažnosti zraka do največ 80 %. Temperatura zraka in relativna vlažnost zraka se določita in dokumentirata neposredno pred začetkom nanašanja. </w:t>
      </w:r>
    </w:p>
    <w:p w:rsidR="000503D0" w:rsidRPr="003A38BA" w:rsidRDefault="004F79C9" w:rsidP="007C21AF">
      <w:pPr>
        <w:spacing w:after="120"/>
        <w:ind w:left="0" w:firstLine="0"/>
        <w:jc w:val="both"/>
      </w:pPr>
      <w:r>
        <w:t>Za barve in hladne plastike je treba določiti čas sušenja do povoznosti, ga razvrstiti v skladu z razredi, navedenimi v preglednici 2, in ga dokumentirati skupaj s podnebnimi pogoji (temperatura okolja, temperatura površine preskušanca in relativna vlažnost zraka). Čas sušenja se za termoplastične oznake razvrsti izrecno v razred T2 (≤ 10 min). Oznaka je povozna, ko pri postopku povoženja ne pride do deformacij materiala za označevanje. Čas sušenja</w:t>
      </w:r>
      <w:r w:rsidR="00CD0A25" w:rsidRPr="003A38BA">
        <w:rPr>
          <w:rStyle w:val="FootnoteReference"/>
        </w:rPr>
        <w:footnoteReference w:id="2"/>
      </w:r>
      <w:r>
        <w:t xml:space="preserve"> se praviloma določi ob upoštevanju Priloge A k standardu DIN EN 13197. </w:t>
      </w:r>
    </w:p>
    <w:p w:rsidR="000503D0" w:rsidRPr="008F058B" w:rsidRDefault="003E3497" w:rsidP="008F058B">
      <w:pPr>
        <w:pStyle w:val="Subtitle"/>
        <w:ind w:left="1701" w:hanging="1701"/>
        <w:jc w:val="both"/>
        <w:rPr>
          <w:spacing w:val="0"/>
          <w:sz w:val="22"/>
        </w:rPr>
      </w:pPr>
      <w:r w:rsidRPr="008F058B">
        <w:rPr>
          <w:sz w:val="22"/>
        </w:rPr>
        <w:t>Preglednica 2:</w:t>
      </w:r>
      <w:r w:rsidRPr="008F058B">
        <w:rPr>
          <w:sz w:val="22"/>
        </w:rPr>
        <w:tab/>
        <w:t>Razredi povoznosti</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3A38BA" w:rsidTr="00EB1650">
        <w:tc>
          <w:tcPr>
            <w:tcW w:w="2209" w:type="dxa"/>
          </w:tcPr>
          <w:p w:rsidR="00921E13" w:rsidRPr="003A38BA" w:rsidRDefault="00921E13" w:rsidP="00A503EF">
            <w:pPr>
              <w:spacing w:after="120"/>
              <w:ind w:left="0" w:firstLine="0"/>
            </w:pPr>
            <w:r>
              <w:t>Razred povoznosti</w:t>
            </w:r>
          </w:p>
        </w:tc>
        <w:tc>
          <w:tcPr>
            <w:tcW w:w="1040" w:type="dxa"/>
          </w:tcPr>
          <w:p w:rsidR="00921E13" w:rsidRPr="003A38BA" w:rsidRDefault="00921E13" w:rsidP="000503D0">
            <w:pPr>
              <w:spacing w:after="120"/>
              <w:ind w:left="0" w:firstLine="0"/>
              <w:jc w:val="center"/>
            </w:pPr>
            <w:r>
              <w:t>T0</w:t>
            </w:r>
          </w:p>
        </w:tc>
        <w:tc>
          <w:tcPr>
            <w:tcW w:w="1005" w:type="dxa"/>
          </w:tcPr>
          <w:p w:rsidR="00921E13" w:rsidRPr="003A38BA" w:rsidRDefault="00921E13" w:rsidP="000503D0">
            <w:pPr>
              <w:spacing w:after="120"/>
              <w:ind w:left="0" w:firstLine="0"/>
              <w:jc w:val="center"/>
            </w:pPr>
            <w:r>
              <w:t>T1</w:t>
            </w:r>
          </w:p>
        </w:tc>
        <w:tc>
          <w:tcPr>
            <w:tcW w:w="1006" w:type="dxa"/>
          </w:tcPr>
          <w:p w:rsidR="00921E13" w:rsidRPr="003A38BA" w:rsidRDefault="00921E13" w:rsidP="000503D0">
            <w:pPr>
              <w:spacing w:after="120"/>
              <w:ind w:left="0" w:firstLine="0"/>
              <w:jc w:val="center"/>
            </w:pPr>
            <w:r>
              <w:t>T2</w:t>
            </w:r>
          </w:p>
        </w:tc>
        <w:tc>
          <w:tcPr>
            <w:tcW w:w="1007" w:type="dxa"/>
          </w:tcPr>
          <w:p w:rsidR="00921E13" w:rsidRPr="003A38BA" w:rsidRDefault="00921E13" w:rsidP="000503D0">
            <w:pPr>
              <w:spacing w:after="120"/>
              <w:ind w:left="0" w:firstLine="0"/>
              <w:jc w:val="center"/>
            </w:pPr>
            <w:r>
              <w:t>T3</w:t>
            </w:r>
          </w:p>
        </w:tc>
        <w:tc>
          <w:tcPr>
            <w:tcW w:w="1007" w:type="dxa"/>
          </w:tcPr>
          <w:p w:rsidR="00921E13" w:rsidRPr="003A38BA" w:rsidRDefault="00921E13" w:rsidP="000503D0">
            <w:pPr>
              <w:spacing w:after="120"/>
              <w:ind w:left="0" w:firstLine="0"/>
              <w:jc w:val="center"/>
            </w:pPr>
            <w:r>
              <w:t>T4</w:t>
            </w:r>
          </w:p>
        </w:tc>
      </w:tr>
      <w:tr w:rsidR="00921E13" w:rsidRPr="003A38BA" w:rsidTr="00EB1650">
        <w:tc>
          <w:tcPr>
            <w:tcW w:w="2209" w:type="dxa"/>
          </w:tcPr>
          <w:p w:rsidR="00921E13" w:rsidRPr="003A38BA" w:rsidRDefault="00CD0A25" w:rsidP="00CD0A25">
            <w:pPr>
              <w:spacing w:after="120"/>
              <w:ind w:left="0" w:firstLine="0"/>
            </w:pPr>
            <w:r>
              <w:t>Čas sušenja v minutah</w:t>
            </w:r>
          </w:p>
        </w:tc>
        <w:tc>
          <w:tcPr>
            <w:tcW w:w="1040" w:type="dxa"/>
          </w:tcPr>
          <w:p w:rsidR="00921E13" w:rsidRPr="003A38BA" w:rsidRDefault="00921E13" w:rsidP="000503D0">
            <w:pPr>
              <w:spacing w:after="120"/>
              <w:ind w:left="0" w:firstLine="0"/>
              <w:jc w:val="center"/>
            </w:pPr>
            <w:r>
              <w:t>NPD</w:t>
            </w:r>
          </w:p>
        </w:tc>
        <w:tc>
          <w:tcPr>
            <w:tcW w:w="1005" w:type="dxa"/>
          </w:tcPr>
          <w:p w:rsidR="00921E13" w:rsidRPr="003A38BA" w:rsidRDefault="00921E13" w:rsidP="000503D0">
            <w:pPr>
              <w:spacing w:after="120"/>
              <w:ind w:left="0" w:firstLine="0"/>
              <w:jc w:val="center"/>
            </w:pPr>
            <w:r>
              <w:t>≤ 1</w:t>
            </w:r>
          </w:p>
        </w:tc>
        <w:tc>
          <w:tcPr>
            <w:tcW w:w="1006" w:type="dxa"/>
          </w:tcPr>
          <w:p w:rsidR="00921E13" w:rsidRPr="003A38BA" w:rsidRDefault="00921E13" w:rsidP="000503D0">
            <w:pPr>
              <w:spacing w:after="120"/>
              <w:ind w:left="0" w:firstLine="0"/>
              <w:jc w:val="center"/>
            </w:pPr>
            <w:r>
              <w:t>≤ 10</w:t>
            </w:r>
          </w:p>
        </w:tc>
        <w:tc>
          <w:tcPr>
            <w:tcW w:w="1007" w:type="dxa"/>
          </w:tcPr>
          <w:p w:rsidR="00921E13" w:rsidRPr="003A38BA" w:rsidRDefault="00921E13" w:rsidP="000503D0">
            <w:pPr>
              <w:spacing w:after="120"/>
              <w:ind w:left="0" w:firstLine="0"/>
              <w:jc w:val="center"/>
            </w:pPr>
            <w:r>
              <w:t>≤ 20</w:t>
            </w:r>
          </w:p>
        </w:tc>
        <w:tc>
          <w:tcPr>
            <w:tcW w:w="1007" w:type="dxa"/>
          </w:tcPr>
          <w:p w:rsidR="00921E13" w:rsidRPr="003A38BA" w:rsidRDefault="00921E13" w:rsidP="000503D0">
            <w:pPr>
              <w:spacing w:after="120"/>
              <w:ind w:left="0" w:firstLine="0"/>
              <w:jc w:val="center"/>
            </w:pPr>
            <w:r>
              <w:t>≤ 30</w:t>
            </w:r>
          </w:p>
        </w:tc>
      </w:tr>
    </w:tbl>
    <w:p w:rsidR="000503D0" w:rsidRPr="003A38BA" w:rsidRDefault="000503D0" w:rsidP="00A503EF">
      <w:pPr>
        <w:spacing w:after="120"/>
        <w:ind w:left="0" w:firstLine="0"/>
      </w:pPr>
    </w:p>
    <w:p w:rsidR="004F79C9" w:rsidRPr="003A38BA" w:rsidRDefault="004F79C9" w:rsidP="007C21AF">
      <w:pPr>
        <w:spacing w:after="120"/>
        <w:ind w:left="0" w:firstLine="0"/>
        <w:jc w:val="both"/>
      </w:pPr>
      <w:r>
        <w:t>Med nanašanjem sistema za označevanje je treba določiti količine materiala, dejansko nanesenega na preskušancu, ter vse dodatke.</w:t>
      </w:r>
    </w:p>
    <w:p w:rsidR="00B53040" w:rsidRPr="003A38BA" w:rsidRDefault="00B53040" w:rsidP="007C21AF">
      <w:pPr>
        <w:spacing w:after="120"/>
        <w:ind w:left="0" w:firstLine="0"/>
        <w:jc w:val="both"/>
      </w:pPr>
      <w:r>
        <w:lastRenderedPageBreak/>
        <w:t>Količina nanosa snovi materiala za označevanje se navede kot debelina sloja. Debelina sloja se praviloma določi ob upoštevanju Priloge C k standardu DIN EN 13197. V nekaterih primerih se lahko določitev količine nanosa izvede z zaporednim tehtanjem preskušancev po nanosu različnih komponent (material, material za posipanje). Debelina sloja se nato določi na podlagi učinkovite količine nanosa. Količina nanosa pri aglomeratih se ugotovi s tehtanjem količine materiala brez materiala za posipanje. Pri tankoslojnih sistemih je praviloma lažje izvedljivo merjenje debeline mokrega sloja z ozemljenim, kalibriranim merilnim glavnikom.</w:t>
      </w:r>
    </w:p>
    <w:p w:rsidR="004F79C9" w:rsidRPr="003A38BA" w:rsidRDefault="004F79C9" w:rsidP="007C21AF">
      <w:pPr>
        <w:spacing w:after="120"/>
        <w:ind w:left="0" w:firstLine="0"/>
        <w:jc w:val="both"/>
      </w:pPr>
      <w:r>
        <w:t>Rezultati se dokumentirajo v protokolu o nanašanju.</w:t>
      </w:r>
    </w:p>
    <w:p w:rsidR="000766A6" w:rsidRPr="003A38BA" w:rsidRDefault="000766A6" w:rsidP="007C21AF">
      <w:pPr>
        <w:pStyle w:val="Heading1"/>
        <w:numPr>
          <w:ilvl w:val="2"/>
          <w:numId w:val="5"/>
        </w:numPr>
        <w:ind w:left="1440" w:hanging="720"/>
        <w:jc w:val="both"/>
        <w:rPr>
          <w:rFonts w:ascii="Arial" w:hAnsi="Arial" w:cs="Arial"/>
          <w:sz w:val="24"/>
          <w:szCs w:val="24"/>
        </w:rPr>
      </w:pPr>
      <w:bookmarkStart w:id="17" w:name="_Toc12559204"/>
      <w:r>
        <w:rPr>
          <w:sz w:val="24"/>
          <w:szCs w:val="24"/>
        </w:rPr>
        <w:t>Vzorčenje</w:t>
      </w:r>
      <w:bookmarkEnd w:id="17"/>
    </w:p>
    <w:p w:rsidR="000766A6" w:rsidRPr="003A38BA" w:rsidRDefault="000766A6" w:rsidP="007C21AF">
      <w:pPr>
        <w:spacing w:after="120"/>
        <w:ind w:left="0" w:firstLine="0"/>
        <w:jc w:val="both"/>
      </w:pPr>
      <w:r>
        <w:t>Za namene identifikacije se med nanašanjem odvzamejo vzorci vsakega materiala za označevanje, vseh sestavnih delov večkomponentnega materiala in dodatkov. Na odvzetih vzorcih se izvedejo kemično-fizikalne preiskave za identifikacijo sistema za označevanje.</w:t>
      </w:r>
    </w:p>
    <w:p w:rsidR="00260651" w:rsidRPr="003A38BA" w:rsidRDefault="00260651" w:rsidP="007C21AF">
      <w:pPr>
        <w:pStyle w:val="Heading1"/>
        <w:numPr>
          <w:ilvl w:val="2"/>
          <w:numId w:val="5"/>
        </w:numPr>
        <w:ind w:left="1440" w:hanging="720"/>
        <w:jc w:val="both"/>
        <w:rPr>
          <w:rFonts w:ascii="Arial" w:hAnsi="Arial" w:cs="Arial"/>
          <w:sz w:val="24"/>
          <w:szCs w:val="24"/>
        </w:rPr>
      </w:pPr>
      <w:bookmarkStart w:id="18" w:name="_Toc12559205"/>
      <w:r>
        <w:rPr>
          <w:sz w:val="24"/>
          <w:szCs w:val="24"/>
        </w:rPr>
        <w:t>Čas kondicioniranja</w:t>
      </w:r>
      <w:bookmarkEnd w:id="18"/>
    </w:p>
    <w:p w:rsidR="00260651" w:rsidRPr="003A38BA" w:rsidRDefault="00C8360F" w:rsidP="007C21AF">
      <w:pPr>
        <w:spacing w:after="120"/>
        <w:ind w:left="0" w:firstLine="0"/>
        <w:jc w:val="both"/>
      </w:pPr>
      <w:r>
        <w:t>Barve, ki vsebujejo topila, se lahko prvič podvržejo preskusu povoznosti v vrtljivi plošči za preskus obrabe najprej 8 in najpozneje 12 dni po nanosu. Obdobje za disperzije mora biti en teden daljše kot za barve, ki vsebujejo topila. Vsi drugi sistemi za označevanje se lahko prvič podvržejo preskusu povoznosti najmanj 48 ur po izvedenem nanašanju.</w:t>
      </w:r>
    </w:p>
    <w:p w:rsidR="005517CE" w:rsidRPr="003A38BA" w:rsidRDefault="005517CE" w:rsidP="007C21AF">
      <w:pPr>
        <w:spacing w:after="120"/>
        <w:ind w:left="0" w:firstLine="0"/>
        <w:jc w:val="both"/>
      </w:pPr>
      <w:r>
        <w:t xml:space="preserve">Pripravljene preskušance je treba skladiščiti v klimatiziranem prostoru pri temperaturi 20 °C ± 5 °C in relativni vlažnosti zraka med 45 % in 75 %, da se posušijo oziroma otrdijo. </w:t>
      </w:r>
    </w:p>
    <w:p w:rsidR="005517CE" w:rsidRPr="003A38BA" w:rsidRDefault="005517CE" w:rsidP="007C21AF">
      <w:pPr>
        <w:pStyle w:val="Heading1"/>
        <w:numPr>
          <w:ilvl w:val="2"/>
          <w:numId w:val="5"/>
        </w:numPr>
        <w:ind w:left="1440" w:hanging="720"/>
        <w:jc w:val="both"/>
        <w:rPr>
          <w:sz w:val="24"/>
          <w:szCs w:val="24"/>
        </w:rPr>
      </w:pPr>
      <w:bookmarkStart w:id="19" w:name="_Toc12559206"/>
      <w:r>
        <w:rPr>
          <w:sz w:val="24"/>
          <w:szCs w:val="24"/>
        </w:rPr>
        <w:t>Smer nanosa</w:t>
      </w:r>
      <w:bookmarkEnd w:id="19"/>
    </w:p>
    <w:p w:rsidR="005517CE" w:rsidRPr="003A38BA" w:rsidRDefault="005517CE" w:rsidP="007C21AF">
      <w:pPr>
        <w:spacing w:after="120"/>
        <w:ind w:left="0" w:firstLine="0"/>
        <w:jc w:val="both"/>
      </w:pPr>
      <w:r>
        <w:t xml:space="preserve">Pri nanašanju na preskušance je treba upoštevati, da morajo biti preskušanci v vrtljivi plošči za preskus obrabe nameščeni tako, da se preskus povoznosti sistemov za označevanje izvede v smeri nanosa in v nasprotni smeri. </w:t>
      </w:r>
    </w:p>
    <w:p w:rsidR="006D5959" w:rsidRPr="003A38BA" w:rsidRDefault="006D5959" w:rsidP="007C21AF">
      <w:pPr>
        <w:pStyle w:val="Heading1"/>
        <w:numPr>
          <w:ilvl w:val="1"/>
          <w:numId w:val="5"/>
        </w:numPr>
        <w:jc w:val="both"/>
        <w:rPr>
          <w:rFonts w:ascii="Arial" w:hAnsi="Arial" w:cs="Arial"/>
          <w:sz w:val="24"/>
          <w:szCs w:val="24"/>
        </w:rPr>
      </w:pPr>
      <w:bookmarkStart w:id="20" w:name="_Toc12559207"/>
      <w:r>
        <w:rPr>
          <w:sz w:val="24"/>
          <w:szCs w:val="24"/>
        </w:rPr>
        <w:t>Referenčni vzorec</w:t>
      </w:r>
      <w:bookmarkEnd w:id="20"/>
    </w:p>
    <w:p w:rsidR="00EB7D09" w:rsidRPr="003A38BA" w:rsidRDefault="006D5959" w:rsidP="007C21AF">
      <w:pPr>
        <w:spacing w:after="120"/>
        <w:ind w:left="0" w:firstLine="0"/>
        <w:jc w:val="both"/>
      </w:pPr>
      <w:r>
        <w:t xml:space="preserve">Vsak preskusni cikel mora za neoporečen potek preskusa zajemati vsaj en preskušanec, ki je prevlečen s standardnim sistemom za označevanje (referenčni vzorec). Določeni morajo biti material za označevanje in navodila za nanašanje za referenčni vzorec. </w:t>
      </w:r>
    </w:p>
    <w:p w:rsidR="006D5959" w:rsidRPr="003A38BA" w:rsidRDefault="006D5959" w:rsidP="007C21AF">
      <w:pPr>
        <w:spacing w:after="120"/>
        <w:ind w:left="0" w:firstLine="0"/>
        <w:jc w:val="both"/>
      </w:pPr>
      <w:r>
        <w:t xml:space="preserve">Rezultati, dobljeni z referenčnim vzorcem v vsakem posameznem preskusu, služijo zagotavljanju kakovosti (glej poglavje 4.4.5). </w:t>
      </w:r>
    </w:p>
    <w:p w:rsidR="00B2761F" w:rsidRPr="003A38BA" w:rsidRDefault="00B2761F" w:rsidP="007C21AF">
      <w:pPr>
        <w:pStyle w:val="Heading1"/>
        <w:numPr>
          <w:ilvl w:val="1"/>
          <w:numId w:val="5"/>
        </w:numPr>
        <w:jc w:val="both"/>
        <w:rPr>
          <w:sz w:val="24"/>
          <w:szCs w:val="24"/>
        </w:rPr>
      </w:pPr>
      <w:bookmarkStart w:id="21" w:name="_Toc12559208"/>
      <w:r>
        <w:rPr>
          <w:sz w:val="24"/>
          <w:szCs w:val="24"/>
        </w:rPr>
        <w:t>Izvajanje preskusa</w:t>
      </w:r>
      <w:bookmarkEnd w:id="21"/>
    </w:p>
    <w:p w:rsidR="00D1262E" w:rsidRPr="003A38BA" w:rsidRDefault="00AD7468" w:rsidP="007C21AF">
      <w:pPr>
        <w:spacing w:after="120"/>
        <w:ind w:left="0" w:firstLine="0"/>
        <w:jc w:val="both"/>
      </w:pPr>
      <w:r>
        <w:t>Pripravljeni preskušanci se ne smejo podvreči preskusu povoznosti, dokler ne preteče določeni čas kondicioniranja. Preskušanci, ki niso povsem suhi ali trdni in lahko v določenih okoliščinah vplivajo na druge preskušance, se ne smejo preskusiti. Za zapolnitev potrebne površine merjenja najmanj 800 cm</w:t>
      </w:r>
      <w:r>
        <w:rPr>
          <w:vertAlign w:val="superscript"/>
        </w:rPr>
        <w:t>2</w:t>
      </w:r>
      <w:r>
        <w:t xml:space="preserve"> se uporabi najmanj potrebno število 3 preskušancev, na katere je nanesena najmanjša širina nanosa 20 cm. Razporeditev preskušancev na vrtljivi plošči za preskus obrabe je naključna. 3 preskušanci sistema za označevanje se ne ločijo, ampak se namestijo drug poleg drugega. </w:t>
      </w:r>
    </w:p>
    <w:p w:rsidR="00B2761F" w:rsidRPr="003A38BA" w:rsidRDefault="008C64DB" w:rsidP="007C21AF">
      <w:pPr>
        <w:spacing w:after="120"/>
        <w:ind w:left="0" w:firstLine="0"/>
        <w:jc w:val="both"/>
      </w:pPr>
      <w:r>
        <w:t>Pri preskusu termoplastik je potrebna sistematična razporeditev. Preskušanci se razporedijo tako, da lahko kolo izmenično vozi preko skupine preskušancev in enako velike skupine praznih plošč. Iz obsega kolesa in mer preskušancev oziroma praznih plošč izhaja, da se vsakokrat razporedita 2 sistema za označevanje, sestavljena iz vsakokrat 3 preskušancev. Temu sledi 6 praznih plošč, nato pa se razporedita naslednja 2 sistema za označevanje.</w:t>
      </w:r>
    </w:p>
    <w:p w:rsidR="006D5959" w:rsidRPr="003A38BA" w:rsidRDefault="006D5959" w:rsidP="007C21AF">
      <w:pPr>
        <w:pStyle w:val="Heading1"/>
        <w:numPr>
          <w:ilvl w:val="2"/>
          <w:numId w:val="5"/>
        </w:numPr>
        <w:ind w:left="1440" w:hanging="720"/>
        <w:jc w:val="both"/>
        <w:rPr>
          <w:rFonts w:ascii="Arial" w:hAnsi="Arial" w:cs="Arial"/>
          <w:sz w:val="24"/>
          <w:szCs w:val="24"/>
        </w:rPr>
      </w:pPr>
      <w:bookmarkStart w:id="22" w:name="_Toc12559209"/>
      <w:r>
        <w:rPr>
          <w:sz w:val="24"/>
          <w:szCs w:val="24"/>
        </w:rPr>
        <w:lastRenderedPageBreak/>
        <w:t>Preskusni pogoji</w:t>
      </w:r>
      <w:bookmarkEnd w:id="22"/>
    </w:p>
    <w:p w:rsidR="00AD7468" w:rsidRPr="003A38BA" w:rsidRDefault="00AD7468" w:rsidP="007C21AF">
      <w:pPr>
        <w:spacing w:after="120"/>
        <w:ind w:left="0" w:firstLine="0"/>
        <w:jc w:val="both"/>
      </w:pPr>
      <w:r>
        <w:t>Preskusni pogoji in meritveni cikli so opredeljeni v preglednicah 3 in 4.</w:t>
      </w:r>
    </w:p>
    <w:p w:rsidR="004D7F92" w:rsidRPr="003A38BA" w:rsidRDefault="004D7F92" w:rsidP="007C21AF">
      <w:pPr>
        <w:spacing w:after="120"/>
        <w:ind w:left="0" w:firstLine="0"/>
        <w:jc w:val="both"/>
      </w:pPr>
      <w:r>
        <w:t>Število sočasno preskušanih vzorcev za barve, folije in hladne plastike se omeji s številom okrovov na vrtljivi plošči. Za termoplastične sisteme za označevanje se število izrecno omeji na 12 vzorcev.</w:t>
      </w:r>
    </w:p>
    <w:p w:rsidR="004D7F92" w:rsidRPr="003A38BA" w:rsidRDefault="004D7F92" w:rsidP="007C21AF">
      <w:pPr>
        <w:spacing w:after="120"/>
        <w:ind w:left="0" w:firstLine="0"/>
        <w:jc w:val="both"/>
      </w:pPr>
      <w:r>
        <w:t>Oznake iz različnih materialov za označevanje se načeloma ne preskušajo istočasno. Razlikuje se med: barvo (barva z vsebnostjo topila, disperzija), hladno plastiko, folijo na osnovi aluminija, folijo na drugi osnovi, termoplastiko.</w:t>
      </w:r>
    </w:p>
    <w:p w:rsidR="00C34F3E" w:rsidRPr="008F058B" w:rsidRDefault="003E3497" w:rsidP="008F058B">
      <w:pPr>
        <w:pStyle w:val="Subtitle"/>
        <w:keepNext/>
        <w:ind w:left="1701" w:hanging="1701"/>
        <w:jc w:val="both"/>
        <w:rPr>
          <w:spacing w:val="0"/>
          <w:sz w:val="22"/>
        </w:rPr>
      </w:pPr>
      <w:r w:rsidRPr="008F058B">
        <w:rPr>
          <w:sz w:val="22"/>
        </w:rPr>
        <w:t>Preglednica 3:</w:t>
      </w:r>
      <w:r w:rsidRPr="008F058B">
        <w:rPr>
          <w:sz w:val="22"/>
        </w:rPr>
        <w:tab/>
        <w:t>Preskusni pogoji</w:t>
      </w:r>
    </w:p>
    <w:tbl>
      <w:tblPr>
        <w:tblStyle w:val="TableGrid"/>
        <w:tblW w:w="0" w:type="auto"/>
        <w:tblLook w:val="04A0" w:firstRow="1" w:lastRow="0" w:firstColumn="1" w:lastColumn="0" w:noHBand="0" w:noVBand="1"/>
      </w:tblPr>
      <w:tblGrid>
        <w:gridCol w:w="4606"/>
        <w:gridCol w:w="4606"/>
      </w:tblGrid>
      <w:tr w:rsidR="00AD7468" w:rsidRPr="003A38BA" w:rsidTr="00AD7468">
        <w:tc>
          <w:tcPr>
            <w:tcW w:w="4606" w:type="dxa"/>
          </w:tcPr>
          <w:p w:rsidR="00AD7468" w:rsidRPr="003A38BA" w:rsidRDefault="00AD7468" w:rsidP="00A503EF">
            <w:pPr>
              <w:spacing w:after="120"/>
              <w:ind w:left="0" w:firstLine="0"/>
            </w:pPr>
            <w:r>
              <w:t>Število preskusnih koles</w:t>
            </w:r>
          </w:p>
        </w:tc>
        <w:tc>
          <w:tcPr>
            <w:tcW w:w="4606" w:type="dxa"/>
          </w:tcPr>
          <w:p w:rsidR="00AD7468" w:rsidRPr="003A38BA" w:rsidRDefault="00AD7468" w:rsidP="00A503EF">
            <w:pPr>
              <w:spacing w:after="120"/>
              <w:ind w:left="0" w:firstLine="0"/>
            </w:pPr>
            <w:r>
              <w:t>4 ali 8 glede na material, ki ga je treba preskusiti (glej poglavje 4.1.1)</w:t>
            </w:r>
          </w:p>
        </w:tc>
      </w:tr>
      <w:tr w:rsidR="00AD7468" w:rsidRPr="003A38BA" w:rsidTr="00AD7468">
        <w:tc>
          <w:tcPr>
            <w:tcW w:w="4606" w:type="dxa"/>
          </w:tcPr>
          <w:p w:rsidR="00AD7468" w:rsidRPr="003A38BA" w:rsidRDefault="00AD7468" w:rsidP="00A503EF">
            <w:pPr>
              <w:spacing w:after="120"/>
              <w:ind w:left="0" w:firstLine="0"/>
            </w:pPr>
            <w:r>
              <w:t>Tip preskusnih pnevmatik</w:t>
            </w:r>
          </w:p>
        </w:tc>
        <w:tc>
          <w:tcPr>
            <w:tcW w:w="4606" w:type="dxa"/>
          </w:tcPr>
          <w:p w:rsidR="00AD7468" w:rsidRPr="003A38BA" w:rsidRDefault="00AD7468" w:rsidP="00A503EF">
            <w:pPr>
              <w:spacing w:after="120"/>
              <w:ind w:left="0" w:firstLine="0"/>
            </w:pPr>
            <w:r>
              <w:t>Odobrene običajne pnevmatike v skladu s poglavjem 4.1.1</w:t>
            </w:r>
          </w:p>
          <w:p w:rsidR="00AD7468" w:rsidRPr="003A38BA" w:rsidRDefault="00AD7468" w:rsidP="00A503EF">
            <w:pPr>
              <w:spacing w:after="120"/>
              <w:ind w:left="0" w:firstLine="0"/>
            </w:pPr>
            <w:r>
              <w:t>Nove pnevmatike za vsak preskus</w:t>
            </w:r>
            <w:r w:rsidR="00D1262E" w:rsidRPr="003A38BA">
              <w:rPr>
                <w:rStyle w:val="FootnoteReference"/>
              </w:rPr>
              <w:footnoteReference w:id="3"/>
            </w:r>
          </w:p>
        </w:tc>
      </w:tr>
      <w:tr w:rsidR="00AD7468" w:rsidRPr="003A38BA" w:rsidTr="00AD7468">
        <w:tc>
          <w:tcPr>
            <w:tcW w:w="4606" w:type="dxa"/>
          </w:tcPr>
          <w:p w:rsidR="00AD7468" w:rsidRPr="003A38BA" w:rsidRDefault="00AD7468" w:rsidP="00A503EF">
            <w:pPr>
              <w:spacing w:after="120"/>
              <w:ind w:left="0" w:firstLine="0"/>
            </w:pPr>
            <w:r>
              <w:t>Tlak pnevmatik</w:t>
            </w:r>
          </w:p>
        </w:tc>
        <w:tc>
          <w:tcPr>
            <w:tcW w:w="4606" w:type="dxa"/>
          </w:tcPr>
          <w:p w:rsidR="00AD7468" w:rsidRPr="003A38BA" w:rsidRDefault="00AD7468" w:rsidP="00A503EF">
            <w:pPr>
              <w:spacing w:after="120"/>
              <w:ind w:left="0" w:firstLine="0"/>
            </w:pPr>
            <w:r>
              <w:t>0,25 ± 0,02 MPa</w:t>
            </w:r>
          </w:p>
        </w:tc>
      </w:tr>
      <w:tr w:rsidR="00AD7468" w:rsidRPr="003A38BA" w:rsidTr="00AD7468">
        <w:tc>
          <w:tcPr>
            <w:tcW w:w="4606" w:type="dxa"/>
          </w:tcPr>
          <w:p w:rsidR="00AD7468" w:rsidRPr="003A38BA" w:rsidRDefault="00AD7468" w:rsidP="00A503EF">
            <w:pPr>
              <w:spacing w:after="120"/>
              <w:ind w:left="0" w:firstLine="0"/>
            </w:pPr>
            <w:r>
              <w:t>Obremenitev kolesa</w:t>
            </w:r>
          </w:p>
        </w:tc>
        <w:tc>
          <w:tcPr>
            <w:tcW w:w="4606" w:type="dxa"/>
          </w:tcPr>
          <w:p w:rsidR="00AD7468" w:rsidRPr="003A38BA" w:rsidRDefault="00AD7468" w:rsidP="00A503EF">
            <w:pPr>
              <w:spacing w:after="120"/>
              <w:ind w:left="0" w:firstLine="0"/>
            </w:pPr>
            <w:r>
              <w:t>3 000 ± 300 N</w:t>
            </w:r>
          </w:p>
        </w:tc>
      </w:tr>
      <w:tr w:rsidR="00AD7468" w:rsidRPr="003A38BA" w:rsidTr="00AD7468">
        <w:tc>
          <w:tcPr>
            <w:tcW w:w="4606" w:type="dxa"/>
          </w:tcPr>
          <w:p w:rsidR="00AD7468" w:rsidRPr="003A38BA" w:rsidRDefault="00AD7468" w:rsidP="00A503EF">
            <w:pPr>
              <w:spacing w:after="120"/>
              <w:ind w:left="0" w:firstLine="0"/>
            </w:pPr>
            <w:r>
              <w:t>Previs</w:t>
            </w:r>
          </w:p>
        </w:tc>
        <w:tc>
          <w:tcPr>
            <w:tcW w:w="4606" w:type="dxa"/>
          </w:tcPr>
          <w:p w:rsidR="00AD7468" w:rsidRPr="003A38BA" w:rsidRDefault="00AD7468" w:rsidP="00921E13">
            <w:pPr>
              <w:spacing w:after="120"/>
              <w:ind w:left="0" w:firstLine="0"/>
            </w:pPr>
            <w:r>
              <w:t>0° do največjega odstopanja ± 1°</w:t>
            </w:r>
          </w:p>
        </w:tc>
      </w:tr>
      <w:tr w:rsidR="00AD7468" w:rsidRPr="003A38BA" w:rsidTr="00AD7468">
        <w:tc>
          <w:tcPr>
            <w:tcW w:w="4606" w:type="dxa"/>
          </w:tcPr>
          <w:p w:rsidR="00AD7468" w:rsidRPr="003A38BA" w:rsidRDefault="00AD7468" w:rsidP="00A503EF">
            <w:pPr>
              <w:spacing w:after="120"/>
              <w:ind w:left="0" w:firstLine="0"/>
            </w:pPr>
            <w:r>
              <w:t>Poševni tek</w:t>
            </w:r>
          </w:p>
        </w:tc>
        <w:tc>
          <w:tcPr>
            <w:tcW w:w="4606" w:type="dxa"/>
          </w:tcPr>
          <w:p w:rsidR="00AD7468" w:rsidRPr="003A38BA" w:rsidRDefault="00AD7468" w:rsidP="00A503EF">
            <w:pPr>
              <w:spacing w:after="120"/>
              <w:ind w:left="0" w:firstLine="0"/>
            </w:pPr>
            <w:r>
              <w:t>Posamezno kolo izmenično +1° (±10‘) / -1° (±10‘)</w:t>
            </w:r>
          </w:p>
        </w:tc>
      </w:tr>
      <w:tr w:rsidR="00AD7468" w:rsidRPr="003A38BA" w:rsidTr="00AD7468">
        <w:tc>
          <w:tcPr>
            <w:tcW w:w="4606" w:type="dxa"/>
          </w:tcPr>
          <w:p w:rsidR="00AD7468" w:rsidRPr="003A38BA" w:rsidRDefault="00AD7468" w:rsidP="00A503EF">
            <w:pPr>
              <w:spacing w:after="120"/>
              <w:ind w:left="0" w:firstLine="0"/>
            </w:pPr>
            <w:r>
              <w:t>Hitrost</w:t>
            </w:r>
          </w:p>
        </w:tc>
        <w:tc>
          <w:tcPr>
            <w:tcW w:w="4606" w:type="dxa"/>
          </w:tcPr>
          <w:p w:rsidR="00AD7468" w:rsidRPr="003A38BA" w:rsidRDefault="00AD7468" w:rsidP="00A503EF">
            <w:pPr>
              <w:spacing w:after="120"/>
              <w:ind w:left="0" w:firstLine="0"/>
            </w:pPr>
            <w:r>
              <w:t>15 km/h ± 1 km/h pri namakanju</w:t>
            </w:r>
          </w:p>
          <w:p w:rsidR="00AD7468" w:rsidRPr="003A38BA" w:rsidRDefault="00AD7468" w:rsidP="00A503EF">
            <w:pPr>
              <w:spacing w:after="120"/>
              <w:ind w:left="0" w:firstLine="0"/>
            </w:pPr>
            <w:r>
              <w:t>60 km/h ± 3 km/h</w:t>
            </w:r>
          </w:p>
        </w:tc>
      </w:tr>
      <w:tr w:rsidR="00AD7468" w:rsidRPr="003A38BA" w:rsidTr="00AD7468">
        <w:tc>
          <w:tcPr>
            <w:tcW w:w="4606" w:type="dxa"/>
          </w:tcPr>
          <w:p w:rsidR="00AD7468" w:rsidRPr="003A38BA" w:rsidRDefault="00AD7468" w:rsidP="00A503EF">
            <w:pPr>
              <w:spacing w:after="120"/>
              <w:ind w:left="0" w:firstLine="0"/>
            </w:pPr>
            <w:r>
              <w:t>Smer vrtenja</w:t>
            </w:r>
          </w:p>
        </w:tc>
        <w:tc>
          <w:tcPr>
            <w:tcW w:w="4606" w:type="dxa"/>
          </w:tcPr>
          <w:p w:rsidR="00AD7468" w:rsidRPr="003A38BA" w:rsidRDefault="00AD7468" w:rsidP="00BF3220">
            <w:pPr>
              <w:spacing w:after="120"/>
              <w:ind w:left="0" w:firstLine="0"/>
            </w:pPr>
            <w:r>
              <w:t>50 % v vsako smer</w:t>
            </w:r>
          </w:p>
        </w:tc>
      </w:tr>
      <w:tr w:rsidR="00AD7468" w:rsidRPr="003A38BA" w:rsidTr="00AD7468">
        <w:tc>
          <w:tcPr>
            <w:tcW w:w="4606" w:type="dxa"/>
          </w:tcPr>
          <w:p w:rsidR="00AD7468" w:rsidRPr="003A38BA" w:rsidRDefault="0043206D" w:rsidP="00A503EF">
            <w:pPr>
              <w:spacing w:after="120"/>
              <w:ind w:left="0" w:firstLine="0"/>
            </w:pPr>
            <w:r>
              <w:t>Intervali merjenja</w:t>
            </w:r>
          </w:p>
        </w:tc>
        <w:tc>
          <w:tcPr>
            <w:tcW w:w="4606" w:type="dxa"/>
          </w:tcPr>
          <w:p w:rsidR="00AD7468" w:rsidRPr="003A38BA" w:rsidRDefault="0043206D" w:rsidP="00A503EF">
            <w:pPr>
              <w:spacing w:after="120"/>
              <w:ind w:left="0" w:firstLine="0"/>
            </w:pPr>
            <w:r>
              <w:t>0; 0,01; 0,1; 0,2; 0,5; 1,0; 2,0; 3,0 in 4,0 x 10</w:t>
            </w:r>
            <w:r>
              <w:rPr>
                <w:vertAlign w:val="superscript"/>
              </w:rPr>
              <w:t>6</w:t>
            </w:r>
          </w:p>
        </w:tc>
      </w:tr>
      <w:tr w:rsidR="0043206D" w:rsidRPr="003A38BA" w:rsidTr="00AD7468">
        <w:tc>
          <w:tcPr>
            <w:tcW w:w="4606" w:type="dxa"/>
          </w:tcPr>
          <w:p w:rsidR="0043206D" w:rsidRPr="003A38BA" w:rsidRDefault="0043206D" w:rsidP="00A503EF">
            <w:pPr>
              <w:spacing w:after="120"/>
              <w:ind w:left="0" w:firstLine="0"/>
            </w:pPr>
            <w:r>
              <w:t>Sobna temperatura</w:t>
            </w:r>
          </w:p>
        </w:tc>
        <w:tc>
          <w:tcPr>
            <w:tcW w:w="4606" w:type="dxa"/>
          </w:tcPr>
          <w:p w:rsidR="0043206D" w:rsidRPr="003A38BA" w:rsidRDefault="0043206D" w:rsidP="00A503EF">
            <w:pPr>
              <w:spacing w:after="120"/>
              <w:ind w:left="0" w:firstLine="0"/>
            </w:pPr>
            <w:r>
              <w:t>Od 5 °C do 10 °C</w:t>
            </w:r>
          </w:p>
        </w:tc>
      </w:tr>
    </w:tbl>
    <w:p w:rsidR="00AD7468" w:rsidRPr="003A38BA" w:rsidRDefault="00AD7468" w:rsidP="00D9642C">
      <w:pPr>
        <w:spacing w:after="120"/>
        <w:ind w:left="0" w:firstLine="0"/>
      </w:pPr>
    </w:p>
    <w:p w:rsidR="00D9642C" w:rsidRPr="008F058B" w:rsidRDefault="00D9642C" w:rsidP="008F058B">
      <w:pPr>
        <w:pStyle w:val="Subtitle"/>
        <w:keepNext/>
        <w:ind w:left="1701" w:hanging="1701"/>
        <w:jc w:val="both"/>
        <w:rPr>
          <w:spacing w:val="0"/>
          <w:sz w:val="22"/>
        </w:rPr>
      </w:pPr>
      <w:r w:rsidRPr="008F058B">
        <w:rPr>
          <w:sz w:val="22"/>
        </w:rPr>
        <w:t>Preglednica 4:</w:t>
      </w:r>
      <w:r w:rsidRPr="008F058B">
        <w:rPr>
          <w:sz w:val="22"/>
        </w:rPr>
        <w:tab/>
        <w:t>Ciklusi merjenja</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3A38BA" w:rsidTr="00C34F3E">
        <w:tc>
          <w:tcPr>
            <w:tcW w:w="1316" w:type="dxa"/>
          </w:tcPr>
          <w:p w:rsidR="00C34F3E" w:rsidRPr="003A38BA" w:rsidRDefault="00C34F3E" w:rsidP="00A503EF">
            <w:pPr>
              <w:spacing w:after="120"/>
              <w:ind w:left="0" w:firstLine="0"/>
              <w:rPr>
                <w:b/>
                <w:sz w:val="18"/>
                <w:szCs w:val="18"/>
              </w:rPr>
            </w:pPr>
            <w:r>
              <w:rPr>
                <w:b/>
                <w:sz w:val="18"/>
                <w:szCs w:val="18"/>
              </w:rPr>
              <w:t>Ciklus merjenja</w:t>
            </w:r>
          </w:p>
        </w:tc>
        <w:tc>
          <w:tcPr>
            <w:tcW w:w="1316" w:type="dxa"/>
          </w:tcPr>
          <w:p w:rsidR="00C34F3E" w:rsidRPr="003A38BA" w:rsidRDefault="00C34F3E" w:rsidP="00A503EF">
            <w:pPr>
              <w:spacing w:after="120"/>
              <w:ind w:left="0" w:firstLine="0"/>
              <w:rPr>
                <w:b/>
                <w:sz w:val="18"/>
                <w:szCs w:val="18"/>
              </w:rPr>
            </w:pPr>
            <w:r>
              <w:rPr>
                <w:b/>
                <w:sz w:val="18"/>
                <w:szCs w:val="18"/>
              </w:rPr>
              <w:t>Povozi v ciklusu merjenja</w:t>
            </w:r>
          </w:p>
        </w:tc>
        <w:tc>
          <w:tcPr>
            <w:tcW w:w="1316" w:type="dxa"/>
          </w:tcPr>
          <w:p w:rsidR="00C34F3E" w:rsidRPr="003A38BA" w:rsidRDefault="00C34F3E" w:rsidP="00A503EF">
            <w:pPr>
              <w:spacing w:after="120"/>
              <w:ind w:left="0" w:firstLine="0"/>
              <w:rPr>
                <w:b/>
                <w:sz w:val="18"/>
                <w:szCs w:val="18"/>
              </w:rPr>
            </w:pPr>
            <w:r>
              <w:rPr>
                <w:b/>
                <w:sz w:val="18"/>
                <w:szCs w:val="18"/>
              </w:rPr>
              <w:t>Povozi pri namakanju na začetku</w:t>
            </w:r>
          </w:p>
        </w:tc>
        <w:tc>
          <w:tcPr>
            <w:tcW w:w="1316" w:type="dxa"/>
          </w:tcPr>
          <w:p w:rsidR="00C34F3E" w:rsidRPr="003A38BA" w:rsidRDefault="00C34F3E" w:rsidP="00A503EF">
            <w:pPr>
              <w:spacing w:after="120"/>
              <w:ind w:left="0" w:firstLine="0"/>
              <w:rPr>
                <w:b/>
                <w:sz w:val="18"/>
                <w:szCs w:val="18"/>
              </w:rPr>
            </w:pPr>
            <w:r>
              <w:rPr>
                <w:b/>
                <w:sz w:val="18"/>
                <w:szCs w:val="18"/>
              </w:rPr>
              <w:t>Povozi v suhih pogojih</w:t>
            </w:r>
          </w:p>
        </w:tc>
        <w:tc>
          <w:tcPr>
            <w:tcW w:w="1316" w:type="dxa"/>
          </w:tcPr>
          <w:p w:rsidR="00C34F3E" w:rsidRPr="003A38BA" w:rsidRDefault="00C34F3E" w:rsidP="00A503EF">
            <w:pPr>
              <w:spacing w:after="120"/>
              <w:ind w:left="0" w:firstLine="0"/>
              <w:rPr>
                <w:b/>
                <w:sz w:val="18"/>
                <w:szCs w:val="18"/>
              </w:rPr>
            </w:pPr>
            <w:r>
              <w:rPr>
                <w:b/>
                <w:sz w:val="18"/>
                <w:szCs w:val="18"/>
              </w:rPr>
              <w:t>Povozi pri namakanju na koncu *)</w:t>
            </w:r>
          </w:p>
        </w:tc>
        <w:tc>
          <w:tcPr>
            <w:tcW w:w="1316" w:type="dxa"/>
          </w:tcPr>
          <w:p w:rsidR="00C34F3E" w:rsidRPr="003A38BA" w:rsidRDefault="00C34F3E" w:rsidP="00A503EF">
            <w:pPr>
              <w:spacing w:after="120"/>
              <w:ind w:left="0" w:firstLine="0"/>
              <w:rPr>
                <w:b/>
                <w:sz w:val="18"/>
                <w:szCs w:val="18"/>
              </w:rPr>
            </w:pPr>
            <w:r>
              <w:rPr>
                <w:b/>
                <w:sz w:val="18"/>
                <w:szCs w:val="18"/>
              </w:rPr>
              <w:t xml:space="preserve">Povozi do spremembe smeri vrtenja </w:t>
            </w:r>
          </w:p>
        </w:tc>
        <w:tc>
          <w:tcPr>
            <w:tcW w:w="1316" w:type="dxa"/>
          </w:tcPr>
          <w:p w:rsidR="00C34F3E" w:rsidRPr="003A38BA" w:rsidRDefault="00C34F3E" w:rsidP="00A503EF">
            <w:pPr>
              <w:spacing w:after="120"/>
              <w:ind w:left="0" w:firstLine="0"/>
              <w:rPr>
                <w:b/>
                <w:sz w:val="18"/>
                <w:szCs w:val="18"/>
              </w:rPr>
            </w:pPr>
            <w:r>
              <w:rPr>
                <w:b/>
                <w:sz w:val="18"/>
                <w:szCs w:val="18"/>
              </w:rPr>
              <w:t>Skupaj povozi</w:t>
            </w:r>
          </w:p>
        </w:tc>
      </w:tr>
      <w:tr w:rsidR="00C34F3E" w:rsidRPr="003A38BA" w:rsidTr="00C34F3E">
        <w:tc>
          <w:tcPr>
            <w:tcW w:w="1316" w:type="dxa"/>
          </w:tcPr>
          <w:p w:rsidR="00C34F3E" w:rsidRPr="003A38BA" w:rsidRDefault="00EB7D09" w:rsidP="00C34F3E">
            <w:pPr>
              <w:spacing w:after="120"/>
              <w:ind w:left="0" w:firstLine="0"/>
              <w:jc w:val="center"/>
            </w:pPr>
            <w:r>
              <w:t>1</w:t>
            </w:r>
          </w:p>
        </w:tc>
        <w:tc>
          <w:tcPr>
            <w:tcW w:w="1316" w:type="dxa"/>
          </w:tcPr>
          <w:p w:rsidR="00C34F3E" w:rsidRPr="003A38BA" w:rsidRDefault="00EB7D09" w:rsidP="00C34F3E">
            <w:pPr>
              <w:spacing w:after="120"/>
              <w:ind w:left="0" w:firstLine="0"/>
              <w:jc w:val="center"/>
            </w:pPr>
            <w:r>
              <w:t>10 000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6 500</w:t>
            </w:r>
          </w:p>
        </w:tc>
        <w:tc>
          <w:tcPr>
            <w:tcW w:w="1316" w:type="dxa"/>
          </w:tcPr>
          <w:p w:rsidR="00C34F3E" w:rsidRPr="003A38BA" w:rsidRDefault="00EB7D09" w:rsidP="00C34F3E">
            <w:pPr>
              <w:spacing w:after="120"/>
              <w:ind w:left="0" w:firstLine="0"/>
              <w:jc w:val="center"/>
            </w:pPr>
            <w:r>
              <w:t>1 750</w:t>
            </w:r>
          </w:p>
        </w:tc>
        <w:tc>
          <w:tcPr>
            <w:tcW w:w="1316" w:type="dxa"/>
          </w:tcPr>
          <w:p w:rsidR="00C34F3E" w:rsidRPr="003A38BA" w:rsidRDefault="00EB7D09" w:rsidP="00C34F3E">
            <w:pPr>
              <w:spacing w:after="120"/>
              <w:ind w:left="0" w:firstLine="0"/>
              <w:jc w:val="center"/>
            </w:pPr>
            <w:r>
              <w:t>5 000</w:t>
            </w:r>
          </w:p>
        </w:tc>
        <w:tc>
          <w:tcPr>
            <w:tcW w:w="1316" w:type="dxa"/>
          </w:tcPr>
          <w:p w:rsidR="00C34F3E" w:rsidRPr="003A38BA" w:rsidRDefault="00EB7D09" w:rsidP="00C34F3E">
            <w:pPr>
              <w:spacing w:after="120"/>
              <w:ind w:left="0" w:firstLine="0"/>
              <w:jc w:val="center"/>
            </w:pPr>
            <w:r>
              <w:t>10 000</w:t>
            </w:r>
          </w:p>
        </w:tc>
      </w:tr>
      <w:tr w:rsidR="00C34F3E" w:rsidRPr="003A38BA" w:rsidTr="00C34F3E">
        <w:tc>
          <w:tcPr>
            <w:tcW w:w="1316" w:type="dxa"/>
          </w:tcPr>
          <w:p w:rsidR="00C34F3E" w:rsidRPr="003A38BA" w:rsidRDefault="00EB7D09" w:rsidP="003114C1">
            <w:pPr>
              <w:spacing w:after="120"/>
              <w:ind w:left="0" w:firstLine="0"/>
              <w:jc w:val="center"/>
            </w:pPr>
            <w:r>
              <w:t xml:space="preserve">2 </w:t>
            </w:r>
          </w:p>
        </w:tc>
        <w:tc>
          <w:tcPr>
            <w:tcW w:w="1316" w:type="dxa"/>
          </w:tcPr>
          <w:p w:rsidR="00C34F3E" w:rsidRPr="003A38BA" w:rsidRDefault="003114C1" w:rsidP="00C34F3E">
            <w:pPr>
              <w:spacing w:after="120"/>
              <w:ind w:left="0" w:firstLine="0"/>
              <w:jc w:val="center"/>
            </w:pPr>
            <w:r>
              <w:t>90 000</w:t>
            </w:r>
          </w:p>
        </w:tc>
        <w:tc>
          <w:tcPr>
            <w:tcW w:w="1316" w:type="dxa"/>
          </w:tcPr>
          <w:p w:rsidR="00C34F3E" w:rsidRPr="003A38BA" w:rsidRDefault="00EB7D09" w:rsidP="00C34F3E">
            <w:pPr>
              <w:spacing w:after="120"/>
              <w:ind w:left="0" w:firstLine="0"/>
              <w:jc w:val="center"/>
            </w:pPr>
            <w:r>
              <w:t>—</w:t>
            </w:r>
          </w:p>
        </w:tc>
        <w:tc>
          <w:tcPr>
            <w:tcW w:w="1316" w:type="dxa"/>
          </w:tcPr>
          <w:p w:rsidR="00C34F3E" w:rsidRPr="003A38BA" w:rsidRDefault="003114C1" w:rsidP="00C34F3E">
            <w:pPr>
              <w:spacing w:after="120"/>
              <w:ind w:left="0" w:firstLine="0"/>
              <w:jc w:val="center"/>
            </w:pPr>
            <w:r>
              <w:t>88 250</w:t>
            </w:r>
          </w:p>
        </w:tc>
        <w:tc>
          <w:tcPr>
            <w:tcW w:w="1316" w:type="dxa"/>
          </w:tcPr>
          <w:p w:rsidR="00C34F3E" w:rsidRPr="003A38BA" w:rsidRDefault="003114C1" w:rsidP="00C34F3E">
            <w:pPr>
              <w:spacing w:after="120"/>
              <w:ind w:left="0" w:firstLine="0"/>
              <w:jc w:val="center"/>
            </w:pPr>
            <w:r>
              <w:t>1 750</w:t>
            </w:r>
          </w:p>
        </w:tc>
        <w:tc>
          <w:tcPr>
            <w:tcW w:w="1316" w:type="dxa"/>
          </w:tcPr>
          <w:p w:rsidR="00C34F3E" w:rsidRPr="003A38BA" w:rsidRDefault="003114C1" w:rsidP="00C34F3E">
            <w:pPr>
              <w:spacing w:after="120"/>
              <w:ind w:left="0" w:firstLine="0"/>
              <w:jc w:val="center"/>
            </w:pPr>
            <w:r>
              <w:t>25 000</w:t>
            </w:r>
          </w:p>
        </w:tc>
        <w:tc>
          <w:tcPr>
            <w:tcW w:w="1316" w:type="dxa"/>
          </w:tcPr>
          <w:p w:rsidR="00C34F3E" w:rsidRPr="003A38BA" w:rsidRDefault="003114C1" w:rsidP="00C34F3E">
            <w:pPr>
              <w:spacing w:after="120"/>
              <w:ind w:left="0" w:firstLine="0"/>
              <w:jc w:val="center"/>
            </w:pPr>
            <w:r>
              <w:t>100 000</w:t>
            </w:r>
          </w:p>
        </w:tc>
      </w:tr>
      <w:tr w:rsidR="003114C1" w:rsidRPr="003A38BA" w:rsidTr="00C34F3E">
        <w:tc>
          <w:tcPr>
            <w:tcW w:w="1316" w:type="dxa"/>
          </w:tcPr>
          <w:p w:rsidR="003114C1" w:rsidRPr="003A38BA" w:rsidRDefault="003114C1" w:rsidP="00C34F3E">
            <w:pPr>
              <w:spacing w:after="120"/>
              <w:ind w:left="0" w:firstLine="0"/>
              <w:jc w:val="center"/>
            </w:pPr>
            <w:r>
              <w:t>3</w:t>
            </w:r>
          </w:p>
        </w:tc>
        <w:tc>
          <w:tcPr>
            <w:tcW w:w="1316" w:type="dxa"/>
          </w:tcPr>
          <w:p w:rsidR="003114C1" w:rsidRPr="003A38BA" w:rsidRDefault="003114C1" w:rsidP="003114C1">
            <w:pPr>
              <w:spacing w:after="120"/>
              <w:ind w:left="0" w:firstLine="0"/>
              <w:jc w:val="center"/>
            </w:pPr>
            <w:r>
              <w:t>100 000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96 500</w:t>
            </w:r>
          </w:p>
        </w:tc>
        <w:tc>
          <w:tcPr>
            <w:tcW w:w="1316" w:type="dxa"/>
          </w:tcPr>
          <w:p w:rsidR="003114C1" w:rsidRPr="003A38BA" w:rsidRDefault="003114C1" w:rsidP="003114C1">
            <w:pPr>
              <w:spacing w:after="120"/>
              <w:ind w:left="0" w:firstLine="0"/>
              <w:jc w:val="center"/>
            </w:pPr>
            <w:r>
              <w:t>3 500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200 000</w:t>
            </w:r>
          </w:p>
        </w:tc>
      </w:tr>
      <w:tr w:rsidR="003114C1" w:rsidRPr="003A38BA" w:rsidTr="00C34F3E">
        <w:tc>
          <w:tcPr>
            <w:tcW w:w="1316" w:type="dxa"/>
          </w:tcPr>
          <w:p w:rsidR="003114C1" w:rsidRPr="003A38BA" w:rsidRDefault="003114C1" w:rsidP="00C34F3E">
            <w:pPr>
              <w:spacing w:after="120"/>
              <w:ind w:left="0" w:firstLine="0"/>
              <w:jc w:val="center"/>
            </w:pPr>
            <w:r>
              <w:t>4</w:t>
            </w:r>
          </w:p>
        </w:tc>
        <w:tc>
          <w:tcPr>
            <w:tcW w:w="1316" w:type="dxa"/>
          </w:tcPr>
          <w:p w:rsidR="003114C1" w:rsidRPr="003A38BA" w:rsidRDefault="003114C1" w:rsidP="003114C1">
            <w:pPr>
              <w:spacing w:after="120"/>
              <w:ind w:left="0" w:firstLine="0"/>
              <w:jc w:val="center"/>
            </w:pPr>
            <w:r>
              <w:t>300 000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290 000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500 000</w:t>
            </w:r>
          </w:p>
        </w:tc>
      </w:tr>
      <w:tr w:rsidR="003114C1" w:rsidRPr="003A38BA" w:rsidTr="00C34F3E">
        <w:tc>
          <w:tcPr>
            <w:tcW w:w="1316" w:type="dxa"/>
          </w:tcPr>
          <w:p w:rsidR="003114C1" w:rsidRPr="003A38BA" w:rsidRDefault="003114C1" w:rsidP="00C34F3E">
            <w:pPr>
              <w:spacing w:after="120"/>
              <w:ind w:left="0" w:firstLine="0"/>
              <w:jc w:val="center"/>
            </w:pPr>
            <w:r>
              <w:t>5</w:t>
            </w:r>
          </w:p>
        </w:tc>
        <w:tc>
          <w:tcPr>
            <w:tcW w:w="1316" w:type="dxa"/>
          </w:tcPr>
          <w:p w:rsidR="003114C1" w:rsidRPr="003A38BA" w:rsidRDefault="003114C1" w:rsidP="003114C1">
            <w:pPr>
              <w:spacing w:after="120"/>
              <w:ind w:left="0" w:firstLine="0"/>
              <w:jc w:val="center"/>
            </w:pPr>
            <w:r>
              <w:t>500 000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490 000</w:t>
            </w:r>
          </w:p>
        </w:tc>
        <w:tc>
          <w:tcPr>
            <w:tcW w:w="1316" w:type="dxa"/>
          </w:tcPr>
          <w:p w:rsidR="003114C1" w:rsidRPr="003A38BA" w:rsidRDefault="003114C1" w:rsidP="003114C1">
            <w:pPr>
              <w:spacing w:after="120"/>
              <w:ind w:left="0" w:firstLine="0"/>
              <w:jc w:val="center"/>
            </w:pPr>
            <w:r>
              <w:t>10 000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1 000 000</w:t>
            </w:r>
          </w:p>
        </w:tc>
      </w:tr>
      <w:tr w:rsidR="003114C1" w:rsidRPr="003A38BA" w:rsidTr="00C34F3E">
        <w:tc>
          <w:tcPr>
            <w:tcW w:w="1316" w:type="dxa"/>
          </w:tcPr>
          <w:p w:rsidR="003114C1" w:rsidRPr="003A38BA" w:rsidRDefault="003114C1" w:rsidP="00C34F3E">
            <w:pPr>
              <w:spacing w:after="120"/>
              <w:ind w:left="0" w:firstLine="0"/>
              <w:jc w:val="center"/>
            </w:pPr>
            <w:r>
              <w:t>6</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2 000 000</w:t>
            </w:r>
          </w:p>
        </w:tc>
      </w:tr>
      <w:tr w:rsidR="003114C1" w:rsidRPr="003A38BA" w:rsidTr="00C34F3E">
        <w:tc>
          <w:tcPr>
            <w:tcW w:w="1316" w:type="dxa"/>
          </w:tcPr>
          <w:p w:rsidR="003114C1" w:rsidRPr="003A38BA" w:rsidRDefault="003114C1" w:rsidP="00C34F3E">
            <w:pPr>
              <w:spacing w:after="120"/>
              <w:ind w:left="0" w:firstLine="0"/>
              <w:jc w:val="center"/>
            </w:pPr>
            <w:r>
              <w:t>7</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3 000 000</w:t>
            </w:r>
          </w:p>
        </w:tc>
      </w:tr>
      <w:tr w:rsidR="003114C1" w:rsidRPr="003A38BA" w:rsidTr="00C34F3E">
        <w:tc>
          <w:tcPr>
            <w:tcW w:w="1316" w:type="dxa"/>
          </w:tcPr>
          <w:p w:rsidR="003114C1" w:rsidRPr="003A38BA" w:rsidRDefault="003114C1" w:rsidP="00EB7D09">
            <w:pPr>
              <w:spacing w:after="120"/>
              <w:ind w:left="0" w:firstLine="0"/>
              <w:jc w:val="center"/>
            </w:pPr>
            <w:r>
              <w:t>8</w:t>
            </w:r>
          </w:p>
        </w:tc>
        <w:tc>
          <w:tcPr>
            <w:tcW w:w="1316" w:type="dxa"/>
          </w:tcPr>
          <w:p w:rsidR="003114C1" w:rsidRPr="003A38BA" w:rsidRDefault="003114C1" w:rsidP="003114C1">
            <w:pPr>
              <w:spacing w:after="120"/>
              <w:ind w:left="0" w:firstLine="0"/>
              <w:jc w:val="center"/>
            </w:pPr>
            <w:r>
              <w:t>1 000 000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20 000</w:t>
            </w:r>
          </w:p>
        </w:tc>
        <w:tc>
          <w:tcPr>
            <w:tcW w:w="1316" w:type="dxa"/>
          </w:tcPr>
          <w:p w:rsidR="003114C1" w:rsidRPr="003A38BA" w:rsidRDefault="003114C1" w:rsidP="003114C1">
            <w:pPr>
              <w:spacing w:after="120"/>
              <w:ind w:left="0" w:firstLine="0"/>
              <w:jc w:val="center"/>
            </w:pPr>
            <w:r>
              <w:t>25 000</w:t>
            </w:r>
          </w:p>
        </w:tc>
        <w:tc>
          <w:tcPr>
            <w:tcW w:w="1316" w:type="dxa"/>
          </w:tcPr>
          <w:p w:rsidR="003114C1" w:rsidRPr="003A38BA" w:rsidRDefault="003114C1" w:rsidP="003114C1">
            <w:pPr>
              <w:spacing w:after="120"/>
              <w:ind w:left="0" w:firstLine="0"/>
              <w:jc w:val="center"/>
            </w:pPr>
            <w:r>
              <w:t>4 000 000</w:t>
            </w:r>
          </w:p>
        </w:tc>
      </w:tr>
      <w:tr w:rsidR="003114C1" w:rsidRPr="003A38BA" w:rsidTr="00234C80">
        <w:tc>
          <w:tcPr>
            <w:tcW w:w="9212" w:type="dxa"/>
            <w:gridSpan w:val="7"/>
          </w:tcPr>
          <w:p w:rsidR="003114C1" w:rsidRPr="003A38BA" w:rsidRDefault="003114C1" w:rsidP="00C94718">
            <w:pPr>
              <w:spacing w:after="120"/>
              <w:ind w:left="0" w:firstLine="0"/>
            </w:pPr>
            <w:r>
              <w:t xml:space="preserve">*) Za namakanje se uporablja izključno voda brez kakršnih koli dodatkov. Pri preskušanju termoplastičnih sistemov za označevanje se število povozov pri namakanju poveča za 50 %. Število povozov v suhih pogojih se ustrezno prilagodi. </w:t>
            </w:r>
          </w:p>
        </w:tc>
      </w:tr>
    </w:tbl>
    <w:p w:rsidR="00B2761F" w:rsidRPr="003A38BA" w:rsidRDefault="00B2761F" w:rsidP="007C21AF">
      <w:pPr>
        <w:pStyle w:val="Heading1"/>
        <w:numPr>
          <w:ilvl w:val="2"/>
          <w:numId w:val="5"/>
        </w:numPr>
        <w:ind w:left="1440" w:hanging="720"/>
        <w:jc w:val="both"/>
        <w:rPr>
          <w:sz w:val="24"/>
          <w:szCs w:val="24"/>
        </w:rPr>
      </w:pPr>
      <w:bookmarkStart w:id="23" w:name="_Toc12559210"/>
      <w:r>
        <w:rPr>
          <w:sz w:val="24"/>
          <w:szCs w:val="24"/>
        </w:rPr>
        <w:lastRenderedPageBreak/>
        <w:t>Meritve v zvezi z napravo in preskusnimi pogoji</w:t>
      </w:r>
      <w:bookmarkEnd w:id="23"/>
    </w:p>
    <w:p w:rsidR="009759A4" w:rsidRPr="003A38BA" w:rsidRDefault="00061E4E" w:rsidP="007C21AF">
      <w:pPr>
        <w:spacing w:after="120"/>
        <w:ind w:left="0" w:firstLine="0"/>
        <w:jc w:val="both"/>
      </w:pPr>
      <w:r>
        <w:t>Tlak v pnevmatikah, previs in kot vrtišča se preveri in po potrebi korigira v skladu s poglavjem 4.1.1.</w:t>
      </w:r>
    </w:p>
    <w:p w:rsidR="00061E4E" w:rsidRPr="003A38BA" w:rsidRDefault="00061E4E" w:rsidP="007C21AF">
      <w:pPr>
        <w:spacing w:after="120"/>
        <w:ind w:left="0" w:firstLine="0"/>
        <w:jc w:val="both"/>
      </w:pPr>
      <w:r>
        <w:t>Temperatura prostora, temperatura površine preskusne plošče, obremenitev kolesa, hitrost in število povozov se med preskusom nenehno nadzorujejo in beležijo.</w:t>
      </w:r>
    </w:p>
    <w:p w:rsidR="00B2761F" w:rsidRPr="003A38BA" w:rsidRDefault="00B2761F" w:rsidP="007C21AF">
      <w:pPr>
        <w:pStyle w:val="Heading1"/>
        <w:numPr>
          <w:ilvl w:val="2"/>
          <w:numId w:val="5"/>
        </w:numPr>
        <w:ind w:left="1440" w:hanging="720"/>
        <w:jc w:val="both"/>
        <w:rPr>
          <w:sz w:val="24"/>
          <w:szCs w:val="24"/>
        </w:rPr>
      </w:pPr>
      <w:bookmarkStart w:id="24" w:name="_Toc12559211"/>
      <w:r>
        <w:rPr>
          <w:sz w:val="24"/>
          <w:szCs w:val="24"/>
        </w:rPr>
        <w:t>Meritve prometno-tehničnih lastnosti sistemov za označevanje</w:t>
      </w:r>
      <w:bookmarkEnd w:id="24"/>
    </w:p>
    <w:p w:rsidR="00DF3B72" w:rsidRPr="003A38BA" w:rsidRDefault="00DF3B72" w:rsidP="007C21AF">
      <w:pPr>
        <w:spacing w:after="120"/>
        <w:ind w:left="0" w:firstLine="0"/>
        <w:jc w:val="both"/>
      </w:pPr>
      <w:r>
        <w:t>Prometno-tehnične lastnosti sistemov za označevanje se nenehno določajo med preskusom ustreznosti. Meritve potekajo izključno v skladu s predpisi standarda DIN EN 1436.</w:t>
      </w:r>
    </w:p>
    <w:p w:rsidR="00D9642C" w:rsidRPr="003A38BA" w:rsidRDefault="00D9642C" w:rsidP="007C21AF">
      <w:pPr>
        <w:spacing w:after="120"/>
        <w:ind w:left="0" w:firstLine="0"/>
        <w:jc w:val="both"/>
      </w:pPr>
      <w:r>
        <w:t>Ugotavljajo se dnevna vidljivost na podlagi koeficienta svetilnosti pri difuzni osvetlitvi Qd in standardni deleži barvne vrednosti (x, y) mesta barve, nočna vidljivost v suhem stanju na podlagi koeficienta svetilnosti pri odsevanju RL (suho), nočna vidljivost v mokrem stanju na podlagi koeficienta svetilnosti pri odsevanju RL (mokro) pri oznakah tipa II, torna sposobnost v enotah SRT in obraba v odstotkih.</w:t>
      </w:r>
    </w:p>
    <w:p w:rsidR="001D17DA" w:rsidRPr="003A38BA" w:rsidRDefault="001D17DA" w:rsidP="007C21AF">
      <w:pPr>
        <w:spacing w:after="120"/>
        <w:ind w:left="0" w:firstLine="0"/>
        <w:jc w:val="both"/>
      </w:pPr>
      <w:r>
        <w:t xml:space="preserve">Ugotavljanje koeficienta svetilnosti pri odsevanju (mokro) se izvede z 2-odstotnim prečnim naklonom preskusnih plošč. </w:t>
      </w:r>
    </w:p>
    <w:p w:rsidR="00A13538" w:rsidRPr="003A38BA" w:rsidRDefault="00A13538" w:rsidP="007C21AF">
      <w:pPr>
        <w:spacing w:after="120"/>
        <w:ind w:left="0" w:firstLine="0"/>
        <w:jc w:val="both"/>
      </w:pPr>
      <w:r>
        <w:t>Za obrobo se določi razmerje med površino, prekrito z oznako, v povoznem stanju in isto površino v nepovoznem stanju. Natančne podatke v zvezi s tem zajemajo predelana pisna navodila za označbe iz aglomerata (trenutno na voljo kot osnutek).</w:t>
      </w:r>
    </w:p>
    <w:p w:rsidR="00D9642C" w:rsidRPr="003A38BA" w:rsidRDefault="00D9642C" w:rsidP="007C21AF">
      <w:pPr>
        <w:spacing w:after="120"/>
        <w:ind w:left="0" w:firstLine="0"/>
        <w:jc w:val="both"/>
      </w:pPr>
      <w:r>
        <w:t>Meritve se izvedejo na vseh 3 preskusnih ploščah, kot rezultat pa se navede izračunana srednja vrednost. Površina na vseh 3 preskusnih ploščah, ki jo zajemajo meritve, mora biti najmanj 400 cm².</w:t>
      </w:r>
    </w:p>
    <w:p w:rsidR="008B4E60" w:rsidRPr="003A38BA" w:rsidRDefault="00D9642C" w:rsidP="007C21AF">
      <w:pPr>
        <w:spacing w:after="120"/>
        <w:ind w:left="0" w:firstLine="0"/>
        <w:jc w:val="both"/>
      </w:pPr>
      <w:r>
        <w:t>Meritve se izvedejo pred začetkom povoza in po zaključku meritvenega ciklusa. Za svetlobno-tehnične lastnosti se izmeri novo stanje po 10 000 povozih. Merjenje svetlobno-tehničnih lastnosti pred začetkom preskusa s povozom služi izključno informiranju in ni pomembno za rezultat preskusa.</w:t>
      </w:r>
    </w:p>
    <w:p w:rsidR="00D9642C" w:rsidRPr="003A38BA" w:rsidRDefault="001D17DA" w:rsidP="007C21AF">
      <w:pPr>
        <w:spacing w:after="120"/>
        <w:ind w:left="0" w:firstLine="0"/>
        <w:jc w:val="both"/>
      </w:pPr>
      <w:r>
        <w:t>Pri merjenju torne sposobnosti se izmeri novo stanje pred začetkom povozov. Razdelitev ciklusov merjenja se med drugim ravna po prometnih razredih in je navedena v preglednici 5. Ciklus merjenja 1 se konča po 10 000 povozih.</w:t>
      </w:r>
    </w:p>
    <w:p w:rsidR="003114C1" w:rsidRPr="008F058B" w:rsidRDefault="003E3497" w:rsidP="008F058B">
      <w:pPr>
        <w:pStyle w:val="Subtitle"/>
        <w:keepNext/>
        <w:ind w:left="1701" w:hanging="1701"/>
        <w:jc w:val="both"/>
        <w:rPr>
          <w:spacing w:val="0"/>
          <w:sz w:val="22"/>
        </w:rPr>
      </w:pPr>
      <w:r w:rsidRPr="008F058B">
        <w:rPr>
          <w:sz w:val="22"/>
        </w:rPr>
        <w:t>Preglednica 5:</w:t>
      </w:r>
      <w:r w:rsidRPr="008F058B">
        <w:rPr>
          <w:sz w:val="22"/>
        </w:rPr>
        <w:tab/>
        <w:t>Dodelitev prometnih razredov ciklusom merjenja</w:t>
      </w:r>
    </w:p>
    <w:tbl>
      <w:tblPr>
        <w:tblStyle w:val="TableGrid"/>
        <w:tblW w:w="0" w:type="auto"/>
        <w:tblInd w:w="357" w:type="dxa"/>
        <w:tblLook w:val="04A0" w:firstRow="1" w:lastRow="0" w:firstColumn="1" w:lastColumn="0" w:noHBand="0" w:noVBand="1"/>
      </w:tblPr>
      <w:tblGrid>
        <w:gridCol w:w="2965"/>
        <w:gridCol w:w="2984"/>
        <w:gridCol w:w="2982"/>
      </w:tblGrid>
      <w:tr w:rsidR="003114C1" w:rsidRPr="003A38BA" w:rsidTr="003114C1">
        <w:tc>
          <w:tcPr>
            <w:tcW w:w="2965" w:type="dxa"/>
          </w:tcPr>
          <w:p w:rsidR="003114C1" w:rsidRPr="003A38BA" w:rsidRDefault="003114C1" w:rsidP="003114C1">
            <w:pPr>
              <w:ind w:left="0" w:firstLine="0"/>
              <w:jc w:val="center"/>
            </w:pPr>
            <w:r>
              <w:t>Ciklus merjenja</w:t>
            </w:r>
          </w:p>
        </w:tc>
        <w:tc>
          <w:tcPr>
            <w:tcW w:w="2984" w:type="dxa"/>
          </w:tcPr>
          <w:p w:rsidR="003114C1" w:rsidRPr="003A38BA" w:rsidRDefault="003114C1" w:rsidP="003114C1">
            <w:pPr>
              <w:ind w:left="0" w:firstLine="0"/>
              <w:jc w:val="center"/>
            </w:pPr>
            <w:r>
              <w:t>Prometni razred</w:t>
            </w:r>
          </w:p>
        </w:tc>
        <w:tc>
          <w:tcPr>
            <w:tcW w:w="2982" w:type="dxa"/>
          </w:tcPr>
          <w:p w:rsidR="003114C1" w:rsidRPr="003A38BA" w:rsidRDefault="003114C1" w:rsidP="003114C1">
            <w:pPr>
              <w:ind w:left="0" w:firstLine="0"/>
              <w:jc w:val="center"/>
            </w:pPr>
            <w:r>
              <w:t>Število povozov</w:t>
            </w:r>
          </w:p>
        </w:tc>
      </w:tr>
      <w:tr w:rsidR="003114C1" w:rsidRPr="003A38BA" w:rsidTr="003114C1">
        <w:tc>
          <w:tcPr>
            <w:tcW w:w="2965" w:type="dxa"/>
          </w:tcPr>
          <w:p w:rsidR="003114C1" w:rsidRPr="003A38BA" w:rsidRDefault="003114C1" w:rsidP="003114C1">
            <w:pPr>
              <w:ind w:left="0" w:firstLine="0"/>
              <w:jc w:val="center"/>
            </w:pPr>
            <w:r>
              <w:t>1</w:t>
            </w:r>
          </w:p>
        </w:tc>
        <w:tc>
          <w:tcPr>
            <w:tcW w:w="2984" w:type="dxa"/>
          </w:tcPr>
          <w:p w:rsidR="003114C1" w:rsidRPr="003A38BA" w:rsidRDefault="003114C1" w:rsidP="003114C1">
            <w:pPr>
              <w:ind w:left="0" w:firstLine="0"/>
              <w:jc w:val="center"/>
            </w:pPr>
            <w:r>
              <w:t>P0</w:t>
            </w:r>
          </w:p>
        </w:tc>
        <w:tc>
          <w:tcPr>
            <w:tcW w:w="2982" w:type="dxa"/>
          </w:tcPr>
          <w:p w:rsidR="003114C1" w:rsidRPr="003A38BA" w:rsidRDefault="003114C1" w:rsidP="003114C1">
            <w:pPr>
              <w:ind w:left="0" w:firstLine="0"/>
              <w:jc w:val="center"/>
            </w:pPr>
            <w:r>
              <w:t>&lt; 50 000</w:t>
            </w:r>
          </w:p>
        </w:tc>
      </w:tr>
      <w:tr w:rsidR="003114C1" w:rsidRPr="003A38BA" w:rsidTr="003114C1">
        <w:tc>
          <w:tcPr>
            <w:tcW w:w="2965" w:type="dxa"/>
          </w:tcPr>
          <w:p w:rsidR="003114C1" w:rsidRPr="003A38BA" w:rsidRDefault="003114C1" w:rsidP="003114C1">
            <w:pPr>
              <w:ind w:left="0" w:firstLine="0"/>
              <w:jc w:val="center"/>
            </w:pPr>
            <w:r>
              <w:t>2</w:t>
            </w:r>
          </w:p>
        </w:tc>
        <w:tc>
          <w:tcPr>
            <w:tcW w:w="2984" w:type="dxa"/>
          </w:tcPr>
          <w:p w:rsidR="003114C1" w:rsidRPr="003A38BA" w:rsidRDefault="003114C1" w:rsidP="003114C1">
            <w:pPr>
              <w:ind w:left="0" w:firstLine="0"/>
              <w:jc w:val="center"/>
            </w:pPr>
            <w:r>
              <w:t>P2</w:t>
            </w:r>
          </w:p>
        </w:tc>
        <w:tc>
          <w:tcPr>
            <w:tcW w:w="2982" w:type="dxa"/>
          </w:tcPr>
          <w:p w:rsidR="003114C1" w:rsidRPr="003A38BA" w:rsidRDefault="003114C1" w:rsidP="003114C1">
            <w:pPr>
              <w:ind w:left="0" w:firstLine="0"/>
              <w:jc w:val="center"/>
            </w:pPr>
            <w:r>
              <w:t>100 000</w:t>
            </w:r>
          </w:p>
        </w:tc>
      </w:tr>
      <w:tr w:rsidR="003114C1" w:rsidRPr="003A38BA" w:rsidTr="003114C1">
        <w:tc>
          <w:tcPr>
            <w:tcW w:w="2965" w:type="dxa"/>
          </w:tcPr>
          <w:p w:rsidR="003114C1" w:rsidRPr="003A38BA" w:rsidRDefault="003114C1" w:rsidP="003114C1">
            <w:pPr>
              <w:ind w:left="0" w:firstLine="0"/>
              <w:jc w:val="center"/>
            </w:pPr>
            <w:r>
              <w:t>3</w:t>
            </w:r>
          </w:p>
        </w:tc>
        <w:tc>
          <w:tcPr>
            <w:tcW w:w="2984" w:type="dxa"/>
          </w:tcPr>
          <w:p w:rsidR="003114C1" w:rsidRPr="003A38BA" w:rsidRDefault="003114C1" w:rsidP="003114C1">
            <w:pPr>
              <w:ind w:left="0" w:firstLine="0"/>
              <w:jc w:val="center"/>
            </w:pPr>
            <w:r>
              <w:t>P3</w:t>
            </w:r>
          </w:p>
        </w:tc>
        <w:tc>
          <w:tcPr>
            <w:tcW w:w="2982" w:type="dxa"/>
          </w:tcPr>
          <w:p w:rsidR="003114C1" w:rsidRPr="003A38BA" w:rsidRDefault="003114C1" w:rsidP="003114C1">
            <w:pPr>
              <w:ind w:left="0" w:firstLine="0"/>
              <w:jc w:val="center"/>
            </w:pPr>
            <w:r>
              <w:t>200 000</w:t>
            </w:r>
          </w:p>
        </w:tc>
      </w:tr>
      <w:tr w:rsidR="003114C1" w:rsidRPr="003A38BA" w:rsidTr="003114C1">
        <w:tc>
          <w:tcPr>
            <w:tcW w:w="2965" w:type="dxa"/>
          </w:tcPr>
          <w:p w:rsidR="003114C1" w:rsidRPr="003A38BA" w:rsidRDefault="003114C1" w:rsidP="003114C1">
            <w:pPr>
              <w:ind w:left="0" w:firstLine="0"/>
              <w:jc w:val="center"/>
            </w:pPr>
            <w:r>
              <w:t>4</w:t>
            </w:r>
          </w:p>
        </w:tc>
        <w:tc>
          <w:tcPr>
            <w:tcW w:w="2984" w:type="dxa"/>
          </w:tcPr>
          <w:p w:rsidR="003114C1" w:rsidRPr="003A38BA" w:rsidRDefault="003114C1" w:rsidP="003114C1">
            <w:pPr>
              <w:ind w:left="0" w:firstLine="0"/>
              <w:jc w:val="center"/>
            </w:pPr>
            <w:r>
              <w:t>P4</w:t>
            </w:r>
          </w:p>
        </w:tc>
        <w:tc>
          <w:tcPr>
            <w:tcW w:w="2982" w:type="dxa"/>
          </w:tcPr>
          <w:p w:rsidR="003114C1" w:rsidRPr="003A38BA" w:rsidRDefault="003114C1" w:rsidP="003114C1">
            <w:pPr>
              <w:ind w:left="0" w:firstLine="0"/>
              <w:jc w:val="center"/>
            </w:pPr>
            <w:r>
              <w:t>500 000</w:t>
            </w:r>
          </w:p>
        </w:tc>
      </w:tr>
      <w:tr w:rsidR="003114C1" w:rsidRPr="003A38BA" w:rsidTr="003114C1">
        <w:tc>
          <w:tcPr>
            <w:tcW w:w="2965" w:type="dxa"/>
          </w:tcPr>
          <w:p w:rsidR="003114C1" w:rsidRPr="003A38BA" w:rsidRDefault="003114C1" w:rsidP="003114C1">
            <w:pPr>
              <w:ind w:left="0" w:firstLine="0"/>
              <w:jc w:val="center"/>
            </w:pPr>
            <w:r>
              <w:t>5</w:t>
            </w:r>
          </w:p>
        </w:tc>
        <w:tc>
          <w:tcPr>
            <w:tcW w:w="2984" w:type="dxa"/>
          </w:tcPr>
          <w:p w:rsidR="003114C1" w:rsidRPr="003A38BA" w:rsidRDefault="003114C1" w:rsidP="003114C1">
            <w:pPr>
              <w:ind w:left="0" w:firstLine="0"/>
              <w:jc w:val="center"/>
            </w:pPr>
            <w:r>
              <w:t>P5</w:t>
            </w:r>
          </w:p>
        </w:tc>
        <w:tc>
          <w:tcPr>
            <w:tcW w:w="2982" w:type="dxa"/>
          </w:tcPr>
          <w:p w:rsidR="003114C1" w:rsidRPr="003A38BA" w:rsidRDefault="003114C1" w:rsidP="003114C1">
            <w:pPr>
              <w:ind w:left="0" w:firstLine="0"/>
              <w:jc w:val="center"/>
            </w:pPr>
            <w:r>
              <w:t>1 000 000</w:t>
            </w:r>
          </w:p>
        </w:tc>
      </w:tr>
      <w:tr w:rsidR="003114C1" w:rsidRPr="003A38BA" w:rsidTr="003114C1">
        <w:tc>
          <w:tcPr>
            <w:tcW w:w="2965" w:type="dxa"/>
          </w:tcPr>
          <w:p w:rsidR="003114C1" w:rsidRPr="003A38BA" w:rsidRDefault="003114C1" w:rsidP="003114C1">
            <w:pPr>
              <w:ind w:left="0" w:firstLine="0"/>
              <w:jc w:val="center"/>
            </w:pPr>
            <w:r>
              <w:t>6</w:t>
            </w:r>
          </w:p>
        </w:tc>
        <w:tc>
          <w:tcPr>
            <w:tcW w:w="2984" w:type="dxa"/>
          </w:tcPr>
          <w:p w:rsidR="003114C1" w:rsidRPr="003A38BA" w:rsidRDefault="003114C1" w:rsidP="003114C1">
            <w:pPr>
              <w:ind w:left="0" w:firstLine="0"/>
              <w:jc w:val="center"/>
            </w:pPr>
            <w:r>
              <w:t>P6</w:t>
            </w:r>
          </w:p>
        </w:tc>
        <w:tc>
          <w:tcPr>
            <w:tcW w:w="2982" w:type="dxa"/>
          </w:tcPr>
          <w:p w:rsidR="003114C1" w:rsidRPr="003A38BA" w:rsidRDefault="003114C1" w:rsidP="003114C1">
            <w:pPr>
              <w:ind w:left="0" w:firstLine="0"/>
              <w:jc w:val="center"/>
            </w:pPr>
            <w:r>
              <w:t>2 000 000</w:t>
            </w:r>
          </w:p>
        </w:tc>
      </w:tr>
      <w:tr w:rsidR="003114C1" w:rsidRPr="003A38BA" w:rsidTr="003114C1">
        <w:tc>
          <w:tcPr>
            <w:tcW w:w="2965" w:type="dxa"/>
          </w:tcPr>
          <w:p w:rsidR="003114C1" w:rsidRPr="003A38BA" w:rsidRDefault="003114C1" w:rsidP="003114C1">
            <w:pPr>
              <w:ind w:left="0" w:firstLine="0"/>
              <w:jc w:val="center"/>
            </w:pPr>
            <w:r>
              <w:t>7</w:t>
            </w:r>
          </w:p>
        </w:tc>
        <w:tc>
          <w:tcPr>
            <w:tcW w:w="2984" w:type="dxa"/>
          </w:tcPr>
          <w:p w:rsidR="003114C1" w:rsidRPr="003A38BA" w:rsidRDefault="003114C1" w:rsidP="003114C1">
            <w:pPr>
              <w:ind w:left="0" w:firstLine="0"/>
              <w:jc w:val="center"/>
            </w:pPr>
            <w:r>
              <w:t>—</w:t>
            </w:r>
          </w:p>
        </w:tc>
        <w:tc>
          <w:tcPr>
            <w:tcW w:w="2982" w:type="dxa"/>
          </w:tcPr>
          <w:p w:rsidR="003114C1" w:rsidRPr="003A38BA" w:rsidRDefault="003114C1" w:rsidP="003114C1">
            <w:pPr>
              <w:ind w:left="0" w:firstLine="0"/>
              <w:jc w:val="center"/>
            </w:pPr>
            <w:r>
              <w:t>3 000 000</w:t>
            </w:r>
          </w:p>
        </w:tc>
      </w:tr>
      <w:tr w:rsidR="003114C1" w:rsidRPr="003A38BA" w:rsidTr="003114C1">
        <w:tc>
          <w:tcPr>
            <w:tcW w:w="2965" w:type="dxa"/>
          </w:tcPr>
          <w:p w:rsidR="003114C1" w:rsidRPr="003A38BA" w:rsidRDefault="003114C1" w:rsidP="003114C1">
            <w:pPr>
              <w:ind w:left="0" w:firstLine="0"/>
              <w:jc w:val="center"/>
            </w:pPr>
            <w:r>
              <w:t>8</w:t>
            </w:r>
          </w:p>
        </w:tc>
        <w:tc>
          <w:tcPr>
            <w:tcW w:w="2984" w:type="dxa"/>
          </w:tcPr>
          <w:p w:rsidR="003114C1" w:rsidRPr="003A38BA" w:rsidRDefault="003114C1" w:rsidP="003114C1">
            <w:pPr>
              <w:ind w:left="0" w:firstLine="0"/>
              <w:jc w:val="center"/>
            </w:pPr>
            <w:r>
              <w:t>P7</w:t>
            </w:r>
          </w:p>
        </w:tc>
        <w:tc>
          <w:tcPr>
            <w:tcW w:w="2982" w:type="dxa"/>
          </w:tcPr>
          <w:p w:rsidR="003114C1" w:rsidRPr="003A38BA" w:rsidRDefault="003114C1" w:rsidP="003114C1">
            <w:pPr>
              <w:ind w:left="0" w:firstLine="0"/>
              <w:jc w:val="center"/>
            </w:pPr>
            <w:r>
              <w:t>4 000 000</w:t>
            </w:r>
          </w:p>
        </w:tc>
      </w:tr>
    </w:tbl>
    <w:p w:rsidR="00993CFC" w:rsidRPr="003A38BA" w:rsidRDefault="00993CFC" w:rsidP="007C21AF">
      <w:pPr>
        <w:pStyle w:val="Heading1"/>
        <w:numPr>
          <w:ilvl w:val="2"/>
          <w:numId w:val="5"/>
        </w:numPr>
        <w:ind w:left="1440" w:hanging="720"/>
        <w:jc w:val="both"/>
        <w:rPr>
          <w:sz w:val="24"/>
          <w:szCs w:val="24"/>
        </w:rPr>
      </w:pPr>
      <w:bookmarkStart w:id="25" w:name="_Toc12559212"/>
      <w:r>
        <w:rPr>
          <w:sz w:val="24"/>
          <w:szCs w:val="24"/>
        </w:rPr>
        <w:t>Presoja preskusov</w:t>
      </w:r>
      <w:bookmarkEnd w:id="25"/>
    </w:p>
    <w:p w:rsidR="00993CFC" w:rsidRPr="003A38BA" w:rsidRDefault="00993CFC" w:rsidP="007C21AF">
      <w:pPr>
        <w:spacing w:after="120"/>
        <w:ind w:left="0" w:firstLine="0"/>
        <w:jc w:val="both"/>
      </w:pPr>
      <w:r>
        <w:t>Rezultati preskusa ustreznosti se povzamejo v preglednici izmerjenih vrednosti. Če so izpolnjene minimalne zahteve v skladu z ZTV M za novo stanje in stanje uporabe ter zahteve TL M, se lahko izda spričevalo o preskusu (glej Prilogo A). Za minimalne zahteve v skladu z ZTV M so bili za svetlobno-tehnične lastnosti izbrani višji razredi v skladu s standardom DIN EN 1436. Če minimalne zahteve v skladu z ZTV M niso dosežene in/ali niso izpolnjene zahteve TL M, vendar so izpolnjene minimalne zahteve v skladu s standardom DIN EN 1436, se lahko izda potrdilo o preskusu (glej Prilogo A). V primeru potrdila v skladu s standardom DIN EN 1436 je v nasprotju s spričevalom o preskusu v skladu z ZTV M možno ne navesti zmogljivosti za eno ali več lastnosti, če to želi vlagatelj.</w:t>
      </w:r>
    </w:p>
    <w:p w:rsidR="00617E85" w:rsidRPr="003A38BA" w:rsidRDefault="00617E85" w:rsidP="007C21AF">
      <w:pPr>
        <w:spacing w:after="120"/>
        <w:ind w:left="0" w:firstLine="0"/>
        <w:jc w:val="both"/>
      </w:pPr>
      <w:r>
        <w:lastRenderedPageBreak/>
        <w:t>Za presojo torne sposobnosti so bile na podlagi izvedenih navzkrižnih primerjav merilnih vrednosti torne sposobnosti na preskusnih poljih in RPA določene drugačne zahteve za RPA. Vrednosti SRT, dobljeni pri preskusu na RPA, se prišteje 5 točk, tako da je najnižji razred S1 že pri vrednosti SRT 40 ocenjen kot izpolnjen. Ta predpis pa ne velja za meritve torne sposobnosti v novem stanju pred začetkom povozov. Tu je potrebna vrednost SRT 45.</w:t>
      </w:r>
    </w:p>
    <w:p w:rsidR="00D9642C" w:rsidRPr="003A38BA" w:rsidRDefault="00D9642C" w:rsidP="007C21AF">
      <w:pPr>
        <w:pStyle w:val="Heading1"/>
        <w:numPr>
          <w:ilvl w:val="2"/>
          <w:numId w:val="5"/>
        </w:numPr>
        <w:ind w:left="1440" w:hanging="720"/>
        <w:jc w:val="both"/>
        <w:rPr>
          <w:sz w:val="24"/>
          <w:szCs w:val="24"/>
        </w:rPr>
      </w:pPr>
      <w:bookmarkStart w:id="26" w:name="_Toc12559213"/>
      <w:r>
        <w:rPr>
          <w:sz w:val="24"/>
          <w:szCs w:val="24"/>
        </w:rPr>
        <w:t>Kontrola preskusov (ponovljivost)</w:t>
      </w:r>
      <w:bookmarkEnd w:id="26"/>
    </w:p>
    <w:p w:rsidR="00D9642C" w:rsidRPr="003A38BA" w:rsidRDefault="00D9642C" w:rsidP="007C21AF">
      <w:pPr>
        <w:spacing w:after="120"/>
        <w:ind w:left="0" w:firstLine="0"/>
        <w:jc w:val="both"/>
      </w:pPr>
      <w:r>
        <w:t xml:space="preserve">V vsakem poteku preskusa je za kontrolo neoporečnega poteka preskusa zajet referenčni vzorec. </w:t>
      </w:r>
    </w:p>
    <w:p w:rsidR="00D9642C" w:rsidRPr="003A38BA" w:rsidRDefault="00946519" w:rsidP="007C21AF">
      <w:pPr>
        <w:spacing w:after="120"/>
        <w:ind w:left="0" w:firstLine="0"/>
        <w:jc w:val="both"/>
      </w:pPr>
      <w:r>
        <w:t>Na vsakem referenčnem vzorcu se v okviru preskusa ustreznosti prav tako izmerijo vse lastnosti, navedene v poglavju 4.4.3. Rezultati meritev ne smejo odstopati od prvotnih rezultatov meritev za izbrani vzorec ob upoštevanju odstopanj, navedenih v nadaljevanju.</w:t>
      </w:r>
    </w:p>
    <w:p w:rsidR="00946519" w:rsidRPr="003A38BA" w:rsidRDefault="00946519" w:rsidP="007C21AF">
      <w:pPr>
        <w:spacing w:after="120"/>
        <w:ind w:left="0" w:firstLine="0"/>
        <w:jc w:val="both"/>
      </w:pPr>
      <w:r>
        <w:t>15 % za dnevno vidljivost</w:t>
      </w:r>
    </w:p>
    <w:p w:rsidR="00946519" w:rsidRPr="003A38BA" w:rsidRDefault="00946519" w:rsidP="007C21AF">
      <w:pPr>
        <w:spacing w:after="120"/>
        <w:ind w:left="0" w:firstLine="0"/>
        <w:jc w:val="both"/>
      </w:pPr>
      <w:r>
        <w:t>15 % za nočno vidljivost po 100 000 povozih</w:t>
      </w:r>
    </w:p>
    <w:p w:rsidR="00DF3B72" w:rsidRPr="003A38BA" w:rsidRDefault="00946519" w:rsidP="007C21AF">
      <w:pPr>
        <w:spacing w:after="120"/>
        <w:ind w:left="0" w:firstLine="0"/>
        <w:jc w:val="both"/>
      </w:pPr>
      <w:r>
        <w:t>± 5 enot SRT za torno sposobnost</w:t>
      </w:r>
    </w:p>
    <w:p w:rsidR="00993CFC" w:rsidRPr="003A38BA" w:rsidRDefault="00F653D9" w:rsidP="007C21AF">
      <w:pPr>
        <w:spacing w:after="120"/>
        <w:ind w:left="0" w:firstLine="0"/>
        <w:jc w:val="both"/>
      </w:pPr>
      <w:r>
        <w:t>Če so odstopanja večja, je treba preveriti okvirne pogoje preskusa in tudi sam referenčni material, da se lahko izhaja iz neoporečnega poteka preskusa.</w:t>
      </w:r>
    </w:p>
    <w:p w:rsidR="00536458" w:rsidRPr="003A38BA" w:rsidRDefault="00536458" w:rsidP="007C21AF">
      <w:pPr>
        <w:pStyle w:val="Heading1"/>
        <w:numPr>
          <w:ilvl w:val="0"/>
          <w:numId w:val="5"/>
        </w:numPr>
        <w:jc w:val="both"/>
        <w:rPr>
          <w:sz w:val="24"/>
          <w:szCs w:val="24"/>
        </w:rPr>
      </w:pPr>
      <w:bookmarkStart w:id="27" w:name="_Toc353893698"/>
      <w:bookmarkStart w:id="28" w:name="_Toc12559214"/>
      <w:r>
        <w:rPr>
          <w:sz w:val="24"/>
          <w:szCs w:val="24"/>
        </w:rPr>
        <w:t>Kemično-fizikalni preskusi materialov za označevanje in dodatkov (preskus vzorca)</w:t>
      </w:r>
      <w:bookmarkEnd w:id="27"/>
      <w:bookmarkEnd w:id="28"/>
    </w:p>
    <w:p w:rsidR="00536458" w:rsidRPr="003A38BA" w:rsidRDefault="00536458" w:rsidP="007C21AF">
      <w:pPr>
        <w:pStyle w:val="Heading1"/>
        <w:numPr>
          <w:ilvl w:val="1"/>
          <w:numId w:val="5"/>
        </w:numPr>
        <w:jc w:val="both"/>
        <w:rPr>
          <w:sz w:val="24"/>
          <w:szCs w:val="24"/>
        </w:rPr>
      </w:pPr>
      <w:bookmarkStart w:id="29" w:name="_Toc86465553"/>
      <w:bookmarkStart w:id="30" w:name="_Toc115598045"/>
      <w:bookmarkStart w:id="31" w:name="_Toc120375499"/>
      <w:bookmarkStart w:id="32" w:name="_Toc150173015"/>
      <w:bookmarkStart w:id="33" w:name="_Toc150819913"/>
      <w:bookmarkStart w:id="34" w:name="_Toc353893699"/>
      <w:bookmarkStart w:id="35" w:name="_Toc12559215"/>
      <w:r>
        <w:rPr>
          <w:sz w:val="24"/>
          <w:szCs w:val="24"/>
        </w:rPr>
        <w:t>Splošno</w:t>
      </w:r>
      <w:bookmarkEnd w:id="29"/>
      <w:bookmarkEnd w:id="30"/>
      <w:bookmarkEnd w:id="31"/>
      <w:bookmarkEnd w:id="32"/>
      <w:bookmarkEnd w:id="33"/>
      <w:bookmarkEnd w:id="34"/>
      <w:bookmarkEnd w:id="35"/>
    </w:p>
    <w:p w:rsidR="00536458" w:rsidRPr="003A38BA" w:rsidRDefault="00536458" w:rsidP="007C21AF">
      <w:pPr>
        <w:spacing w:after="120"/>
        <w:ind w:left="0" w:firstLine="0"/>
        <w:jc w:val="both"/>
      </w:pPr>
      <w:r>
        <w:t>Preskusi vzorca so namenjeni zagotavljanju kakovosti in kontroli snovi za označevanje glede prepovedanih nevarnih snovi. Obenem je preskus vzorca podlaga za kasnejši preskus enakosti vzorca. V standardu DIN EN 1871 so določene kemično-fizikalne zahteve za snovi za označevanje kot sestavni del sistemov za označevanje. Zahteve za materiale za posipanje in steklene kroglice za primešanje k barvi so povzete po standardih DIN EN 1423 in DIN EN 1424. Preskusi za identifikacijo snovi in folij za označevanje so opisani v standardih DIN EN 12802 in DIN EN 1790.</w:t>
      </w:r>
    </w:p>
    <w:p w:rsidR="00536458" w:rsidRPr="003A38BA" w:rsidRDefault="00536458" w:rsidP="007C21AF">
      <w:pPr>
        <w:spacing w:after="120"/>
        <w:ind w:left="0" w:firstLine="0"/>
        <w:jc w:val="both"/>
      </w:pPr>
      <w:r>
        <w:t xml:space="preserve">Analize vzorca, ki jih je treba opraviti pri preskusu ustreznosti sistemov za označevanje, so navedene v preglednici 7. Potrebna odstopanja od uveljavljenih postopkov so opisana v poglavju 5.3. </w:t>
      </w:r>
    </w:p>
    <w:p w:rsidR="00536458" w:rsidRPr="008F058B" w:rsidRDefault="00536458" w:rsidP="008F058B">
      <w:pPr>
        <w:pStyle w:val="Subtitle"/>
        <w:keepNext/>
        <w:ind w:left="1701" w:hanging="1701"/>
        <w:jc w:val="both"/>
        <w:rPr>
          <w:spacing w:val="0"/>
          <w:sz w:val="22"/>
        </w:rPr>
      </w:pPr>
      <w:r w:rsidRPr="008F058B">
        <w:rPr>
          <w:sz w:val="22"/>
        </w:rPr>
        <w:t>Preglednica 7</w:t>
      </w:r>
      <w:r w:rsidRPr="008F058B">
        <w:rPr>
          <w:sz w:val="22"/>
        </w:rPr>
        <w:tab/>
        <w:t>Pregled standardnih preskusnih postopkov</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3A38BA" w:rsidTr="003E3497">
        <w:tc>
          <w:tcPr>
            <w:tcW w:w="2197" w:type="dxa"/>
            <w:tcBorders>
              <w:top w:val="single" w:sz="12" w:space="0" w:color="auto"/>
              <w:left w:val="single" w:sz="12" w:space="0" w:color="auto"/>
              <w:bottom w:val="single" w:sz="12" w:space="0" w:color="auto"/>
              <w:right w:val="nil"/>
            </w:tcBorders>
          </w:tcPr>
          <w:p w:rsidR="00536458" w:rsidRPr="003A38BA" w:rsidRDefault="00536458" w:rsidP="00536458">
            <w:pPr>
              <w:pStyle w:val="Tab-Kopf"/>
              <w:rPr>
                <w:sz w:val="22"/>
                <w:szCs w:val="22"/>
              </w:rPr>
            </w:pPr>
            <w:r>
              <w:rPr>
                <w:sz w:val="22"/>
                <w:szCs w:val="22"/>
              </w:rPr>
              <w:t>Parameter</w:t>
            </w:r>
          </w:p>
        </w:tc>
        <w:tc>
          <w:tcPr>
            <w:tcW w:w="1559" w:type="dxa"/>
            <w:tcBorders>
              <w:top w:val="single" w:sz="12" w:space="0" w:color="auto"/>
              <w:left w:val="single" w:sz="4" w:space="0" w:color="auto"/>
              <w:bottom w:val="single" w:sz="12" w:space="0" w:color="auto"/>
            </w:tcBorders>
          </w:tcPr>
          <w:p w:rsidR="00536458" w:rsidRPr="003A38BA" w:rsidRDefault="00536458" w:rsidP="00536458">
            <w:pPr>
              <w:pStyle w:val="Tab-Kopf"/>
              <w:rPr>
                <w:sz w:val="22"/>
                <w:szCs w:val="22"/>
              </w:rPr>
            </w:pPr>
            <w:r>
              <w:rPr>
                <w:sz w:val="22"/>
                <w:szCs w:val="22"/>
              </w:rPr>
              <w:t>Barve, ki vsebujejo topila (podlage)</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Disperzije</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Reaktivne snovi</w:t>
            </w:r>
          </w:p>
        </w:tc>
        <w:tc>
          <w:tcPr>
            <w:tcW w:w="1134"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Termoplastične snovi</w:t>
            </w:r>
          </w:p>
        </w:tc>
        <w:tc>
          <w:tcPr>
            <w:tcW w:w="993" w:type="dxa"/>
            <w:tcBorders>
              <w:top w:val="single" w:sz="12" w:space="0" w:color="auto"/>
              <w:bottom w:val="single" w:sz="12" w:space="0" w:color="auto"/>
            </w:tcBorders>
          </w:tcPr>
          <w:p w:rsidR="00536458" w:rsidRPr="003A38BA" w:rsidRDefault="00536458" w:rsidP="00536458">
            <w:pPr>
              <w:pStyle w:val="Tab-Kopf"/>
              <w:rPr>
                <w:sz w:val="22"/>
                <w:szCs w:val="22"/>
              </w:rPr>
            </w:pPr>
            <w:r>
              <w:rPr>
                <w:sz w:val="22"/>
                <w:szCs w:val="22"/>
              </w:rPr>
              <w:t>Folije</w:t>
            </w:r>
          </w:p>
        </w:tc>
        <w:tc>
          <w:tcPr>
            <w:tcW w:w="1417" w:type="dxa"/>
            <w:tcBorders>
              <w:top w:val="single" w:sz="12" w:space="0" w:color="auto"/>
              <w:bottom w:val="single" w:sz="12" w:space="0" w:color="auto"/>
              <w:right w:val="single" w:sz="12" w:space="0" w:color="auto"/>
            </w:tcBorders>
          </w:tcPr>
          <w:p w:rsidR="00536458" w:rsidRPr="003A38BA" w:rsidRDefault="00536458" w:rsidP="00536458">
            <w:pPr>
              <w:pStyle w:val="Tab-Kopf"/>
              <w:rPr>
                <w:kern w:val="0"/>
                <w:sz w:val="22"/>
                <w:szCs w:val="22"/>
              </w:rPr>
            </w:pPr>
            <w:r>
              <w:rPr>
                <w:sz w:val="22"/>
                <w:szCs w:val="22"/>
              </w:rPr>
              <w:t>Sklicevanje</w:t>
            </w:r>
          </w:p>
        </w:tc>
      </w:tr>
      <w:tr w:rsidR="00536458" w:rsidRPr="003A38BA" w:rsidTr="003E3497">
        <w:tc>
          <w:tcPr>
            <w:tcW w:w="2197" w:type="dxa"/>
            <w:tcBorders>
              <w:top w:val="single" w:sz="12" w:space="0" w:color="auto"/>
              <w:left w:val="single" w:sz="12" w:space="0" w:color="auto"/>
            </w:tcBorders>
          </w:tcPr>
          <w:p w:rsidR="00536458" w:rsidRPr="003A38BA" w:rsidRDefault="00536458" w:rsidP="00536458">
            <w:pPr>
              <w:spacing w:line="280" w:lineRule="exact"/>
              <w:ind w:left="0" w:firstLine="0"/>
            </w:pPr>
            <w:r>
              <w:t>Gostota</w:t>
            </w:r>
          </w:p>
        </w:tc>
        <w:tc>
          <w:tcPr>
            <w:tcW w:w="1559" w:type="dxa"/>
            <w:tcBorders>
              <w:top w:val="single" w:sz="12" w:space="0" w:color="auto"/>
            </w:tcBorders>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tcBorders>
              <w:top w:val="single" w:sz="12" w:space="0" w:color="auto"/>
            </w:tcBorders>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tcBorders>
              <w:top w:val="single" w:sz="12" w:space="0" w:color="auto"/>
            </w:tcBorders>
            <w:vAlign w:val="center"/>
          </w:tcPr>
          <w:p w:rsidR="00536458" w:rsidRPr="003A38BA"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 2811-1</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Hlapni deleži</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Delež veziv</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Vsebnost titanovega dioksida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pStyle w:val="Header"/>
              <w:tabs>
                <w:tab w:val="clear" w:pos="4536"/>
                <w:tab w:val="clear" w:pos="9072"/>
              </w:tabs>
              <w:spacing w:before="60" w:after="60" w:line="240" w:lineRule="exact"/>
              <w:rPr>
                <w:rFonts w:asciiTheme="minorHAnsi" w:hAnsiTheme="minorHAnsi"/>
                <w:sz w:val="22"/>
                <w:szCs w:val="22"/>
              </w:rPr>
            </w:pPr>
            <w:r>
              <w:rPr>
                <w:rFonts w:asciiTheme="minorHAnsi" w:hAnsiTheme="minorHAnsi"/>
                <w:sz w:val="22"/>
                <w:szCs w:val="22"/>
              </w:rPr>
              <w:t>Deleži snovi za primešanje</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Analiza materialov za posipanje</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1423, 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 xml:space="preserve">Analiza glede svinca in </w:t>
            </w:r>
            <w:r>
              <w:lastRenderedPageBreak/>
              <w:t>kadmija</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lastRenderedPageBreak/>
              <w:t xml:space="preserve">x </w:t>
            </w:r>
            <w:r>
              <w:rPr>
                <w:rFonts w:ascii="Arial" w:hAnsi="Arial"/>
                <w:sz w:val="20"/>
                <w:szCs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 xml:space="preserve">x </w:t>
            </w:r>
            <w:r>
              <w:rPr>
                <w:rFonts w:ascii="Arial" w:hAnsi="Arial"/>
                <w:sz w:val="20"/>
                <w:szCs w:val="20"/>
                <w:vertAlign w:val="superscript"/>
              </w:rPr>
              <w:t>1)</w:t>
            </w:r>
          </w:p>
        </w:tc>
        <w:tc>
          <w:tcPr>
            <w:tcW w:w="1417" w:type="dxa"/>
            <w:tcBorders>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szCs w:val="22"/>
              </w:rPr>
              <w:t>ISO 11466</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Ostanek pepela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Infrardeči spekter veziva</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r>
              <w:rPr>
                <w:b/>
                <w:vertAlign w:val="superscript"/>
              </w:rPr>
              <w:t>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Infrardeči spekter pigmentov in polnil</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Določitev HOS/monomerov/oligomerov</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szCs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szCs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Analiza lepilnega sloja</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Termogram</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Analiza slike</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3A38BA" w:rsidRDefault="0088418C" w:rsidP="0088418C">
            <w:pPr>
              <w:spacing w:before="60" w:after="60" w:line="260" w:lineRule="exact"/>
              <w:jc w:val="center"/>
              <w:rPr>
                <w:rFonts w:ascii="Arial" w:hAnsi="Arial" w:cs="Arial"/>
                <w:sz w:val="20"/>
                <w:szCs w:val="20"/>
              </w:rPr>
            </w:pPr>
            <w:r>
              <w:rPr>
                <w:rFonts w:ascii="Arial" w:hAnsi="Arial"/>
                <w:sz w:val="20"/>
                <w:szCs w:val="20"/>
              </w:rPr>
              <w:t>x</w:t>
            </w:r>
          </w:p>
        </w:tc>
        <w:tc>
          <w:tcPr>
            <w:tcW w:w="1417" w:type="dxa"/>
            <w:tcBorders>
              <w:right w:val="single" w:sz="12" w:space="0" w:color="auto"/>
            </w:tcBorders>
          </w:tcPr>
          <w:p w:rsidR="00536458" w:rsidRPr="003A38BA" w:rsidRDefault="00C32DCC" w:rsidP="00536458">
            <w:pPr>
              <w:spacing w:line="280" w:lineRule="exact"/>
            </w:pPr>
            <w:r>
              <w:t>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Zmehčišče po Wilhelmu</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BD23B3"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vAlign w:val="center"/>
          </w:tcPr>
          <w:p w:rsidR="00536458" w:rsidRPr="003A38BA" w:rsidRDefault="00536458" w:rsidP="0088418C">
            <w:pPr>
              <w:spacing w:before="60" w:after="60" w:line="260" w:lineRule="exact"/>
              <w:jc w:val="center"/>
              <w:rPr>
                <w:rFonts w:ascii="Arial" w:hAnsi="Arial" w:cs="Arial"/>
                <w:sz w:val="20"/>
                <w:szCs w:val="20"/>
                <w:lang w:val="en-GB"/>
              </w:rPr>
            </w:pPr>
          </w:p>
        </w:tc>
        <w:tc>
          <w:tcPr>
            <w:tcW w:w="1417" w:type="dxa"/>
            <w:tcBorders>
              <w:right w:val="single" w:sz="12" w:space="0" w:color="auto"/>
            </w:tcBorders>
          </w:tcPr>
          <w:p w:rsidR="00536458" w:rsidRPr="003A38BA" w:rsidRDefault="00536458" w:rsidP="00536458">
            <w:pPr>
              <w:spacing w:line="280" w:lineRule="exact"/>
            </w:pPr>
            <w:r>
              <w:t>DIN EN 1871</w:t>
            </w:r>
          </w:p>
        </w:tc>
      </w:tr>
      <w:tr w:rsidR="00DF4A21" w:rsidRPr="003A38BA" w:rsidTr="003E3497">
        <w:tc>
          <w:tcPr>
            <w:tcW w:w="2197" w:type="dxa"/>
            <w:tcBorders>
              <w:left w:val="single" w:sz="12" w:space="0" w:color="auto"/>
              <w:bottom w:val="single" w:sz="12" w:space="0" w:color="auto"/>
            </w:tcBorders>
          </w:tcPr>
          <w:p w:rsidR="00DF4A21" w:rsidRPr="003A38BA" w:rsidRDefault="00DF4A21" w:rsidP="00536458">
            <w:pPr>
              <w:spacing w:before="60" w:after="60" w:line="260" w:lineRule="exact"/>
              <w:ind w:left="0" w:firstLine="0"/>
            </w:pPr>
            <w:r>
              <w:t xml:space="preserve">Preskus prodiranja </w:t>
            </w:r>
          </w:p>
        </w:tc>
        <w:tc>
          <w:tcPr>
            <w:tcW w:w="1559"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r>
              <w:rPr>
                <w:rFonts w:ascii="Arial" w:hAnsi="Arial"/>
                <w:sz w:val="20"/>
                <w:szCs w:val="20"/>
              </w:rPr>
              <w:t>x</w:t>
            </w:r>
          </w:p>
        </w:tc>
        <w:tc>
          <w:tcPr>
            <w:tcW w:w="993"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lang w:val="en-GB"/>
              </w:rPr>
            </w:pPr>
          </w:p>
        </w:tc>
        <w:tc>
          <w:tcPr>
            <w:tcW w:w="1417" w:type="dxa"/>
            <w:tcBorders>
              <w:bottom w:val="single" w:sz="12" w:space="0" w:color="auto"/>
              <w:right w:val="single" w:sz="12" w:space="0" w:color="auto"/>
            </w:tcBorders>
          </w:tcPr>
          <w:p w:rsidR="00DF4A21" w:rsidRPr="003A38BA" w:rsidRDefault="00DF4A21" w:rsidP="00536458">
            <w:pPr>
              <w:spacing w:line="280" w:lineRule="exact"/>
            </w:pPr>
            <w:r>
              <w:t>DIN EN 1871</w:t>
            </w:r>
          </w:p>
        </w:tc>
      </w:tr>
    </w:tbl>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Po potrebi pri snoveh za začasno označevanje</w:t>
      </w:r>
    </w:p>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Pri disperzijah je treba topilo ekstrahirati s tetrahidrofuranom (THF), da se prepreči obarjanje.</w:t>
      </w:r>
    </w:p>
    <w:p w:rsidR="00536458" w:rsidRPr="003A38BA" w:rsidRDefault="00536458" w:rsidP="007C21AF">
      <w:pPr>
        <w:pStyle w:val="Heading1"/>
        <w:numPr>
          <w:ilvl w:val="1"/>
          <w:numId w:val="5"/>
        </w:numPr>
        <w:jc w:val="both"/>
        <w:rPr>
          <w:sz w:val="24"/>
          <w:szCs w:val="24"/>
        </w:rPr>
      </w:pPr>
      <w:bookmarkStart w:id="36" w:name="_Toc150157103"/>
      <w:bookmarkStart w:id="37" w:name="_Toc150172942"/>
      <w:bookmarkStart w:id="38" w:name="_Toc150173017"/>
      <w:bookmarkStart w:id="39" w:name="_Toc150174570"/>
      <w:bookmarkStart w:id="40" w:name="_Toc150819423"/>
      <w:bookmarkStart w:id="41" w:name="_Toc150819855"/>
      <w:bookmarkStart w:id="42" w:name="_Toc150819915"/>
      <w:bookmarkStart w:id="43" w:name="_Toc297110226"/>
      <w:bookmarkStart w:id="44" w:name="_Toc297110277"/>
      <w:bookmarkStart w:id="45" w:name="_Toc86465554"/>
      <w:bookmarkStart w:id="46" w:name="_Toc115598046"/>
      <w:bookmarkStart w:id="47" w:name="_Toc120375500"/>
      <w:bookmarkStart w:id="48" w:name="_Toc150173018"/>
      <w:bookmarkStart w:id="49" w:name="_Toc150819916"/>
      <w:bookmarkStart w:id="50" w:name="_Toc353893700"/>
      <w:bookmarkStart w:id="51" w:name="_Toc12559216"/>
      <w:bookmarkEnd w:id="36"/>
      <w:bookmarkEnd w:id="37"/>
      <w:bookmarkEnd w:id="38"/>
      <w:bookmarkEnd w:id="39"/>
      <w:bookmarkEnd w:id="40"/>
      <w:bookmarkEnd w:id="41"/>
      <w:bookmarkEnd w:id="42"/>
      <w:bookmarkEnd w:id="43"/>
      <w:bookmarkEnd w:id="44"/>
      <w:r>
        <w:rPr>
          <w:sz w:val="24"/>
          <w:szCs w:val="24"/>
        </w:rPr>
        <w:t>Vzorčenje</w:t>
      </w:r>
      <w:bookmarkEnd w:id="45"/>
      <w:bookmarkEnd w:id="46"/>
      <w:bookmarkEnd w:id="47"/>
      <w:bookmarkEnd w:id="48"/>
      <w:bookmarkEnd w:id="49"/>
      <w:bookmarkEnd w:id="50"/>
      <w:bookmarkEnd w:id="51"/>
    </w:p>
    <w:p w:rsidR="00E54343" w:rsidRPr="003A38BA" w:rsidRDefault="00E54343" w:rsidP="007C21AF">
      <w:pPr>
        <w:spacing w:after="120"/>
        <w:ind w:left="0" w:firstLine="0"/>
        <w:jc w:val="both"/>
      </w:pPr>
      <w:bookmarkStart w:id="52" w:name="_Toc150157105"/>
      <w:bookmarkStart w:id="53" w:name="_Toc150172944"/>
      <w:bookmarkStart w:id="54" w:name="_Toc150173019"/>
      <w:bookmarkStart w:id="55" w:name="_Toc150174572"/>
      <w:bookmarkStart w:id="56" w:name="_Toc150819425"/>
      <w:bookmarkStart w:id="57" w:name="_Toc150819857"/>
      <w:bookmarkStart w:id="58" w:name="_Toc150819917"/>
      <w:bookmarkEnd w:id="52"/>
      <w:bookmarkEnd w:id="53"/>
      <w:bookmarkEnd w:id="54"/>
      <w:bookmarkEnd w:id="55"/>
      <w:bookmarkEnd w:id="56"/>
      <w:bookmarkEnd w:id="57"/>
      <w:bookmarkEnd w:id="58"/>
      <w:r>
        <w:t>V okviru preskusa ustreznosti vlagatelj pisno potrdi, da so snovi in dodatki, ki jih da na voljo za nanašanje, reprezentativni za proizvodnjo. Odgovoren je za to, da preskusne količine, ki jih predloži za preskus vzorca (glej 4.2.3), zadostujejo.</w:t>
      </w:r>
    </w:p>
    <w:p w:rsidR="00536458" w:rsidRPr="003A38BA" w:rsidRDefault="00536458" w:rsidP="007C21AF">
      <w:pPr>
        <w:spacing w:after="120"/>
        <w:ind w:left="0" w:firstLine="0"/>
        <w:jc w:val="both"/>
      </w:pPr>
      <w:r>
        <w:t>Vsebniki, v katere se odvzamejo vzorci, je treba po napolnitvi tesno zapreti in jih z ustreznim pečatom zaščititi pred manipulacijo. Ustrezni vsebniki za odvzem vzorca so na primer litrske pločevinke s pritisnim pokrovom ali plinodržni vsebniki iz umetne mase iz polietilena ali polipropilena z navojnim pokrovom. Izgube topil je mogoče preprečiti, če se vsebniki za odvzem vzorcev čim bolj napolnijo in po zaprtju enkrat obrnejo. Pri snoveh za označevanje na vodni osnovi je potrebna uporaba plinodržnih vsebnikov iz umetne mase ali znotraj prevlečenih pločevink s pritisnim pokrovom.</w:t>
      </w:r>
    </w:p>
    <w:p w:rsidR="00536458" w:rsidRPr="003A38BA" w:rsidRDefault="00536458" w:rsidP="007C21AF">
      <w:pPr>
        <w:spacing w:after="120"/>
        <w:ind w:left="0" w:firstLine="0"/>
        <w:jc w:val="both"/>
      </w:pPr>
      <w:r>
        <w:t xml:space="preserve">Vzorce je treba jasno označiti z napisom. </w:t>
      </w:r>
    </w:p>
    <w:p w:rsidR="00536458" w:rsidRPr="003A38BA" w:rsidRDefault="007F44BC" w:rsidP="007C21AF">
      <w:pPr>
        <w:pStyle w:val="Heading1"/>
        <w:numPr>
          <w:ilvl w:val="1"/>
          <w:numId w:val="5"/>
        </w:numPr>
        <w:jc w:val="both"/>
        <w:rPr>
          <w:sz w:val="24"/>
          <w:szCs w:val="24"/>
        </w:rPr>
      </w:pPr>
      <w:bookmarkStart w:id="59" w:name="_Toc297110228"/>
      <w:bookmarkStart w:id="60" w:name="_Toc297110279"/>
      <w:bookmarkStart w:id="61" w:name="_Toc84303240"/>
      <w:bookmarkStart w:id="62" w:name="_Toc86465557"/>
      <w:bookmarkStart w:id="63" w:name="_Toc115598049"/>
      <w:bookmarkStart w:id="64" w:name="_Toc12559217"/>
      <w:bookmarkEnd w:id="59"/>
      <w:bookmarkEnd w:id="60"/>
      <w:r>
        <w:rPr>
          <w:sz w:val="24"/>
          <w:szCs w:val="24"/>
        </w:rPr>
        <w:t>Preskušanje vzorcev sistemov za označevanje, ki niso predpripravljeni</w:t>
      </w:r>
      <w:bookmarkEnd w:id="64"/>
    </w:p>
    <w:bookmarkEnd w:id="61"/>
    <w:bookmarkEnd w:id="62"/>
    <w:bookmarkEnd w:id="63"/>
    <w:p w:rsidR="00536458" w:rsidRPr="003A38BA" w:rsidRDefault="00536458" w:rsidP="007C21AF">
      <w:pPr>
        <w:ind w:left="0" w:firstLine="0"/>
        <w:jc w:val="both"/>
      </w:pPr>
      <w:r>
        <w:t>Karakteristične značilnosti sistema za označevanje vlagatelj predloži z vlogo za preskus primernosti ter se evidentirajo, preskusijo in dokumentirajo pri preskušanju vzorcev, da se v okviru poznejšega kontrolnega preskusa v skladu z ZTV M omogoči identifikacija. Preskusni postopki preskusa vzorca so opisani v nadaljevanju.</w:t>
      </w:r>
    </w:p>
    <w:p w:rsidR="00536458" w:rsidRPr="003A38BA" w:rsidRDefault="00536458" w:rsidP="007C21AF">
      <w:pPr>
        <w:pStyle w:val="Heading1"/>
        <w:numPr>
          <w:ilvl w:val="2"/>
          <w:numId w:val="5"/>
        </w:numPr>
        <w:ind w:left="1440" w:hanging="872"/>
        <w:jc w:val="both"/>
        <w:rPr>
          <w:sz w:val="24"/>
          <w:szCs w:val="24"/>
        </w:rPr>
      </w:pPr>
      <w:bookmarkStart w:id="65" w:name="_Toc84303245"/>
      <w:bookmarkStart w:id="66" w:name="_Toc86465562"/>
      <w:bookmarkStart w:id="67" w:name="_Toc115598053"/>
      <w:bookmarkStart w:id="68" w:name="_Toc150174577"/>
      <w:bookmarkStart w:id="69" w:name="_Toc273346566"/>
      <w:bookmarkStart w:id="70" w:name="_Toc353893703"/>
      <w:bookmarkStart w:id="71" w:name="_Toc12559218"/>
      <w:r>
        <w:rPr>
          <w:sz w:val="24"/>
          <w:szCs w:val="24"/>
        </w:rPr>
        <w:t>Določanje organskih in anorganskih deležev</w:t>
      </w:r>
      <w:bookmarkEnd w:id="71"/>
    </w:p>
    <w:p w:rsidR="00536458" w:rsidRPr="003A38BA" w:rsidRDefault="00536458" w:rsidP="007C21AF">
      <w:pPr>
        <w:ind w:left="0" w:firstLine="0"/>
        <w:jc w:val="both"/>
      </w:pPr>
      <w:r>
        <w:t>Delež hlapnih sestavin barv za označevanje in podlag se praviloma določi v skladu s standardom DIN EN 12802 s tehtanjem ostanka, ki se dobi po treh urah temperiranja pri 105 °C v sušilniku s krožečim zrakom. Ta ostanek se nato uporabi za merjenje deleža veziva in deleža anorganskih sestavin. Po štiriurni toplotni obdelavi pri 4 450 °C v muflovki organska veziva popolnoma razpadejo. Dobljeni ostanek ustreza anorganskemu deležu. S tehtanjem pred toplotno obdelavo in po njej se določijo masni deleži. Dobljeni anorganski ostanek se uporabi za identifikacijo pigmentov in polnil ter določitev vsebnosti titanovega dioksida.</w:t>
      </w:r>
    </w:p>
    <w:p w:rsidR="00536458" w:rsidRPr="003A38BA" w:rsidRDefault="00536458" w:rsidP="007C21AF">
      <w:pPr>
        <w:pStyle w:val="Heading1"/>
        <w:numPr>
          <w:ilvl w:val="2"/>
          <w:numId w:val="5"/>
        </w:numPr>
        <w:ind w:left="1440" w:hanging="872"/>
        <w:jc w:val="both"/>
        <w:rPr>
          <w:sz w:val="24"/>
          <w:szCs w:val="24"/>
        </w:rPr>
      </w:pPr>
      <w:bookmarkStart w:id="72" w:name="_Toc12559219"/>
      <w:r>
        <w:rPr>
          <w:sz w:val="24"/>
          <w:szCs w:val="24"/>
        </w:rPr>
        <w:lastRenderedPageBreak/>
        <w:t>Določanje hlapnih organskih spoji</w:t>
      </w:r>
      <w:bookmarkEnd w:id="65"/>
      <w:r>
        <w:rPr>
          <w:sz w:val="24"/>
          <w:szCs w:val="24"/>
        </w:rPr>
        <w:t>n in monomerov/oligomerov</w:t>
      </w:r>
      <w:bookmarkEnd w:id="66"/>
      <w:bookmarkEnd w:id="67"/>
      <w:bookmarkEnd w:id="68"/>
      <w:bookmarkEnd w:id="69"/>
      <w:bookmarkEnd w:id="70"/>
      <w:bookmarkEnd w:id="72"/>
    </w:p>
    <w:p w:rsidR="00667BC9" w:rsidRPr="003A38BA" w:rsidRDefault="00536458" w:rsidP="007C21AF">
      <w:pPr>
        <w:ind w:left="0" w:firstLine="0"/>
        <w:jc w:val="both"/>
      </w:pPr>
      <w:r>
        <w:t xml:space="preserve">Določanje hlapnih organskih sestavin v snoveh za označevanje in dodatkih se praviloma izvede v skladu s standardom EN 12802 s plinsko kromatografijo ob uporabi detektorja masnega spektrometra (plinska kromatografija-masna spektrometrija). </w:t>
      </w:r>
    </w:p>
    <w:p w:rsidR="00667BC9" w:rsidRPr="003A38BA" w:rsidRDefault="00667BC9" w:rsidP="007C21AF">
      <w:pPr>
        <w:ind w:left="0" w:firstLine="0"/>
        <w:jc w:val="both"/>
      </w:pPr>
      <w:r>
        <w:t xml:space="preserve">Po TL M veljajo naslednje zahteve: </w:t>
      </w:r>
    </w:p>
    <w:p w:rsidR="00536458" w:rsidRPr="003A38BA" w:rsidRDefault="00536458" w:rsidP="007C21AF">
      <w:pPr>
        <w:ind w:left="0" w:firstLine="0"/>
        <w:jc w:val="both"/>
      </w:pPr>
      <w:r>
        <w:t xml:space="preserve">snovi za označevanje lahko vsebujejo največ 25 masnih odstotkov hlapnih organskih topil. </w:t>
      </w:r>
    </w:p>
    <w:p w:rsidR="00536458" w:rsidRPr="003A38BA" w:rsidRDefault="00536458" w:rsidP="007C21AF">
      <w:pPr>
        <w:ind w:left="0" w:firstLine="0"/>
        <w:jc w:val="both"/>
      </w:pPr>
      <w:r>
        <w:t>Topila, ki so v sistemu za razvrščanje in označevanje kemikalij (GHS) razvrščena kot strupena (akutno toksično, kategorija 1, 2 ali 3) ali nevarna (mutageno, rakotvorno, akutno toksično, strupeno za razmnoževanje, strupeno za posamezne organe, kategorija 1, 1A ali 1B), so lahko vsebovana samo v skupnem deležu &lt; 0,1 masnega odstotka.</w:t>
      </w:r>
    </w:p>
    <w:p w:rsidR="00536458" w:rsidRPr="003A38BA" w:rsidRDefault="00536458" w:rsidP="007C21AF">
      <w:pPr>
        <w:ind w:left="0" w:firstLine="0"/>
        <w:jc w:val="both"/>
      </w:pPr>
      <w:r>
        <w:t>Deleži topil, ki so razvrščena kot škodljiva za zdravje (akutno toksično, kategorija 4, ali nevarno, kategorija 2: mutageno, rakotvorno, akutno toksično, strupeno za razmnoževanje, strupeno za posamezne organe), skupaj ne smejo presegati 1,0 masnega odstotka. To velja ne glede na to, ali so te snovi vsebovane kot nečistoče ali primesi.</w:t>
      </w:r>
    </w:p>
    <w:p w:rsidR="00536458" w:rsidRPr="003A38BA" w:rsidRDefault="00536458" w:rsidP="007C21AF">
      <w:pPr>
        <w:pStyle w:val="Heading1"/>
        <w:numPr>
          <w:ilvl w:val="2"/>
          <w:numId w:val="5"/>
        </w:numPr>
        <w:ind w:left="1440" w:hanging="872"/>
        <w:jc w:val="both"/>
        <w:rPr>
          <w:sz w:val="24"/>
          <w:szCs w:val="24"/>
        </w:rPr>
      </w:pPr>
      <w:bookmarkStart w:id="73" w:name="_Toc84303246"/>
      <w:bookmarkStart w:id="74" w:name="_Toc86465563"/>
      <w:bookmarkStart w:id="75" w:name="_Toc115598054"/>
      <w:bookmarkStart w:id="76" w:name="_Toc150174578"/>
      <w:bookmarkStart w:id="77" w:name="_Toc273346567"/>
      <w:bookmarkStart w:id="78" w:name="_Toc353893704"/>
      <w:bookmarkStart w:id="79" w:name="_Toc12559220"/>
      <w:r>
        <w:rPr>
          <w:sz w:val="24"/>
          <w:szCs w:val="24"/>
        </w:rPr>
        <w:t>Določanje vsebnosti titanovega dioksida v anorganskih ostankih</w:t>
      </w:r>
      <w:bookmarkEnd w:id="73"/>
      <w:bookmarkEnd w:id="74"/>
      <w:bookmarkEnd w:id="75"/>
      <w:bookmarkEnd w:id="76"/>
      <w:bookmarkEnd w:id="77"/>
      <w:bookmarkEnd w:id="78"/>
      <w:bookmarkEnd w:id="79"/>
    </w:p>
    <w:p w:rsidR="00536458" w:rsidRPr="003A38BA" w:rsidRDefault="00536458" w:rsidP="007C21AF">
      <w:pPr>
        <w:ind w:left="0" w:firstLine="0"/>
        <w:jc w:val="both"/>
      </w:pPr>
      <w:r>
        <w:t xml:space="preserve">Vsebnost titanovega dioksida se določi iz anorganskega ostanka, ki se dobi po upepeljevanju snovi za označevanje pri 450 °C. </w:t>
      </w:r>
    </w:p>
    <w:p w:rsidR="00DF4A21" w:rsidRPr="003A38BA" w:rsidRDefault="00536458" w:rsidP="007C21AF">
      <w:pPr>
        <w:ind w:left="0" w:firstLine="0"/>
        <w:jc w:val="both"/>
      </w:pPr>
      <w:r>
        <w:t xml:space="preserve">Določanje se praviloma izvede v skladu s postopkom, opisanim v standardu DIN EN 12802. Po razklopu materiala za vzorčenje v koncentrirani žvepleni kislini in redukciji z aluminijem se izvede redoks titracija z amonijevim železovim(III) sulfatom. Namesto vizualne identifikacije končne točke se uporabi potenciometrična identifikacija končne točke. </w:t>
      </w:r>
    </w:p>
    <w:p w:rsidR="00536458" w:rsidRPr="003A38BA" w:rsidRDefault="00536458" w:rsidP="007C21AF">
      <w:pPr>
        <w:pStyle w:val="Heading1"/>
        <w:numPr>
          <w:ilvl w:val="2"/>
          <w:numId w:val="5"/>
        </w:numPr>
        <w:ind w:left="1440" w:hanging="872"/>
        <w:jc w:val="both"/>
        <w:rPr>
          <w:sz w:val="24"/>
          <w:szCs w:val="24"/>
        </w:rPr>
      </w:pPr>
      <w:bookmarkStart w:id="80" w:name="_Toc84303247"/>
      <w:bookmarkStart w:id="81" w:name="_Toc86465564"/>
      <w:bookmarkStart w:id="82" w:name="_Toc115598055"/>
      <w:bookmarkStart w:id="83" w:name="_Toc273346568"/>
      <w:bookmarkStart w:id="84" w:name="_Toc353893705"/>
      <w:bookmarkStart w:id="85" w:name="_Toc12559221"/>
      <w:r>
        <w:rPr>
          <w:sz w:val="24"/>
          <w:szCs w:val="24"/>
        </w:rPr>
        <w:t>Določanje deležev snovi za primešanje</w:t>
      </w:r>
      <w:bookmarkEnd w:id="80"/>
      <w:bookmarkEnd w:id="81"/>
      <w:bookmarkEnd w:id="82"/>
      <w:bookmarkEnd w:id="83"/>
      <w:bookmarkEnd w:id="84"/>
      <w:bookmarkEnd w:id="85"/>
    </w:p>
    <w:p w:rsidR="00536458" w:rsidRPr="003A38BA" w:rsidRDefault="00536458" w:rsidP="007C21AF">
      <w:pPr>
        <w:spacing w:after="120"/>
        <w:ind w:left="0" w:firstLine="0"/>
        <w:jc w:val="both"/>
      </w:pPr>
      <w:r>
        <w:t>Če snov za označevanje v sistemu za označevanje vsebuje snovi za primešanje (odsevne snovi in/ali posipe za zmanjšanje drsnosti), se njihovi deleži praviloma v skladu s standardom DIN EN 12802 določijo, kot sledi:</w:t>
      </w:r>
    </w:p>
    <w:p w:rsidR="00536458" w:rsidRPr="003A38BA" w:rsidRDefault="00536458" w:rsidP="007C21AF">
      <w:pPr>
        <w:ind w:left="0" w:firstLine="0"/>
        <w:jc w:val="both"/>
      </w:pPr>
      <w:r>
        <w:t>vzorec 15–20 g homogenizirane snovi za označevanje se toplotno obdela v muflovki pri 450 °C. Preostali anorganski deleži se presejejo s sitom 90 µm. Postopek presejanja se uporablja za infrardečo spektroskopsko analizo polnil in pigmentov. Nato se ostanek presejanja mokro očisti, da je brez pigmentov in polnil. Kot pomoč pri ločevanju se lahko uporabi ultrazvočna kopel in razredčena ocetna kislina. Ostanek se suši v sušilniku pri približno 150 °C in stehta.</w:t>
      </w:r>
    </w:p>
    <w:p w:rsidR="00536458" w:rsidRPr="003A38BA" w:rsidRDefault="00536458" w:rsidP="007C21AF">
      <w:pPr>
        <w:pStyle w:val="Heading1"/>
        <w:numPr>
          <w:ilvl w:val="2"/>
          <w:numId w:val="5"/>
        </w:numPr>
        <w:ind w:left="1440" w:hanging="872"/>
        <w:jc w:val="both"/>
        <w:rPr>
          <w:sz w:val="24"/>
          <w:szCs w:val="24"/>
        </w:rPr>
      </w:pPr>
      <w:bookmarkStart w:id="86" w:name="_Toc273346569"/>
      <w:bookmarkStart w:id="87" w:name="_Toc353893706"/>
      <w:bookmarkStart w:id="88" w:name="_Toc12559222"/>
      <w:r>
        <w:rPr>
          <w:sz w:val="24"/>
          <w:szCs w:val="24"/>
        </w:rPr>
        <w:t>Določanje zmehčišča po Wilhelmu</w:t>
      </w:r>
      <w:bookmarkEnd w:id="86"/>
      <w:bookmarkEnd w:id="87"/>
      <w:bookmarkEnd w:id="88"/>
    </w:p>
    <w:p w:rsidR="00536458" w:rsidRPr="003A38BA" w:rsidRDefault="00536458" w:rsidP="007C21AF">
      <w:pPr>
        <w:ind w:left="0" w:firstLine="0"/>
        <w:jc w:val="both"/>
      </w:pPr>
      <w:r>
        <w:t xml:space="preserve">Termoplastične snovi za označevanje morajo tudi pri poletnih temperaturah zadostno obdržati obliko. Drugače bi se odsevne snovi in posipi za zmanjšanje drsnosti na površini sistema za označevanje zaradi vožnje vozil vtisnili globoko v sistem in bi bila zmanjšana njihova funkcija. Za določanje ohranjanja oblike se preveri zmehčišče v skladu s standardom DIN EN 1871, Priloga F („Preskus po Wilhelmu“). Doseči mora najmanj razred SP2 (80 °C). </w:t>
      </w:r>
    </w:p>
    <w:p w:rsidR="00E35384" w:rsidRPr="003A38BA" w:rsidRDefault="007A6695" w:rsidP="007C21AF">
      <w:pPr>
        <w:pStyle w:val="Heading1"/>
        <w:numPr>
          <w:ilvl w:val="2"/>
          <w:numId w:val="5"/>
        </w:numPr>
        <w:ind w:left="1440" w:hanging="872"/>
        <w:jc w:val="both"/>
        <w:rPr>
          <w:sz w:val="24"/>
          <w:szCs w:val="24"/>
        </w:rPr>
      </w:pPr>
      <w:bookmarkStart w:id="89" w:name="_Toc12559223"/>
      <w:r>
        <w:rPr>
          <w:sz w:val="24"/>
          <w:szCs w:val="24"/>
        </w:rPr>
        <w:t>Odpornost proti pronicanju</w:t>
      </w:r>
      <w:bookmarkEnd w:id="89"/>
    </w:p>
    <w:p w:rsidR="00E35384" w:rsidRPr="003A38BA" w:rsidRDefault="000B2B83" w:rsidP="0023536B">
      <w:pPr>
        <w:ind w:left="0" w:firstLine="0"/>
        <w:jc w:val="both"/>
      </w:pPr>
      <w:r>
        <w:t xml:space="preserve">Globina pronicanja pri določeni temperaturi je občutljiv kazalnik sprememb sestave termoplastičnih snovi za označevanje. Preskusno temperaturo je treba določiti glede na trdoto termoplastike. Postopek je opisan v standardu DIN EN 1871. </w:t>
      </w:r>
    </w:p>
    <w:p w:rsidR="00536458" w:rsidRPr="003A38BA" w:rsidRDefault="00536458" w:rsidP="007C21AF">
      <w:pPr>
        <w:pStyle w:val="Heading1"/>
        <w:numPr>
          <w:ilvl w:val="2"/>
          <w:numId w:val="5"/>
        </w:numPr>
        <w:ind w:left="1440" w:hanging="872"/>
        <w:jc w:val="both"/>
        <w:rPr>
          <w:sz w:val="24"/>
          <w:szCs w:val="24"/>
        </w:rPr>
      </w:pPr>
      <w:bookmarkStart w:id="90" w:name="_Toc150173025"/>
      <w:bookmarkStart w:id="91" w:name="_Toc150174586"/>
      <w:bookmarkStart w:id="92" w:name="_Toc273346570"/>
      <w:bookmarkStart w:id="93" w:name="_Toc353893707"/>
      <w:bookmarkStart w:id="94" w:name="_Toc12559224"/>
      <w:r>
        <w:rPr>
          <w:sz w:val="24"/>
          <w:szCs w:val="24"/>
        </w:rPr>
        <w:lastRenderedPageBreak/>
        <w:t>Preskus na vsebnost svinca in kadmija</w:t>
      </w:r>
      <w:bookmarkEnd w:id="90"/>
      <w:bookmarkEnd w:id="91"/>
      <w:r>
        <w:rPr>
          <w:sz w:val="24"/>
          <w:szCs w:val="24"/>
        </w:rPr>
        <w:t xml:space="preserve"> pri začasnih sistemih za označevanje</w:t>
      </w:r>
      <w:bookmarkEnd w:id="92"/>
      <w:bookmarkEnd w:id="93"/>
      <w:bookmarkEnd w:id="94"/>
    </w:p>
    <w:p w:rsidR="00536458" w:rsidRPr="003A38BA" w:rsidRDefault="00536458" w:rsidP="007C21AF">
      <w:pPr>
        <w:spacing w:after="120"/>
        <w:ind w:left="0" w:firstLine="0"/>
        <w:jc w:val="both"/>
      </w:pPr>
      <w:r>
        <w:t xml:space="preserve">Snovi za označevanje in dodatki ne smejo vsebovati deležev težkih kovin svinca, kadmija ali antimona, ki jih je mogoče ekstrahirati. Priprava vzorcev se praviloma izvede v skladu z Nemškim enotnim postopkom za preiskavo vode, odpadne vode in blata, poglavje S4 (DEV-S4). Preskus se poleg postopkov v skladu s standardom DIN EN 1790 izvede, kot sledi: </w:t>
      </w:r>
    </w:p>
    <w:p w:rsidR="00536458" w:rsidRPr="003A38BA" w:rsidRDefault="00536458" w:rsidP="007C21AF">
      <w:pPr>
        <w:ind w:left="0" w:firstLine="0"/>
        <w:jc w:val="both"/>
      </w:pPr>
      <w:r>
        <w:t>dva približno 5 x 5 cm folijska vzorca se stehtata in nato upepelita pri 450 °C. Ostanek se razklopi in izvede se določanje težkih kovin v skladu z ISO 11466 in ICP-OES ali AAS.</w:t>
      </w:r>
    </w:p>
    <w:p w:rsidR="00536458" w:rsidRPr="003A38BA" w:rsidRDefault="00536458" w:rsidP="007C21AF">
      <w:pPr>
        <w:pStyle w:val="Heading1"/>
        <w:numPr>
          <w:ilvl w:val="1"/>
          <w:numId w:val="5"/>
        </w:numPr>
        <w:jc w:val="both"/>
        <w:rPr>
          <w:sz w:val="24"/>
          <w:szCs w:val="24"/>
        </w:rPr>
      </w:pPr>
      <w:bookmarkStart w:id="95" w:name="_Urmusterprüfung_bei_Markierungsfolien"/>
      <w:bookmarkStart w:id="96" w:name="_Toc150173023"/>
      <w:bookmarkStart w:id="97" w:name="_Toc150174579"/>
      <w:bookmarkStart w:id="98" w:name="_Toc273346571"/>
      <w:bookmarkStart w:id="99" w:name="_Toc353893708"/>
      <w:bookmarkStart w:id="100" w:name="_Toc12559225"/>
      <w:bookmarkEnd w:id="95"/>
      <w:r>
        <w:rPr>
          <w:sz w:val="24"/>
          <w:szCs w:val="24"/>
        </w:rPr>
        <w:t>Preskus vzorca folij za označevanje (identifikacijski postopek)</w:t>
      </w:r>
      <w:bookmarkEnd w:id="96"/>
      <w:bookmarkEnd w:id="97"/>
      <w:bookmarkEnd w:id="98"/>
      <w:bookmarkEnd w:id="99"/>
      <w:bookmarkEnd w:id="100"/>
    </w:p>
    <w:p w:rsidR="00536458" w:rsidRPr="003A38BA" w:rsidRDefault="00536458" w:rsidP="007C21AF">
      <w:pPr>
        <w:ind w:left="0" w:firstLine="0"/>
        <w:jc w:val="both"/>
      </w:pPr>
      <w:r>
        <w:t>Postopki za preskus vzorca folij za označevanje vozišča so opisani v standardu DIN EN 1790. Dopolnjujoča ali odstopajoča določanja so opisana v nadaljevanju.</w:t>
      </w:r>
    </w:p>
    <w:p w:rsidR="00536458" w:rsidRPr="003A38BA" w:rsidRDefault="00536458" w:rsidP="007C21AF">
      <w:pPr>
        <w:pStyle w:val="Heading1"/>
        <w:numPr>
          <w:ilvl w:val="2"/>
          <w:numId w:val="5"/>
        </w:numPr>
        <w:ind w:left="1440" w:hanging="720"/>
        <w:jc w:val="both"/>
        <w:rPr>
          <w:sz w:val="24"/>
          <w:szCs w:val="24"/>
        </w:rPr>
      </w:pPr>
      <w:bookmarkStart w:id="101" w:name="_Toc150174580"/>
      <w:bookmarkStart w:id="102" w:name="_Toc273346572"/>
      <w:bookmarkStart w:id="103" w:name="_Toc353893709"/>
      <w:bookmarkStart w:id="104" w:name="_Toc12559226"/>
      <w:r>
        <w:rPr>
          <w:sz w:val="24"/>
          <w:szCs w:val="24"/>
        </w:rPr>
        <w:t>Rezervni vzorci folij</w:t>
      </w:r>
      <w:bookmarkEnd w:id="101"/>
      <w:bookmarkEnd w:id="102"/>
      <w:bookmarkEnd w:id="103"/>
      <w:bookmarkEnd w:id="104"/>
    </w:p>
    <w:p w:rsidR="00536458" w:rsidRPr="003A38BA" w:rsidRDefault="00536458" w:rsidP="007C21AF">
      <w:pPr>
        <w:ind w:left="0" w:firstLine="0"/>
        <w:jc w:val="both"/>
      </w:pPr>
      <w:r>
        <w:t>Pri folijah, ki se preskušajo v okviru preskusa ustreznosti, se shranijo vzorci. Rezervni vzorci so dolgi približno 1 m in se skladiščijo v hladnem prostoru brez svetlobe.</w:t>
      </w:r>
    </w:p>
    <w:p w:rsidR="00536458" w:rsidRPr="003A38BA" w:rsidRDefault="00536458" w:rsidP="007C21AF">
      <w:pPr>
        <w:pStyle w:val="Heading1"/>
        <w:numPr>
          <w:ilvl w:val="2"/>
          <w:numId w:val="5"/>
        </w:numPr>
        <w:ind w:left="1440" w:hanging="720"/>
        <w:jc w:val="both"/>
        <w:rPr>
          <w:sz w:val="24"/>
          <w:szCs w:val="24"/>
        </w:rPr>
      </w:pPr>
      <w:bookmarkStart w:id="105" w:name="_Toc273346573"/>
      <w:bookmarkStart w:id="106" w:name="_Toc353893710"/>
      <w:bookmarkStart w:id="107" w:name="_Toc12559227"/>
      <w:r>
        <w:rPr>
          <w:sz w:val="24"/>
          <w:szCs w:val="24"/>
        </w:rPr>
        <w:t>Slikovna analiza folij za označevanje vozišča</w:t>
      </w:r>
      <w:bookmarkEnd w:id="105"/>
      <w:bookmarkEnd w:id="106"/>
      <w:bookmarkEnd w:id="107"/>
    </w:p>
    <w:p w:rsidR="00536458" w:rsidRPr="003A38BA" w:rsidRDefault="00536458" w:rsidP="007C21AF">
      <w:pPr>
        <w:ind w:left="0" w:firstLine="0"/>
        <w:jc w:val="both"/>
      </w:pPr>
      <w:r>
        <w:t>Poleg postopkov v skladu s standardom DIN N 1790 se izdelajo makroskopske in mikroskopske fotografije folije za označevanje vozišča. Da se omogoči objektivna primerjava mikroskopskih fotografij, se vedno doda merilo.</w:t>
      </w:r>
    </w:p>
    <w:p w:rsidR="00536458" w:rsidRPr="003A38BA" w:rsidRDefault="00536458" w:rsidP="007C21AF">
      <w:pPr>
        <w:pStyle w:val="Heading1"/>
        <w:numPr>
          <w:ilvl w:val="2"/>
          <w:numId w:val="5"/>
        </w:numPr>
        <w:ind w:left="1440" w:hanging="720"/>
        <w:jc w:val="both"/>
        <w:rPr>
          <w:sz w:val="24"/>
          <w:szCs w:val="24"/>
        </w:rPr>
      </w:pPr>
      <w:bookmarkStart w:id="108" w:name="_Thermogrammetrische_Analyse_von"/>
      <w:bookmarkStart w:id="109" w:name="_Toc84303250"/>
      <w:bookmarkStart w:id="110" w:name="_Toc86465567"/>
      <w:bookmarkStart w:id="111" w:name="_Toc115598058"/>
      <w:bookmarkStart w:id="112" w:name="_Toc150174581"/>
      <w:bookmarkStart w:id="113" w:name="_Toc273346574"/>
      <w:bookmarkStart w:id="114" w:name="_Toc353893711"/>
      <w:bookmarkStart w:id="115" w:name="_Toc84303249"/>
      <w:bookmarkStart w:id="116" w:name="_Toc86465566"/>
      <w:bookmarkStart w:id="117" w:name="_Toc115598057"/>
      <w:bookmarkStart w:id="118" w:name="_Toc12559228"/>
      <w:bookmarkEnd w:id="108"/>
      <w:r>
        <w:rPr>
          <w:sz w:val="24"/>
          <w:szCs w:val="24"/>
        </w:rPr>
        <w:t>Termogravimetrična analiza folij za označevanj</w:t>
      </w:r>
      <w:bookmarkEnd w:id="109"/>
      <w:bookmarkEnd w:id="110"/>
      <w:bookmarkEnd w:id="111"/>
      <w:r>
        <w:t>e</w:t>
      </w:r>
      <w:bookmarkEnd w:id="112"/>
      <w:bookmarkEnd w:id="113"/>
      <w:bookmarkEnd w:id="114"/>
      <w:bookmarkEnd w:id="118"/>
    </w:p>
    <w:p w:rsidR="00536458" w:rsidRPr="003A38BA" w:rsidRDefault="00536458" w:rsidP="007C21AF">
      <w:pPr>
        <w:ind w:left="0" w:firstLine="0"/>
        <w:jc w:val="both"/>
      </w:pPr>
      <w:r>
        <w:t>Folije za označevanje so praviloma sestavljene iz več različnih komponent, ki jih je težko ločiti drugo od druge. Popolna kemična analiza posameznih komponent zato ni smiselna. Vendar pa termogravimetrična analiza v skladu s standardom DIN EN 1790 ponuja možnost enostavnega označevanja sestave folij. Reprezentativni kosi folije se z železnim luknjačem izštancajo iz folije. Pri profilirani foliji se vzorci pridobijo iz vmesnih prostorov med profilom in profilov, nato pa določijo rezultati termografije.</w:t>
      </w:r>
    </w:p>
    <w:p w:rsidR="00536458" w:rsidRPr="003A38BA" w:rsidRDefault="00FA1D3F" w:rsidP="007C21AF">
      <w:pPr>
        <w:ind w:left="0" w:firstLine="0"/>
        <w:jc w:val="both"/>
      </w:pPr>
      <w:r>
        <w:t>Vzorci folije se v ogrevalni napravi segrejejo pri začetni temperaturi okolja s stopnjo segrevanja 10 °C/min do temperature 500 °C v dušikovi atmosferi. Nato se 15 min ohranja temperatura 500 °C in zatem razžari s stopnjo segrevanja 10 °C/min v sintetični atmosferi do 1 000 °C. Zaradi izhlapevanja hlapnih snovi ter toplotnega oziroma oksidativnega razpada organskih sestavin se masa vzorca specifično zmanjša. Masa vzorca se izmeri v odvisnosti od posamezne temperature. Dobi se termogram, značilen za vzorec.</w:t>
      </w:r>
    </w:p>
    <w:p w:rsidR="00536458" w:rsidRPr="003A38BA" w:rsidRDefault="00536458" w:rsidP="007C21AF">
      <w:pPr>
        <w:pStyle w:val="Heading1"/>
        <w:numPr>
          <w:ilvl w:val="2"/>
          <w:numId w:val="5"/>
        </w:numPr>
        <w:ind w:left="1440" w:hanging="720"/>
        <w:jc w:val="both"/>
        <w:rPr>
          <w:sz w:val="24"/>
          <w:szCs w:val="24"/>
        </w:rPr>
      </w:pPr>
      <w:bookmarkStart w:id="119" w:name="_Toc150174582"/>
      <w:bookmarkStart w:id="120" w:name="_Toc273346575"/>
      <w:bookmarkStart w:id="121" w:name="_Toc353893712"/>
      <w:bookmarkStart w:id="122" w:name="_Toc12559229"/>
      <w:r>
        <w:rPr>
          <w:sz w:val="24"/>
          <w:szCs w:val="24"/>
        </w:rPr>
        <w:t>Analiza lepilnega sloja folij</w:t>
      </w:r>
      <w:bookmarkEnd w:id="115"/>
      <w:bookmarkEnd w:id="116"/>
      <w:bookmarkEnd w:id="117"/>
      <w:bookmarkEnd w:id="119"/>
      <w:bookmarkEnd w:id="120"/>
      <w:bookmarkEnd w:id="121"/>
      <w:bookmarkEnd w:id="122"/>
    </w:p>
    <w:p w:rsidR="00536458" w:rsidRPr="003A38BA" w:rsidRDefault="00536458" w:rsidP="007C21AF">
      <w:pPr>
        <w:ind w:left="0" w:firstLine="0"/>
        <w:jc w:val="both"/>
      </w:pPr>
      <w:r>
        <w:t>Za analizo lepilnega sloja v skladu s standardom DIN EN 1790 se posname infrardeči spekter v območju 600–4 000 cm</w:t>
      </w:r>
      <w:r>
        <w:rPr>
          <w:vertAlign w:val="superscript"/>
        </w:rPr>
        <w:t>–1</w:t>
      </w:r>
      <w:r>
        <w:t xml:space="preserve">. Zaradi enostavne priprave vzorca se uporabi tehnika ATR („attenuated total reflection“). </w:t>
      </w:r>
    </w:p>
    <w:p w:rsidR="009700EB" w:rsidRPr="003A38BA" w:rsidRDefault="00BB5DDD" w:rsidP="007C21AF">
      <w:pPr>
        <w:pStyle w:val="Heading1"/>
        <w:numPr>
          <w:ilvl w:val="2"/>
          <w:numId w:val="5"/>
        </w:numPr>
        <w:ind w:left="1440" w:hanging="720"/>
        <w:jc w:val="both"/>
        <w:rPr>
          <w:sz w:val="24"/>
          <w:szCs w:val="24"/>
        </w:rPr>
      </w:pPr>
      <w:bookmarkStart w:id="123" w:name="_Toc12559230"/>
      <w:r>
        <w:rPr>
          <w:sz w:val="24"/>
          <w:szCs w:val="24"/>
        </w:rPr>
        <w:t>Analiza bituminoznih podlag</w:t>
      </w:r>
      <w:bookmarkEnd w:id="123"/>
    </w:p>
    <w:p w:rsidR="009700EB" w:rsidRPr="003A38BA" w:rsidRDefault="00BB5DDD" w:rsidP="007C21AF">
      <w:pPr>
        <w:ind w:left="0" w:firstLine="0"/>
        <w:jc w:val="both"/>
      </w:pPr>
      <w:r>
        <w:t>Značilnosti bituminoznih podlag in temeljnih premazov se določajo s pomočjo fizikalnih postopkov. V ta namen se določijo zmehčišče (v skladu s standardom DIN EN 1427), penetracija z iglo (v skladu s standardom DIN EN 1426) in duktilnost (v skladu s standardom DIN EN 13589).</w:t>
      </w:r>
    </w:p>
    <w:p w:rsidR="00536458" w:rsidRPr="003A38BA" w:rsidRDefault="005F2E9C" w:rsidP="007C21AF">
      <w:pPr>
        <w:pStyle w:val="Heading1"/>
        <w:numPr>
          <w:ilvl w:val="1"/>
          <w:numId w:val="5"/>
        </w:numPr>
        <w:jc w:val="both"/>
        <w:rPr>
          <w:sz w:val="24"/>
          <w:szCs w:val="24"/>
        </w:rPr>
      </w:pPr>
      <w:bookmarkStart w:id="124" w:name="_Toc273346576"/>
      <w:bookmarkStart w:id="125" w:name="_Toc353893713"/>
      <w:bookmarkStart w:id="126" w:name="_Toc150173024"/>
      <w:bookmarkStart w:id="127" w:name="_Toc150174583"/>
      <w:bookmarkStart w:id="128" w:name="_Toc84303252"/>
      <w:bookmarkStart w:id="129" w:name="_Toc86465569"/>
      <w:bookmarkStart w:id="130" w:name="_Toc115598060"/>
      <w:bookmarkStart w:id="131" w:name="_Toc120375505"/>
      <w:bookmarkStart w:id="132" w:name="_Toc12559231"/>
      <w:r>
        <w:rPr>
          <w:sz w:val="24"/>
          <w:szCs w:val="24"/>
        </w:rPr>
        <w:lastRenderedPageBreak/>
        <w:t>Preskus vzorca dodatko</w:t>
      </w:r>
      <w:bookmarkEnd w:id="124"/>
      <w:bookmarkEnd w:id="125"/>
      <w:r>
        <w:t>v</w:t>
      </w:r>
      <w:bookmarkEnd w:id="126"/>
      <w:bookmarkEnd w:id="127"/>
      <w:bookmarkEnd w:id="132"/>
    </w:p>
    <w:p w:rsidR="00536458" w:rsidRPr="003A38BA" w:rsidRDefault="00536458" w:rsidP="007C21AF">
      <w:pPr>
        <w:pStyle w:val="Heading1"/>
        <w:numPr>
          <w:ilvl w:val="2"/>
          <w:numId w:val="5"/>
        </w:numPr>
        <w:ind w:left="1440" w:hanging="720"/>
        <w:jc w:val="both"/>
        <w:rPr>
          <w:sz w:val="24"/>
          <w:szCs w:val="24"/>
        </w:rPr>
      </w:pPr>
      <w:bookmarkStart w:id="133" w:name="_Toc273346577"/>
      <w:bookmarkStart w:id="134" w:name="_Toc353893714"/>
      <w:bookmarkStart w:id="135" w:name="_Toc150174584"/>
      <w:bookmarkStart w:id="136" w:name="_Toc12559232"/>
      <w:bookmarkEnd w:id="128"/>
      <w:bookmarkEnd w:id="129"/>
      <w:bookmarkEnd w:id="130"/>
      <w:bookmarkEnd w:id="131"/>
      <w:r>
        <w:rPr>
          <w:sz w:val="24"/>
          <w:szCs w:val="24"/>
        </w:rPr>
        <w:t>Analiza odsevnih steklenih kroglic in posipov za zmanjšanje drsnosti (sistemi za primešanje in posipanje)</w:t>
      </w:r>
      <w:bookmarkEnd w:id="133"/>
      <w:bookmarkEnd w:id="134"/>
      <w:bookmarkEnd w:id="136"/>
    </w:p>
    <w:p w:rsidR="00536458" w:rsidRPr="003A38BA" w:rsidRDefault="00536458" w:rsidP="007C21AF">
      <w:pPr>
        <w:ind w:left="0" w:firstLine="0"/>
        <w:jc w:val="both"/>
      </w:pPr>
      <w:r>
        <w:t>Zahteve za odsevne snovi in posipe za zmanjšanje drsnosti so opisane v standardih DIN EN 1423 (materiali za posipanje) in DIN EN 1424 (steklene kroglice za primešanje k barvi)</w:t>
      </w:r>
      <w:r w:rsidR="005C6B21" w:rsidRPr="003A38BA">
        <w:rPr>
          <w:rStyle w:val="FootnoteReference"/>
        </w:rPr>
        <w:footnoteReference w:id="4"/>
      </w:r>
      <w:r>
        <w:t xml:space="preserve">. Poleg tega veljajo za materiale za posipanje ne glede na snov in za kroglice za primešanje k barvi za termoplastike zahteve v skladu s Prilogo C. </w:t>
      </w:r>
    </w:p>
    <w:p w:rsidR="007B668F" w:rsidRPr="003A38BA" w:rsidRDefault="00536458" w:rsidP="007C21AF">
      <w:pPr>
        <w:ind w:left="0" w:firstLine="0"/>
        <w:jc w:val="both"/>
      </w:pPr>
      <w:r>
        <w:t>Z uporabo analize delcev z uporabo videa in digitalne mikroskopije je mogoče v mešanici iz odsevnih steklenih kroglic in posipov za zmanjšanje drsnosti določiti njihov delež v mešanici in tudi porazdelitev velikosti zrn in parametre oblike zrn posameznih frakcij. Določanje lomnega količnika se po potrebi izvede z ustreznimi imerzijskimi tekočinami z digitalnim mikroskopom. Pri zmeseh iz odsevnih steklenih kroglic in posipov za zmanjšanje drsnosti se masno razmerje (m/m), identiteta in specifična teža vseh uporabljenih sestavin ter velikost zrn odsevnih steklenih kroglic in posipov za zmanjšanje drsnosti navedejo ločeno. Identiteta sestavnih delov in lomni količnik odsevnih steklenih kroglic se ne smeta spremeniti. Navesti je treba premaze, ki izboljšujejo oprijem (coatings), in/ali reaktivne premaze.</w:t>
      </w:r>
    </w:p>
    <w:p w:rsidR="00E35384" w:rsidRPr="003A38BA" w:rsidRDefault="00B533DC" w:rsidP="007C21AF">
      <w:pPr>
        <w:ind w:left="0" w:firstLine="0"/>
        <w:jc w:val="both"/>
      </w:pPr>
      <w:r>
        <w:t xml:space="preserve">Od nazivne velikosti 0,300 mm naprej razmerje velikosti dveh zaporednih sit razporeditev velikosti zrn ne sme znašati več kot 1,2. Predpis velja ločeno za odsevne steklene kroglice in tudi posipe za zmanjšanje drsnosti. </w:t>
      </w:r>
    </w:p>
    <w:p w:rsidR="00536458" w:rsidRPr="003A38BA" w:rsidRDefault="00536458" w:rsidP="007C21AF">
      <w:pPr>
        <w:pStyle w:val="Heading1"/>
        <w:numPr>
          <w:ilvl w:val="2"/>
          <w:numId w:val="5"/>
        </w:numPr>
        <w:ind w:left="1440" w:hanging="720"/>
        <w:jc w:val="both"/>
        <w:rPr>
          <w:sz w:val="24"/>
          <w:szCs w:val="24"/>
        </w:rPr>
      </w:pPr>
      <w:bookmarkStart w:id="137" w:name="_Toc273346578"/>
      <w:bookmarkStart w:id="138" w:name="_Toc353893715"/>
      <w:bookmarkStart w:id="139" w:name="_Toc12559233"/>
      <w:r>
        <w:rPr>
          <w:sz w:val="24"/>
          <w:szCs w:val="24"/>
        </w:rPr>
        <w:t>Analiza premaza (coating) odsevnih steklenih kroglic in posipov za zmanjšanje drsnosti</w:t>
      </w:r>
      <w:bookmarkEnd w:id="137"/>
      <w:bookmarkEnd w:id="138"/>
      <w:bookmarkEnd w:id="139"/>
    </w:p>
    <w:p w:rsidR="00536458" w:rsidRPr="003A38BA" w:rsidRDefault="00536458" w:rsidP="007C21AF">
      <w:pPr>
        <w:ind w:left="0" w:firstLine="0"/>
        <w:jc w:val="both"/>
      </w:pPr>
      <w:r>
        <w:t>Pomembne prometno-tehnične lastnosti oznak vozišč se dosežejo s pravilno in trajno vezavo materialov za posipanje s površino snovi za označevanje. Za izboljšanje oprijema materialov za posipanje v snovi za označevanje so ti pogosto premazani s silanom ali siloksanom. Te snovi zagotovijo obstojnejšo vezavo z vezivom snovi za označevanje. Pri tem je zelo pomemben izbor materiala za premaz, ki ustreza posamezni snovi za označevanje, ker lahko obstojnost vezave vpliva na prometno-tehnične lastnosti in pripadajoče merilne vrednosti. Izbor določi proizvajalec snovi v dogovoru s proizvajalcem materialov za posipanje. V okviru preskusa vzorca je treba po možnosti dokazati material za premaz.</w:t>
      </w:r>
    </w:p>
    <w:p w:rsidR="00536458" w:rsidRPr="003A38BA" w:rsidRDefault="00536458" w:rsidP="007C21AF">
      <w:pPr>
        <w:pStyle w:val="Heading1"/>
        <w:numPr>
          <w:ilvl w:val="2"/>
          <w:numId w:val="5"/>
        </w:numPr>
        <w:ind w:left="1440" w:hanging="720"/>
        <w:jc w:val="both"/>
        <w:rPr>
          <w:sz w:val="24"/>
          <w:szCs w:val="24"/>
        </w:rPr>
      </w:pPr>
      <w:bookmarkStart w:id="140" w:name="_Toc150174585"/>
      <w:bookmarkStart w:id="141" w:name="_Toc273346579"/>
      <w:bookmarkStart w:id="142" w:name="_Toc353893716"/>
      <w:bookmarkStart w:id="143" w:name="_Toc12559234"/>
      <w:bookmarkEnd w:id="135"/>
      <w:r>
        <w:rPr>
          <w:sz w:val="24"/>
          <w:szCs w:val="24"/>
        </w:rPr>
        <w:t>Analiza ostalih dodatkov</w:t>
      </w:r>
      <w:bookmarkEnd w:id="140"/>
      <w:bookmarkEnd w:id="141"/>
      <w:bookmarkEnd w:id="142"/>
      <w:bookmarkEnd w:id="143"/>
    </w:p>
    <w:p w:rsidR="00536458" w:rsidRPr="003A38BA" w:rsidRDefault="00536458" w:rsidP="007C21AF">
      <w:pPr>
        <w:ind w:left="0" w:firstLine="0"/>
        <w:jc w:val="both"/>
      </w:pPr>
      <w:r>
        <w:t>Dodatki, kot so sredstva za temeljne premaze, podlage, topila itd., se analizirajo kot barve za označevanje. Od tega se odstopi samo v utemeljenih primerih.</w:t>
      </w:r>
    </w:p>
    <w:p w:rsidR="00536458" w:rsidRPr="003A38BA" w:rsidRDefault="00536458" w:rsidP="007C21AF">
      <w:pPr>
        <w:ind w:left="0" w:firstLine="0"/>
        <w:jc w:val="both"/>
      </w:pPr>
      <w:r>
        <w:t>Trdila (tekoča ali trdna) se analizirajo z infrardečo spektroskopijo. Pred analizo ne smejo biti izpostavljena toplotnim obremenitvam. Metode za preskušanje ustrezajo metodam, opisanim v standardu DIN EN 12802 za preskus veziv.</w:t>
      </w:r>
    </w:p>
    <w:p w:rsidR="00E5609C" w:rsidRPr="003A38BA" w:rsidRDefault="00E5609C" w:rsidP="007C21AF">
      <w:pPr>
        <w:pStyle w:val="Heading1"/>
        <w:pageBreakBefore/>
        <w:ind w:left="0" w:firstLine="0"/>
        <w:jc w:val="both"/>
        <w:rPr>
          <w:sz w:val="24"/>
          <w:szCs w:val="24"/>
        </w:rPr>
      </w:pPr>
      <w:bookmarkStart w:id="144" w:name="_Anhang_2"/>
      <w:bookmarkStart w:id="145" w:name="_Toc12559235"/>
      <w:bookmarkEnd w:id="144"/>
      <w:r>
        <w:rPr>
          <w:sz w:val="24"/>
          <w:szCs w:val="24"/>
        </w:rPr>
        <w:lastRenderedPageBreak/>
        <w:t>Priloga A</w:t>
      </w:r>
      <w:bookmarkEnd w:id="145"/>
    </w:p>
    <w:p w:rsidR="00E5609C" w:rsidRPr="003A38BA" w:rsidRDefault="003E1828" w:rsidP="007C21AF">
      <w:pPr>
        <w:jc w:val="both"/>
      </w:pPr>
      <w:r>
        <w:t>Spričevalo o preskusu</w:t>
      </w:r>
    </w:p>
    <w:p w:rsidR="003916B9" w:rsidRDefault="003916B9" w:rsidP="00E5609C"/>
    <w:p w:rsidR="0040352A" w:rsidRPr="008766C3" w:rsidRDefault="0040352A" w:rsidP="0040352A">
      <w:pPr>
        <w:tabs>
          <w:tab w:val="left" w:leader="hyphen" w:pos="8789"/>
        </w:tabs>
        <w:spacing w:after="60"/>
        <w:ind w:left="4820" w:firstLine="1134"/>
        <w:jc w:val="right"/>
        <w:rPr>
          <w:rFonts w:cs="Calibri"/>
        </w:rPr>
      </w:pPr>
      <w:r>
        <w:rPr>
          <w:color w:val="000000"/>
        </w:rPr>
        <w:t>Akreditirani preskusni laboratorij za področje proizvodov „oznake vozišč“, številka akreditacije</w:t>
      </w:r>
      <w:r>
        <w:rPr>
          <w:color w:val="000000"/>
        </w:rPr>
        <w:tab/>
      </w:r>
    </w:p>
    <w:p w:rsidR="0040352A" w:rsidRPr="008766C3" w:rsidRDefault="0040352A" w:rsidP="0040352A">
      <w:pPr>
        <w:spacing w:after="60"/>
        <w:ind w:left="0" w:firstLine="0"/>
        <w:rPr>
          <w:rFonts w:eastAsia="Times New Roman" w:cs="Calibri"/>
        </w:rPr>
      </w:pPr>
      <w:r>
        <w:rPr>
          <w:b/>
          <w:bCs/>
          <w:color w:val="000000"/>
        </w:rPr>
        <w:t>Potrdilo o preskusu sistema za označevanje na vrtljivi plošči za preskus obrabe (RPA)</w:t>
      </w:r>
    </w:p>
    <w:p w:rsidR="0040352A" w:rsidRPr="008766C3" w:rsidRDefault="0040352A" w:rsidP="0040352A">
      <w:pPr>
        <w:tabs>
          <w:tab w:val="left" w:leader="underscore" w:pos="3119"/>
        </w:tabs>
        <w:spacing w:after="60"/>
        <w:ind w:left="0" w:firstLine="0"/>
        <w:rPr>
          <w:rFonts w:eastAsia="Times New Roman" w:cs="Calibri"/>
        </w:rPr>
      </w:pPr>
      <w:r>
        <w:rPr>
          <w:b/>
          <w:bCs/>
          <w:color w:val="000000"/>
        </w:rPr>
        <w:t>Številka preskusa:</w:t>
      </w:r>
      <w:r>
        <w:rPr>
          <w:b/>
          <w:bCs/>
          <w:color w:val="000000"/>
        </w:rPr>
        <w:tab/>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Vloga</w:t>
      </w:r>
    </w:p>
    <w:p w:rsidR="0040352A" w:rsidRPr="008766C3" w:rsidRDefault="0040352A" w:rsidP="0040352A">
      <w:pPr>
        <w:tabs>
          <w:tab w:val="left" w:pos="1985"/>
          <w:tab w:val="left" w:leader="underscore" w:pos="3119"/>
        </w:tabs>
        <w:spacing w:after="60"/>
        <w:ind w:left="1985" w:hanging="1701"/>
        <w:rPr>
          <w:rFonts w:eastAsia="Times New Roman" w:cs="Calibri"/>
          <w:color w:val="000000"/>
        </w:rPr>
      </w:pPr>
      <w:r>
        <w:rPr>
          <w:color w:val="000000"/>
        </w:rPr>
        <w:t>Vlagatelj:</w:t>
      </w:r>
      <w:r>
        <w:rPr>
          <w:color w:val="000000"/>
        </w:rPr>
        <w:tab/>
      </w:r>
      <w:r>
        <w:rPr>
          <w:color w:val="000000"/>
        </w:rPr>
        <w:tab/>
      </w:r>
    </w:p>
    <w:p w:rsidR="0040352A" w:rsidRPr="008766C3" w:rsidRDefault="0040352A" w:rsidP="0040352A">
      <w:pPr>
        <w:tabs>
          <w:tab w:val="left" w:pos="1985"/>
        </w:tabs>
        <w:spacing w:after="60"/>
        <w:ind w:left="1985" w:hanging="1701"/>
        <w:rPr>
          <w:rFonts w:eastAsia="Times New Roman" w:cs="Calibri"/>
          <w:color w:val="000000"/>
        </w:rPr>
      </w:pPr>
      <w:r>
        <w:rPr>
          <w:color w:val="000000"/>
        </w:rPr>
        <w:t>Predmet vloge:</w:t>
      </w:r>
      <w:r>
        <w:rPr>
          <w:color w:val="000000"/>
        </w:rPr>
        <w:tab/>
        <w:t>preskus odpornosti na obrabo in prometno-tehničnih lastnosti sistema za označevanje pod preskusnimi pogoji TP M (izdaja iz februarja 2017) in DIN EN 13 197 (izdaja iz julija 2014). Razredi prometno-tehničnih lastnosti so v skladu s standardom DIN EN 1436 (izdaja iz januarja 2009).</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Predmet preskusa</w:t>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2.1</w:t>
      </w:r>
      <w:r>
        <w:rPr>
          <w:b/>
          <w:bCs/>
          <w:color w:val="000000"/>
        </w:rPr>
        <w:tab/>
        <w:t>Vrsta sistema za označevanje</w:t>
      </w:r>
      <w:r>
        <w:rPr>
          <w:b/>
          <w:bCs/>
          <w:color w:val="000000"/>
        </w:rPr>
        <w:tab/>
      </w:r>
      <w:r>
        <w:rPr>
          <w:b/>
          <w:bCs/>
          <w:color w:val="000000"/>
        </w:rP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Oznaka sistema:</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Oznaka snovi:</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Proizvajalec snovi:</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Vrsta snovi:</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Temperatura obdelave [°C]/</w:t>
      </w:r>
      <w:r>
        <w:br/>
        <w:t>Osnovno razmerje:</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Debelina sloja [pm]/ količina [kg/m</w:t>
      </w:r>
      <w:r>
        <w:rPr>
          <w:vertAlign w:val="superscript"/>
        </w:rPr>
        <w:t>2</w:t>
      </w:r>
      <w:r>
        <w:t>]:</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Postopek nanosa:</w:t>
      </w:r>
      <w:r>
        <w:tab/>
      </w:r>
      <w:r>
        <w:tab/>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bCs/>
          <w:color w:val="000000"/>
        </w:rPr>
        <w:t>2.2</w:t>
      </w:r>
      <w:r>
        <w:rPr>
          <w:b/>
          <w:bCs/>
          <w:color w:val="000000"/>
        </w:rPr>
        <w:tab/>
        <w:t>Naknadno posipani dodatki</w:t>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Količina, proizvajalec, oznaka odsevnih steklenih kroglic:</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Posip za zmanjšanje drsnosti:</w:t>
      </w:r>
      <w:r>
        <w:tab/>
      </w:r>
      <w:r>
        <w:rPr>
          <w:b/>
        </w:rPr>
        <w:tab/>
      </w:r>
      <w:r>
        <w:rPr>
          <w:b/>
        </w:rPr>
        <w:tab/>
        <w:t xml:space="preserve">kot vsebovana zmes v razmerju </w:t>
      </w:r>
      <w:r>
        <w:rPr>
          <w:b/>
          <w:u w:val="single"/>
        </w:rPr>
        <w:t xml:space="preserve">       </w:t>
      </w:r>
      <w:r>
        <w:rPr>
          <w:b/>
        </w:rPr>
        <w:t xml:space="preserve"> odsevnih steklenih kroglic</w:t>
      </w:r>
    </w:p>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t>2.3</w:t>
      </w:r>
      <w:r>
        <w:rPr>
          <w:color w:val="000000"/>
        </w:rPr>
        <w:tab/>
        <w:t>Nanašanje je bilo izvedeno v skladu z navodili vlagatelja ob navedbi zgoraj navedenih tehničnih podatkov (če ni merljivo) v prostorih akreditiranega preskusnega laboratorija s strani laboratorija ali s strani organa,ki ga je pooblastil akreditirani preskusni laboratorij.</w:t>
      </w:r>
    </w:p>
    <w:p w:rsidR="0040352A" w:rsidRPr="008766C3" w:rsidRDefault="0040352A" w:rsidP="0040352A">
      <w:pPr>
        <w:numPr>
          <w:ilvl w:val="0"/>
          <w:numId w:val="16"/>
        </w:numPr>
        <w:spacing w:after="60"/>
        <w:ind w:left="284" w:hanging="284"/>
        <w:rPr>
          <w:rFonts w:eastAsia="Times New Roman" w:cs="Calibri"/>
          <w:b/>
          <w:bCs/>
          <w:color w:val="000000"/>
        </w:rPr>
      </w:pPr>
      <w:r>
        <w:rPr>
          <w:b/>
          <w:bCs/>
          <w:color w:val="000000"/>
        </w:rPr>
        <w:t>Rezultati preskusa:</w:t>
      </w:r>
    </w:p>
    <w:p w:rsidR="0040352A" w:rsidRPr="008766C3" w:rsidRDefault="0040352A" w:rsidP="0040352A">
      <w:pPr>
        <w:tabs>
          <w:tab w:val="left" w:pos="4111"/>
          <w:tab w:val="left" w:leader="underscore" w:pos="5954"/>
        </w:tabs>
        <w:spacing w:after="60"/>
        <w:ind w:left="567" w:hanging="567"/>
        <w:rPr>
          <w:rFonts w:cs="Calibri"/>
        </w:rPr>
      </w:pPr>
      <w:r>
        <w:rPr>
          <w:color w:val="000000"/>
        </w:rPr>
        <w:t>3.1</w:t>
      </w:r>
      <w:r>
        <w:rPr>
          <w:color w:val="000000"/>
        </w:rPr>
        <w:tab/>
        <w:t xml:space="preserve">Izpolnjene so bile zahteve za </w:t>
      </w:r>
      <w:r>
        <w:rPr>
          <w:b/>
          <w:bCs/>
          <w:color w:val="000000"/>
        </w:rPr>
        <w:t xml:space="preserve">prometni razred P </w:t>
      </w:r>
      <w:r>
        <w:rPr>
          <w:b/>
          <w:color w:val="000000"/>
          <w:u w:val="single"/>
        </w:rPr>
        <w:tab/>
      </w:r>
      <w:r>
        <w:rPr>
          <w:b/>
          <w:color w:val="000000"/>
        </w:rPr>
        <w:t>.</w:t>
      </w:r>
      <w:r>
        <w:rPr>
          <w:color w:val="000000"/>
        </w:rPr>
        <w:t xml:space="preserve"> Za posamezne prometno-tehnične lastnosti so bili doseženi naslednji razredi v skladu z DIN EN 1436:</w:t>
      </w:r>
    </w:p>
    <w:tbl>
      <w:tblPr>
        <w:tblW w:w="0" w:type="auto"/>
        <w:tblInd w:w="250" w:type="dxa"/>
        <w:tblLook w:val="04A0" w:firstRow="1" w:lastRow="0" w:firstColumn="1" w:lastColumn="0" w:noHBand="0" w:noVBand="1"/>
      </w:tblPr>
      <w:tblGrid>
        <w:gridCol w:w="3686"/>
        <w:gridCol w:w="2126"/>
        <w:gridCol w:w="2126"/>
      </w:tblGrid>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p>
        </w:tc>
        <w:tc>
          <w:tcPr>
            <w:tcW w:w="2126" w:type="dxa"/>
            <w:shd w:val="clear" w:color="auto" w:fill="auto"/>
          </w:tcPr>
          <w:p w:rsidR="0040352A" w:rsidRPr="008E0BFF" w:rsidRDefault="0040352A" w:rsidP="007E2174">
            <w:pPr>
              <w:spacing w:after="60"/>
              <w:ind w:left="0" w:firstLine="0"/>
              <w:jc w:val="center"/>
              <w:rPr>
                <w:rFonts w:cs="Calibri"/>
                <w:b/>
              </w:rPr>
            </w:pPr>
            <w:r>
              <w:rPr>
                <w:b/>
                <w:color w:val="000000"/>
              </w:rPr>
              <w:t>Novo stanje</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color w:val="000000"/>
              </w:rPr>
              <w:t>Stanje uporabe</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Torna sposobnost: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rPr>
              <w:t>≥ S 1</w:t>
            </w:r>
          </w:p>
        </w:tc>
        <w:tc>
          <w:tcPr>
            <w:tcW w:w="2126" w:type="dxa"/>
            <w:shd w:val="clear" w:color="auto" w:fill="auto"/>
          </w:tcPr>
          <w:p w:rsidR="0040352A" w:rsidRPr="008E0BFF" w:rsidRDefault="0040352A" w:rsidP="007E2174">
            <w:pPr>
              <w:spacing w:after="60"/>
              <w:ind w:left="0" w:firstLine="0"/>
              <w:jc w:val="center"/>
              <w:rPr>
                <w:rFonts w:cs="Calibri"/>
                <w:b/>
              </w:rPr>
            </w:pPr>
            <w:r>
              <w:rPr>
                <w:b/>
              </w:rPr>
              <w:t>S</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Nočna vidljivost, suho:</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r>
      <w:tr w:rsidR="0040352A" w:rsidRPr="008766C3" w:rsidTr="007E2174">
        <w:tc>
          <w:tcPr>
            <w:tcW w:w="3686" w:type="dxa"/>
            <w:shd w:val="clear" w:color="auto" w:fill="auto"/>
          </w:tcPr>
          <w:p w:rsidR="0040352A" w:rsidRPr="008766C3" w:rsidRDefault="0040352A" w:rsidP="007E2174">
            <w:pPr>
              <w:spacing w:after="60"/>
              <w:ind w:left="0" w:firstLine="0"/>
              <w:rPr>
                <w:rFonts w:cs="Calibri"/>
              </w:rPr>
            </w:pPr>
            <w:r>
              <w:t>- Nočna vidljivost, mokro:</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Dnevna vidljivost:</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r>
      <w:tr w:rsidR="0040352A" w:rsidRPr="008766C3" w:rsidTr="007E2174">
        <w:tc>
          <w:tcPr>
            <w:tcW w:w="3686" w:type="dxa"/>
            <w:shd w:val="clear" w:color="auto" w:fill="auto"/>
          </w:tcPr>
          <w:p w:rsidR="0040352A" w:rsidRPr="008766C3" w:rsidRDefault="0040352A" w:rsidP="007E2174">
            <w:pPr>
              <w:spacing w:after="60"/>
              <w:ind w:left="0" w:firstLine="0"/>
              <w:rPr>
                <w:rFonts w:eastAsia="Times New Roman" w:cs="Calibri"/>
              </w:rPr>
            </w:pPr>
            <w:r>
              <w:t>- Povoznost:</w:t>
            </w:r>
          </w:p>
        </w:tc>
        <w:tc>
          <w:tcPr>
            <w:tcW w:w="2126" w:type="dxa"/>
            <w:shd w:val="clear" w:color="auto" w:fill="auto"/>
          </w:tcPr>
          <w:p w:rsidR="0040352A" w:rsidRPr="008E0BFF" w:rsidRDefault="0040352A" w:rsidP="007E2174">
            <w:pPr>
              <w:spacing w:after="60"/>
              <w:ind w:left="0" w:firstLine="0"/>
              <w:jc w:val="center"/>
              <w:rPr>
                <w:rFonts w:cs="Calibri"/>
                <w:b/>
              </w:rPr>
            </w:pPr>
            <w:r>
              <w:rPr>
                <w:b/>
              </w:rPr>
              <w:t>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p>
        </w:tc>
      </w:tr>
    </w:tbl>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color w:val="000000"/>
        </w:rPr>
        <w:t>3.2</w:t>
      </w:r>
      <w:r>
        <w:rPr>
          <w:color w:val="000000"/>
        </w:rPr>
        <w:tab/>
        <w:t>Minimalne zahteve za odpornost na obrabo v višini 90 % preostale površine so bile izpolnjene. Rezultati fizikalno-kemičnega preskusa vzorca so na voljo akreditiranemu preskusnemu laboratoriju.</w:t>
      </w:r>
    </w:p>
    <w:p w:rsidR="0040352A" w:rsidRPr="008766C3" w:rsidRDefault="0040352A" w:rsidP="0040352A">
      <w:pPr>
        <w:spacing w:after="60"/>
        <w:ind w:left="0" w:firstLine="0"/>
        <w:jc w:val="both"/>
        <w:rPr>
          <w:rFonts w:eastAsia="Times New Roman" w:cs="Calibri"/>
        </w:rPr>
      </w:pPr>
      <w:r>
        <w:rPr>
          <w:color w:val="000000"/>
        </w:rPr>
        <w:t>Spričevalo o preskusu se lahko posreduje ali objavi samo v celoti. Za delno posredovanje ali objavo je potrebno pisno soglasje akreditiranega preskusnega laboratorija.</w:t>
      </w:r>
    </w:p>
    <w:p w:rsidR="0040352A" w:rsidRPr="008766C3" w:rsidRDefault="0040352A" w:rsidP="0040352A">
      <w:pPr>
        <w:tabs>
          <w:tab w:val="left" w:leader="underscore" w:pos="3119"/>
        </w:tabs>
        <w:spacing w:after="60"/>
        <w:ind w:left="0" w:firstLine="0"/>
        <w:rPr>
          <w:rFonts w:eastAsia="Times New Roman" w:cs="Calibri"/>
        </w:rPr>
      </w:pPr>
      <w:r>
        <w:rPr>
          <w:color w:val="000000"/>
        </w:rPr>
        <w:lastRenderedPageBreak/>
        <w:t>Bergisch Gladbach,</w:t>
      </w:r>
      <w:r>
        <w:rPr>
          <w:color w:val="000000"/>
        </w:rPr>
        <w:tab/>
      </w:r>
    </w:p>
    <w:p w:rsidR="0040352A" w:rsidRPr="008766C3" w:rsidRDefault="0040352A" w:rsidP="0040352A">
      <w:pPr>
        <w:spacing w:after="60"/>
        <w:ind w:left="0" w:firstLine="0"/>
        <w:rPr>
          <w:rFonts w:cs="Calibri"/>
          <w:color w:val="000000"/>
          <w:lang w:eastAsia="zh-CN"/>
        </w:rPr>
      </w:pPr>
    </w:p>
    <w:p w:rsidR="0040352A" w:rsidRPr="008766C3" w:rsidRDefault="0040352A" w:rsidP="0040352A">
      <w:pPr>
        <w:spacing w:after="60"/>
        <w:ind w:left="0" w:firstLine="0"/>
        <w:rPr>
          <w:rFonts w:cs="Calibri"/>
          <w:color w:val="000000"/>
          <w:lang w:eastAsia="zh-CN"/>
        </w:rPr>
      </w:pPr>
    </w:p>
    <w:p w:rsidR="0040352A" w:rsidRPr="008766C3" w:rsidRDefault="0040352A" w:rsidP="0040352A">
      <w:pPr>
        <w:tabs>
          <w:tab w:val="left" w:leader="underscore" w:pos="2410"/>
        </w:tabs>
        <w:spacing w:after="60"/>
        <w:ind w:left="0" w:firstLine="0"/>
        <w:rPr>
          <w:rFonts w:cs="Calibri"/>
          <w:color w:val="000000"/>
        </w:rPr>
      </w:pPr>
      <w:r>
        <w:rPr>
          <w:color w:val="000000"/>
        </w:rPr>
        <w:tab/>
      </w:r>
    </w:p>
    <w:p w:rsidR="0040352A" w:rsidRPr="008766C3" w:rsidRDefault="0040352A" w:rsidP="0040352A">
      <w:pPr>
        <w:spacing w:after="60"/>
        <w:ind w:left="0" w:firstLine="0"/>
        <w:rPr>
          <w:rFonts w:eastAsia="Times New Roman" w:cs="Calibri"/>
        </w:rPr>
      </w:pPr>
      <w:r>
        <w:rPr>
          <w:color w:val="000000"/>
        </w:rPr>
        <w:t>Ime, funkcija</w:t>
      </w:r>
    </w:p>
    <w:p w:rsidR="0040352A" w:rsidRPr="008766C3" w:rsidRDefault="0040352A" w:rsidP="0040352A">
      <w:pPr>
        <w:rPr>
          <w:lang w:eastAsia="zh-CN"/>
        </w:rPr>
      </w:pPr>
    </w:p>
    <w:p w:rsidR="0040352A" w:rsidRPr="008766C3" w:rsidRDefault="0040352A" w:rsidP="0040352A">
      <w:pPr>
        <w:ind w:left="0" w:firstLine="0"/>
        <w:rPr>
          <w:lang w:eastAsia="zh-CN"/>
        </w:rPr>
      </w:pPr>
    </w:p>
    <w:p w:rsidR="0040352A" w:rsidRPr="008766C3" w:rsidRDefault="0040352A" w:rsidP="0040352A">
      <w:r>
        <w:t>Potrditev preskusa</w:t>
      </w:r>
    </w:p>
    <w:p w:rsidR="0040352A" w:rsidRPr="008766C3" w:rsidRDefault="0040352A" w:rsidP="0040352A">
      <w:pPr>
        <w:rPr>
          <w:rFonts w:cs="Calibri"/>
          <w:lang w:eastAsia="zh-CN"/>
        </w:rPr>
      </w:pPr>
    </w:p>
    <w:p w:rsidR="0040352A" w:rsidRPr="008766C3" w:rsidRDefault="0040352A" w:rsidP="0040352A">
      <w:pPr>
        <w:rPr>
          <w:rFonts w:cs="Calibri"/>
          <w:lang w:eastAsia="zh-CN"/>
        </w:rPr>
      </w:pPr>
    </w:p>
    <w:p w:rsidR="0040352A" w:rsidRPr="008766C3" w:rsidRDefault="0040352A" w:rsidP="0040352A">
      <w:pPr>
        <w:rPr>
          <w:rFonts w:cs="Calibri"/>
          <w:lang w:eastAsia="zh-CN"/>
        </w:rPr>
      </w:pPr>
    </w:p>
    <w:tbl>
      <w:tblPr>
        <w:tblW w:w="0" w:type="auto"/>
        <w:tblInd w:w="108" w:type="dxa"/>
        <w:tblLook w:val="04A0" w:firstRow="1" w:lastRow="0" w:firstColumn="1" w:lastColumn="0" w:noHBand="0" w:noVBand="1"/>
      </w:tblPr>
      <w:tblGrid>
        <w:gridCol w:w="2268"/>
        <w:gridCol w:w="3828"/>
      </w:tblGrid>
      <w:tr w:rsidR="0040352A" w:rsidRPr="008766C3" w:rsidTr="007E2174">
        <w:tc>
          <w:tcPr>
            <w:tcW w:w="2268" w:type="dxa"/>
            <w:shd w:val="clear" w:color="auto" w:fill="auto"/>
          </w:tcPr>
          <w:p w:rsidR="0040352A" w:rsidRPr="008766C3" w:rsidRDefault="0040352A" w:rsidP="007E2174">
            <w:pPr>
              <w:ind w:left="-108" w:firstLine="0"/>
              <w:rPr>
                <w:rFonts w:cs="Calibri"/>
              </w:rPr>
            </w:pPr>
            <w:r>
              <w:t>Vlagatelj</w:t>
            </w:r>
          </w:p>
        </w:tc>
        <w:tc>
          <w:tcPr>
            <w:tcW w:w="3828" w:type="dxa"/>
            <w:shd w:val="clear" w:color="auto" w:fill="auto"/>
          </w:tcPr>
          <w:p w:rsidR="0040352A" w:rsidRPr="008766C3" w:rsidRDefault="0040352A" w:rsidP="007E2174">
            <w:pPr>
              <w:ind w:left="0" w:firstLine="0"/>
              <w:jc w:val="right"/>
              <w:rPr>
                <w:rFonts w:eastAsia="Times New Roman" w:cs="Calibri"/>
                <w:color w:val="000000"/>
              </w:rPr>
            </w:pPr>
            <w:r>
              <w:rPr>
                <w:color w:val="000000"/>
              </w:rPr>
              <w:t>Vaš znak</w:t>
            </w:r>
          </w:p>
          <w:p w:rsidR="0040352A" w:rsidRPr="008766C3" w:rsidRDefault="0040352A" w:rsidP="007E2174">
            <w:pPr>
              <w:ind w:left="0" w:firstLine="0"/>
              <w:jc w:val="right"/>
              <w:rPr>
                <w:rFonts w:eastAsia="Times New Roman" w:cs="Calibri"/>
                <w:color w:val="000000"/>
              </w:rPr>
            </w:pPr>
            <w:r>
              <w:rPr>
                <w:color w:val="000000"/>
              </w:rPr>
              <w:t>Vaš dopis z dne</w:t>
            </w:r>
            <w:r>
              <w:rPr>
                <w:color w:val="000000"/>
              </w:rPr>
              <w:br/>
              <w:t>Naš znak</w:t>
            </w:r>
            <w:r>
              <w:rPr>
                <w:color w:val="000000"/>
              </w:rPr>
              <w:br/>
              <w:t>Informacije posredovane</w:t>
            </w:r>
            <w:r>
              <w:rPr>
                <w:color w:val="000000"/>
              </w:rPr>
              <w:br/>
              <w:t>Telefon</w:t>
            </w:r>
            <w:r>
              <w:rPr>
                <w:color w:val="000000"/>
              </w:rPr>
              <w:br/>
              <w:t>Telefaks</w:t>
            </w:r>
            <w:r>
              <w:rPr>
                <w:color w:val="000000"/>
              </w:rPr>
              <w:br/>
              <w:t>E-naslov</w:t>
            </w:r>
          </w:p>
          <w:p w:rsidR="0040352A" w:rsidRPr="008766C3" w:rsidRDefault="0040352A" w:rsidP="007E2174">
            <w:pPr>
              <w:ind w:left="0" w:firstLine="0"/>
              <w:jc w:val="right"/>
              <w:rPr>
                <w:rFonts w:eastAsia="Times New Roman" w:cs="Calibri"/>
                <w:color w:val="000000"/>
                <w:lang w:eastAsia="de-DE"/>
              </w:rPr>
            </w:pPr>
          </w:p>
          <w:p w:rsidR="0040352A" w:rsidRPr="008766C3" w:rsidRDefault="0040352A" w:rsidP="007E2174">
            <w:pPr>
              <w:ind w:left="0" w:firstLine="0"/>
              <w:jc w:val="right"/>
              <w:rPr>
                <w:rFonts w:eastAsia="Times New Roman" w:cs="Calibri"/>
                <w:color w:val="000000"/>
              </w:rPr>
            </w:pPr>
            <w:r>
              <w:rPr>
                <w:color w:val="000000"/>
              </w:rPr>
              <w:t>Datum</w:t>
            </w:r>
          </w:p>
        </w:tc>
      </w:tr>
    </w:tbl>
    <w:p w:rsidR="0040352A" w:rsidRPr="008766C3" w:rsidRDefault="0040352A" w:rsidP="0040352A">
      <w:pPr>
        <w:rPr>
          <w:rFonts w:cs="Calibri"/>
          <w:lang w:eastAsia="zh-CN"/>
        </w:rPr>
      </w:pPr>
    </w:p>
    <w:p w:rsidR="0040352A" w:rsidRDefault="0040352A" w:rsidP="0040352A">
      <w:pPr>
        <w:ind w:left="0" w:firstLine="0"/>
        <w:rPr>
          <w:rFonts w:cs="Calibri"/>
          <w:b/>
          <w:bCs/>
          <w:color w:val="000000"/>
          <w:u w:val="single"/>
        </w:rPr>
      </w:pPr>
      <w:r>
        <w:rPr>
          <w:b/>
          <w:bCs/>
          <w:color w:val="000000"/>
        </w:rPr>
        <w:t>Potrdilo o preskusu sistema za označevanje na vrtljivi plošči za preskus obrabe, številka preskusa:</w:t>
      </w:r>
      <w:r>
        <w:rPr>
          <w:b/>
          <w:bCs/>
          <w:color w:val="000000"/>
          <w:u w:val="single"/>
        </w:rPr>
        <w:tab/>
      </w:r>
    </w:p>
    <w:p w:rsidR="0040352A" w:rsidRPr="008E0BFF" w:rsidRDefault="0040352A" w:rsidP="0040352A">
      <w:pPr>
        <w:ind w:left="0" w:firstLine="0"/>
        <w:rPr>
          <w:rFonts w:cs="Calibri"/>
          <w:lang w:eastAsia="zh-CN"/>
        </w:rPr>
      </w:pPr>
    </w:p>
    <w:p w:rsidR="0040352A" w:rsidRPr="008766C3" w:rsidRDefault="0040352A" w:rsidP="0040352A">
      <w:pPr>
        <w:ind w:left="0" w:firstLine="0"/>
        <w:rPr>
          <w:rFonts w:eastAsia="Times New Roman" w:cs="Calibri"/>
        </w:rPr>
      </w:pPr>
      <w:r>
        <w:rPr>
          <w:color w:val="000000"/>
        </w:rPr>
        <w:t xml:space="preserve">Vrsta </w:t>
      </w:r>
      <w:r>
        <w:rPr>
          <w:color w:val="000000"/>
          <w:u w:val="single"/>
        </w:rPr>
        <w:tab/>
      </w:r>
      <w:r>
        <w:rPr>
          <w:color w:val="000000"/>
        </w:rPr>
        <w:t xml:space="preserve">-sistem z označevanje iz </w:t>
      </w:r>
      <w:r>
        <w:rPr>
          <w:color w:val="000000"/>
          <w:u w:val="single"/>
        </w:rPr>
        <w:tab/>
      </w:r>
      <w:r>
        <w:rPr>
          <w:color w:val="000000"/>
        </w:rPr>
        <w:t xml:space="preserve"> z zgoraj navedeno številko preskusa je bil preskušen na vrtljivi plošči za preskus obrabe v skladu z DIN EN 13197 (izdaja iz julija 2014) do prometnega razreda P </w:t>
      </w:r>
      <w:r>
        <w:rPr>
          <w:color w:val="000000"/>
          <w:u w:val="single"/>
        </w:rPr>
        <w:tab/>
      </w:r>
      <w:r>
        <w:rPr>
          <w:color w:val="000000"/>
        </w:rPr>
        <w:t xml:space="preserve"> ( </w:t>
      </w:r>
      <w:r>
        <w:rPr>
          <w:color w:val="000000"/>
          <w:u w:val="single"/>
        </w:rPr>
        <w:tab/>
      </w:r>
      <w:r>
        <w:rPr>
          <w:color w:val="000000"/>
        </w:rPr>
        <w:t xml:space="preserve"> povozov) in izpolnjuje vse minimalne zahteve v skladu z DIN EN 1436</w:t>
      </w:r>
    </w:p>
    <w:p w:rsidR="0040352A" w:rsidRPr="008766C3" w:rsidRDefault="0040352A" w:rsidP="0040352A">
      <w:pPr>
        <w:ind w:left="0" w:firstLine="0"/>
        <w:rPr>
          <w:rFonts w:eastAsia="Times New Roman" w:cs="Calibri"/>
        </w:rPr>
      </w:pPr>
      <w:r>
        <w:rPr>
          <w:color w:val="000000"/>
        </w:rPr>
        <w:t>(izdaja iz januarja 2009) glede prometno-tehničnih lastnosti.</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Oznaka sistema:</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Snov:</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Debelina mokrega sloja:</w:t>
      </w:r>
      <w:r>
        <w:tab/>
      </w:r>
      <w:r>
        <w:tab/>
      </w:r>
    </w:p>
    <w:p w:rsidR="0040352A" w:rsidRPr="008766C3" w:rsidRDefault="0040352A" w:rsidP="0040352A">
      <w:pPr>
        <w:tabs>
          <w:tab w:val="left" w:pos="567"/>
          <w:tab w:val="left" w:pos="4536"/>
          <w:tab w:val="right" w:leader="underscore" w:pos="5954"/>
        </w:tabs>
        <w:spacing w:after="60"/>
        <w:ind w:left="4536" w:hanging="4252"/>
        <w:rPr>
          <w:rFonts w:eastAsia="Times New Roman" w:cs="Calibri"/>
        </w:rPr>
      </w:pPr>
      <w:r>
        <w:t>-</w:t>
      </w:r>
      <w:r>
        <w:tab/>
        <w:t>Material za posipanje (količina/proizvajalec/oznaka):</w:t>
      </w:r>
      <w:r>
        <w:tab/>
      </w:r>
      <w:r>
        <w:tab/>
      </w:r>
      <w:r>
        <w:rPr>
          <w:b/>
          <w:bCs/>
          <w:color w:val="000000"/>
        </w:rPr>
        <w:t>g/m</w:t>
      </w:r>
      <w:r>
        <w:rPr>
          <w:b/>
          <w:bCs/>
          <w:color w:val="000000"/>
          <w:vertAlign w:val="superscript"/>
        </w:rPr>
        <w:t>2</w:t>
      </w:r>
      <w:r>
        <w:rPr>
          <w:b/>
          <w:bCs/>
          <w:color w:val="000000"/>
        </w:rPr>
        <w:t>,</w:t>
      </w:r>
      <w:r>
        <w:rPr>
          <w:b/>
          <w:bCs/>
          <w:color w:val="000000"/>
          <w:u w:val="single"/>
        </w:rPr>
        <w:tab/>
      </w:r>
      <w:r>
        <w:rPr>
          <w:b/>
          <w:bCs/>
          <w:color w:val="000000"/>
        </w:rPr>
        <w:br/>
      </w:r>
      <w:r>
        <w:rPr>
          <w:b/>
          <w:bCs/>
          <w:color w:val="000000"/>
        </w:rPr>
        <w:tab/>
      </w:r>
      <w:r>
        <w:rPr>
          <w:b/>
          <w:bCs/>
          <w:color w:val="000000"/>
        </w:rPr>
        <w:tab/>
        <w:t xml:space="preserve">kot vsebovana zmes v razmerju </w:t>
      </w:r>
      <w:r>
        <w:rPr>
          <w:b/>
          <w:u w:val="single"/>
        </w:rPr>
        <w:t xml:space="preserve">        </w:t>
      </w:r>
      <w:r>
        <w:rPr>
          <w:b/>
          <w:bCs/>
          <w:color w:val="000000"/>
        </w:rPr>
        <w:t>v odsevnih steklenih kroglicah</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Postopek nanosa:</w:t>
      </w:r>
      <w:r>
        <w:tab/>
      </w:r>
      <w:r>
        <w:tab/>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8766C3" w:rsidTr="007E2174">
        <w:tc>
          <w:tcPr>
            <w:tcW w:w="4077" w:type="dxa"/>
            <w:gridSpan w:val="2"/>
            <w:vMerge w:val="restart"/>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b/>
                <w:bCs/>
                <w:color w:val="000000"/>
                <w:sz w:val="20"/>
                <w:szCs w:val="20"/>
              </w:rPr>
            </w:pPr>
            <w:r>
              <w:rPr>
                <w:b/>
                <w:bCs/>
                <w:color w:val="000000"/>
                <w:sz w:val="20"/>
                <w:szCs w:val="20"/>
              </w:rPr>
              <w:t>Lastnosti</w:t>
            </w:r>
          </w:p>
        </w:tc>
        <w:tc>
          <w:tcPr>
            <w:tcW w:w="5211" w:type="dxa"/>
            <w:gridSpan w:val="10"/>
            <w:tcBorders>
              <w:bottom w:val="nil"/>
            </w:tcBorders>
            <w:shd w:val="pct12" w:color="auto" w:fill="auto"/>
            <w:vAlign w:val="center"/>
          </w:tcPr>
          <w:p w:rsidR="0040352A" w:rsidRPr="008766C3" w:rsidRDefault="0040352A" w:rsidP="007E2174">
            <w:pPr>
              <w:ind w:left="0" w:firstLine="0"/>
              <w:jc w:val="center"/>
              <w:rPr>
                <w:rFonts w:cs="Calibri"/>
                <w:b/>
                <w:bCs/>
                <w:color w:val="000000"/>
                <w:sz w:val="20"/>
                <w:szCs w:val="20"/>
              </w:rPr>
            </w:pPr>
            <w:r>
              <w:rPr>
                <w:b/>
                <w:bCs/>
                <w:color w:val="000000"/>
                <w:sz w:val="20"/>
                <w:szCs w:val="20"/>
              </w:rPr>
              <w:t>Število povozov kolesa [Mio]</w:t>
            </w:r>
          </w:p>
        </w:tc>
      </w:tr>
      <w:tr w:rsidR="0040352A" w:rsidRPr="008766C3" w:rsidTr="007E2174">
        <w:tc>
          <w:tcPr>
            <w:tcW w:w="4077" w:type="dxa"/>
            <w:gridSpan w:val="2"/>
            <w:vMerge/>
            <w:tcBorders>
              <w:bottom w:val="single" w:sz="4" w:space="0" w:color="000000"/>
            </w:tcBorders>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0,2</w:t>
            </w:r>
          </w:p>
        </w:tc>
        <w:tc>
          <w:tcPr>
            <w:tcW w:w="579" w:type="dxa"/>
            <w:gridSpan w:val="2"/>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0,5</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1,0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2,0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3,0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4,0</w:t>
            </w:r>
          </w:p>
        </w:tc>
      </w:tr>
      <w:tr w:rsidR="0040352A" w:rsidRPr="008766C3" w:rsidTr="007E2174">
        <w:tc>
          <w:tcPr>
            <w:tcW w:w="4077" w:type="dxa"/>
            <w:gridSpan w:val="2"/>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szCs w:val="20"/>
              </w:rPr>
              <w:t>Odpornost na obrabo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Torna sposobnost [enote SRT]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Nočna vidljivost</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suho</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1951" w:type="dxa"/>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i/>
                <w:sz w:val="20"/>
                <w:szCs w:val="20"/>
              </w:rPr>
              <w:t>R</w:t>
            </w:r>
            <w:r>
              <w:rPr>
                <w:sz w:val="20"/>
                <w:szCs w:val="20"/>
                <w:vertAlign w:val="subscript"/>
              </w:rPr>
              <w:t>L</w:t>
            </w:r>
            <w:r>
              <w:rPr>
                <w:sz w:val="20"/>
                <w:szCs w:val="20"/>
              </w:rPr>
              <w:t xml:space="preserve"> [mcd · m</w:t>
            </w:r>
            <w:r>
              <w:rPr>
                <w:sz w:val="20"/>
                <w:szCs w:val="20"/>
                <w:vertAlign w:val="superscript"/>
              </w:rPr>
              <w:t>-2</w:t>
            </w:r>
            <w:r>
              <w:rPr>
                <w:sz w:val="20"/>
                <w:szCs w:val="20"/>
              </w:rPr>
              <w:t xml:space="preserve"> · lx</w:t>
            </w:r>
            <w:r>
              <w:rPr>
                <w:sz w:val="20"/>
                <w:szCs w:val="20"/>
                <w:vertAlign w:val="superscript"/>
              </w:rPr>
              <w:t>-1</w:t>
            </w:r>
            <w:r>
              <w:rPr>
                <w:sz w:val="20"/>
                <w:szCs w:val="20"/>
              </w:rPr>
              <w:t>]</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szCs w:val="20"/>
              </w:rPr>
              <w:t>mokro, 2 % naklona</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sz w:val="20"/>
                <w:szCs w:val="20"/>
              </w:rPr>
              <w:t>Dnevna vidljivost Qd [mcd · m</w:t>
            </w:r>
            <w:r>
              <w:rPr>
                <w:sz w:val="20"/>
                <w:szCs w:val="20"/>
                <w:vertAlign w:val="superscript"/>
              </w:rPr>
              <w:t>-2</w:t>
            </w:r>
            <w:r>
              <w:rPr>
                <w:sz w:val="20"/>
                <w:szCs w:val="20"/>
              </w:rPr>
              <w:t xml:space="preserve"> · lx</w:t>
            </w:r>
            <w:r>
              <w:rPr>
                <w:sz w:val="20"/>
                <w:szCs w:val="20"/>
                <w:vertAlign w:val="superscript"/>
              </w:rPr>
              <w:t>-1</w:t>
            </w:r>
            <w:r>
              <w:rPr>
                <w:sz w:val="20"/>
                <w:szCs w:val="20"/>
              </w:rPr>
              <w: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lang w:eastAsia="zh-CN"/>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szCs w:val="20"/>
              </w:rPr>
              <w:t>Koordinate standardne barvne vrednosti</w:t>
            </w:r>
          </w:p>
        </w:tc>
        <w:tc>
          <w:tcPr>
            <w:tcW w:w="2605"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x =</w:t>
            </w:r>
          </w:p>
        </w:tc>
        <w:tc>
          <w:tcPr>
            <w:tcW w:w="2606"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szCs w:val="20"/>
              </w:rPr>
              <w:t>y =</w:t>
            </w:r>
          </w:p>
        </w:tc>
      </w:tr>
    </w:tbl>
    <w:p w:rsidR="0040352A" w:rsidRPr="008766C3" w:rsidRDefault="0040352A" w:rsidP="0040352A">
      <w:pPr>
        <w:ind w:left="0" w:firstLine="0"/>
        <w:rPr>
          <w:rFonts w:eastAsia="Times New Roman" w:cs="Calibri"/>
          <w:sz w:val="20"/>
          <w:szCs w:val="20"/>
        </w:rPr>
      </w:pPr>
      <w:r>
        <w:rPr>
          <w:b/>
          <w:bCs/>
          <w:color w:val="000000"/>
          <w:sz w:val="20"/>
          <w:szCs w:val="20"/>
          <w:vertAlign w:val="superscript"/>
        </w:rPr>
        <w:t>1)</w:t>
      </w:r>
      <w:r>
        <w:rPr>
          <w:b/>
          <w:bCs/>
          <w:color w:val="000000"/>
          <w:sz w:val="20"/>
          <w:szCs w:val="20"/>
        </w:rPr>
        <w:t xml:space="preserve"> Ta vrednost je namenjena izključno za informacijo vlagatelju.</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ind w:left="0" w:firstLine="0"/>
        <w:rPr>
          <w:rFonts w:eastAsia="Times New Roman" w:cs="Calibri"/>
        </w:rPr>
      </w:pPr>
      <w:r>
        <w:rPr>
          <w:color w:val="000000"/>
        </w:rPr>
        <w:t>V imenu</w:t>
      </w:r>
    </w:p>
    <w:p w:rsidR="0040352A" w:rsidRPr="008766C3" w:rsidRDefault="0040352A" w:rsidP="0040352A">
      <w:pPr>
        <w:tabs>
          <w:tab w:val="left" w:pos="567"/>
          <w:tab w:val="left" w:pos="4536"/>
          <w:tab w:val="right" w:leader="underscore" w:pos="5954"/>
        </w:tabs>
        <w:spacing w:after="60"/>
        <w:ind w:left="4536" w:hanging="4252"/>
        <w:rPr>
          <w:rFonts w:cs="Calibri"/>
          <w:lang w:eastAsia="zh-CN"/>
        </w:rPr>
      </w:pPr>
    </w:p>
    <w:p w:rsidR="0040352A" w:rsidRPr="008766C3" w:rsidRDefault="0040352A" w:rsidP="0040352A">
      <w:pPr>
        <w:tabs>
          <w:tab w:val="left" w:leader="underscore" w:pos="2410"/>
        </w:tabs>
        <w:spacing w:after="60"/>
        <w:ind w:left="0" w:firstLine="0"/>
        <w:rPr>
          <w:rFonts w:cs="Calibri"/>
          <w:color w:val="000000"/>
          <w:sz w:val="20"/>
          <w:szCs w:val="20"/>
        </w:rPr>
      </w:pPr>
      <w:r>
        <w:rPr>
          <w:color w:val="000000"/>
          <w:sz w:val="20"/>
          <w:szCs w:val="20"/>
        </w:rPr>
        <w:tab/>
      </w:r>
    </w:p>
    <w:p w:rsidR="0040352A" w:rsidRPr="008766C3" w:rsidRDefault="0040352A" w:rsidP="0040352A">
      <w:pPr>
        <w:spacing w:after="60"/>
        <w:ind w:left="0" w:firstLine="0"/>
        <w:rPr>
          <w:rFonts w:eastAsia="Times New Roman" w:cs="Calibri"/>
          <w:sz w:val="20"/>
          <w:szCs w:val="20"/>
        </w:rPr>
      </w:pPr>
      <w:r>
        <w:rPr>
          <w:color w:val="000000"/>
          <w:sz w:val="20"/>
          <w:szCs w:val="20"/>
        </w:rPr>
        <w:lastRenderedPageBreak/>
        <w:t>Ime, funkcija</w:t>
      </w:r>
    </w:p>
    <w:p w:rsidR="0040352A" w:rsidRDefault="0040352A" w:rsidP="0040352A">
      <w:pPr>
        <w:spacing w:after="60"/>
        <w:ind w:left="0" w:firstLine="0"/>
        <w:rPr>
          <w:rFonts w:cs="Calibri"/>
          <w:lang w:eastAsia="zh-CN"/>
        </w:rPr>
      </w:pPr>
    </w:p>
    <w:p w:rsidR="0040352A" w:rsidRPr="008766C3" w:rsidRDefault="0040352A" w:rsidP="0040352A">
      <w:pPr>
        <w:spacing w:after="60"/>
        <w:ind w:left="0" w:firstLine="0"/>
        <w:rPr>
          <w:rFonts w:cs="Calibri"/>
        </w:rPr>
      </w:pPr>
      <w:r>
        <w:t>Stran 1</w:t>
      </w:r>
    </w:p>
    <w:p w:rsidR="00B521EE" w:rsidRPr="003A38BA" w:rsidRDefault="00B521EE" w:rsidP="003E3497">
      <w:pPr>
        <w:pStyle w:val="Heading1"/>
        <w:pageBreakBefore/>
        <w:ind w:left="0" w:firstLine="0"/>
        <w:jc w:val="both"/>
        <w:rPr>
          <w:sz w:val="24"/>
          <w:szCs w:val="24"/>
        </w:rPr>
      </w:pPr>
      <w:bookmarkStart w:id="146" w:name="_Toc150173029"/>
      <w:bookmarkStart w:id="147" w:name="_Toc273346590"/>
      <w:bookmarkStart w:id="148" w:name="_Toc12559236"/>
      <w:r>
        <w:rPr>
          <w:sz w:val="24"/>
          <w:szCs w:val="24"/>
        </w:rPr>
        <w:lastRenderedPageBreak/>
        <w:t>Priloga </w:t>
      </w:r>
      <w:bookmarkEnd w:id="146"/>
      <w:bookmarkEnd w:id="147"/>
      <w:r>
        <w:rPr>
          <w:sz w:val="24"/>
          <w:szCs w:val="24"/>
        </w:rPr>
        <w:t>B</w:t>
      </w:r>
      <w:bookmarkEnd w:id="148"/>
    </w:p>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 xml:space="preserve">Seznami HOS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8F058B">
        <w:trPr>
          <w:cantSplit/>
          <w:tblHeader/>
        </w:trPr>
        <w:tc>
          <w:tcPr>
            <w:tcW w:w="779" w:type="dxa"/>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Zaporedna št.</w:t>
            </w:r>
          </w:p>
        </w:tc>
        <w:tc>
          <w:tcPr>
            <w:tcW w:w="4536" w:type="dxa"/>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Snov/skupina snovi</w:t>
            </w:r>
          </w:p>
        </w:tc>
        <w:tc>
          <w:tcPr>
            <w:tcW w:w="1418" w:type="dxa"/>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Številka po CAS</w:t>
            </w:r>
          </w:p>
        </w:tc>
        <w:tc>
          <w:tcPr>
            <w:tcW w:w="1559" w:type="dxa"/>
            <w:tcBorders>
              <w:bottom w:val="nil"/>
            </w:tcBorders>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Številka indeksa</w:t>
            </w:r>
          </w:p>
        </w:tc>
        <w:tc>
          <w:tcPr>
            <w:tcW w:w="1276" w:type="dxa"/>
            <w:tcBorders>
              <w:bottom w:val="nil"/>
            </w:tcBorders>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Številka po ES</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aceton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606-001-00-8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71-43-2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601-020-00-8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04</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49" w:name="_Toc403984708"/>
            <w:bookmarkStart w:id="150" w:name="_Toc452377833"/>
            <w:bookmarkStart w:id="151" w:name="_Toc475367432"/>
            <w:bookmarkStart w:id="152" w:name="_Toc514062858"/>
            <w:r>
              <w:rPr>
                <w:rFonts w:asciiTheme="minorHAnsi" w:hAnsiTheme="minorHAnsi"/>
                <w:sz w:val="22"/>
                <w:szCs w:val="22"/>
              </w:rPr>
              <w:t>bis(2-etoksietil)eter</w:t>
            </w:r>
            <w:bookmarkEnd w:id="149"/>
            <w:bookmarkEnd w:id="150"/>
            <w:bookmarkEnd w:id="151"/>
            <w:bookmarkEnd w:id="152"/>
          </w:p>
          <w:p w:rsidR="00536458" w:rsidRPr="003A38BA" w:rsidRDefault="00536458" w:rsidP="00853381">
            <w:pPr>
              <w:pStyle w:val="Tablefootnote"/>
              <w:tabs>
                <w:tab w:val="clear" w:pos="340"/>
                <w:tab w:val="left" w:pos="0"/>
              </w:tabs>
              <w:rPr>
                <w:rFonts w:asciiTheme="minorHAnsi" w:hAnsiTheme="minorHAnsi" w:cs="Arial"/>
                <w:sz w:val="22"/>
                <w:szCs w:val="22"/>
              </w:rPr>
            </w:pPr>
            <w:bookmarkStart w:id="153" w:name="_Toc403984709"/>
            <w:bookmarkStart w:id="154" w:name="_Toc452377834"/>
            <w:bookmarkStart w:id="155" w:name="_Toc475367433"/>
            <w:bookmarkStart w:id="156" w:name="_Toc514062859"/>
            <w:r>
              <w:rPr>
                <w:rFonts w:asciiTheme="minorHAnsi" w:hAnsiTheme="minorHAnsi"/>
                <w:sz w:val="22"/>
                <w:szCs w:val="22"/>
              </w:rPr>
              <w:t>(dietilenglikoldimetileter, dimetilglikol)</w:t>
            </w:r>
            <w:bookmarkEnd w:id="153"/>
            <w:bookmarkEnd w:id="154"/>
            <w:bookmarkEnd w:id="155"/>
            <w:bookmarkEnd w:id="156"/>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111-96-6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butan-1-ol (n-butil 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71-36-3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butan-2-ol (sek-butil 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78-92-2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603-127-00-5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201-158-5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2-n-butoksietanol (etilenglikolmonobutileter, butilglikol)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111-76-2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603-014-00-0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203-905-0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57" w:name="_Toc403984710"/>
            <w:bookmarkStart w:id="158" w:name="_Toc452377835"/>
            <w:bookmarkStart w:id="159" w:name="_Toc475367434"/>
            <w:bookmarkStart w:id="160" w:name="_Toc514062860"/>
            <w:r>
              <w:rPr>
                <w:rFonts w:asciiTheme="minorHAnsi" w:hAnsiTheme="minorHAnsi"/>
                <w:sz w:val="22"/>
                <w:szCs w:val="22"/>
              </w:rPr>
              <w:t>2-(2-n-butoksietoksi)etanol (dietilenglikolmonobutileter, butildiglikol)</w:t>
            </w:r>
            <w:bookmarkEnd w:id="157"/>
            <w:bookmarkEnd w:id="158"/>
            <w:bookmarkEnd w:id="159"/>
            <w:bookmarkEnd w:id="160"/>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112-34-5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603-096-00-8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203-961-6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09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2-n-butoksietilacetat (etilenglikolmonobutileteracetat, butilglikolacetat)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112-07-2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203-933-3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butoksipropanol (izomerne zmesi)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različno</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1-n-butoksipropan-2-ol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5131-66-8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603-052-00-8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225-878-4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1-terc-butoksipropan-2-ol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57018-52-7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603-129-00-6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406-180-0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n-butilacetat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607-025-00-1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204-658-1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sek butilacetat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105-46-4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203-300-1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terc. butilacetat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540-88-5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208-760-7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4-butirolakton (tetrahidro-2-furanon)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96-48-0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kumen (izopropilbenzol)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98-82-8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601-024-00-X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202-704-5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cikloheksan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601-017-00-1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203-806-2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p-cimen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99-87-6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diklorometan (metilenklorid)</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75-09-2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602-004-00-3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200-838-9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1,2-dioksietan (etilenglikoldietileter, dietilglikol)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629-14-1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dietileter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603-022-00-4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200-467-2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diizopropileter (2-izopropoksipropan)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108-20-3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203-560-6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1,1-dimetoksietan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605-007-00-8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534-15-6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1,2-dimetoksietan (etilenglikoldimetileter, dimetilglikol)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110-71-4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603-031-003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203-794-9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dimetileter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115-10-6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603-019-00-8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204-065-8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1,4-dioksan (dietilendioksid)</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123-91-1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603-024-00-5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204-661-8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di-n-propileter (propileter)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111-43-3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203-869-6</w:t>
            </w:r>
          </w:p>
        </w:tc>
      </w:tr>
      <w:tr w:rsidR="00536458" w:rsidRPr="003A38BA" w:rsidTr="003E3497">
        <w:trPr>
          <w:cantSplit/>
        </w:trPr>
        <w:tc>
          <w:tcPr>
            <w:tcW w:w="77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29</w:t>
            </w:r>
          </w:p>
        </w:tc>
        <w:tc>
          <w:tcPr>
            <w:tcW w:w="4536" w:type="dxa"/>
            <w:tcBorders>
              <w:bottom w:val="single" w:sz="4" w:space="0" w:color="auto"/>
            </w:tcBorders>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ocetna kislina</w:t>
            </w:r>
          </w:p>
        </w:tc>
        <w:tc>
          <w:tcPr>
            <w:tcW w:w="1418"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64-19-7</w:t>
            </w:r>
          </w:p>
        </w:tc>
        <w:tc>
          <w:tcPr>
            <w:tcW w:w="155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607-002-00-6</w:t>
            </w:r>
          </w:p>
        </w:tc>
        <w:tc>
          <w:tcPr>
            <w:tcW w:w="1276"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200-580-7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anhidrid ocetne kisline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108-24-7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607-008-00-9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203-564-8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etanol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64-17-5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200-578-6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2-etoksietanol (etilenglikolmonoetileter, etilglikol)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110-80-5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603-012-00-X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203-804-1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1-etoksipropan-2-ol (propilenglikolmonoetileter)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1569-02-4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etilacetat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141-78-6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205-500-4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etilbenzol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601-023-00-4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202-849-4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etilformiat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109-94-4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607-015-00-7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203-721-0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heptan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147-82-5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205-563-8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39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110-54-3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601-037-00-0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heksan (izomerna zmes)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92112-69-1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601-007-00-7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295-570-2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heksan-1-ol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111-27-3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603-059-00-6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203-852-3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izobutilacetat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110-19-0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203-745-1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izopropilacetat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108-21-4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203-561-1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67-56-1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200-659-6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1-metoksi-2-propilacetat (propilenglikolmonometileteracetat)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2-metoksietanol (etilenglikolmonometileter, metilglikol)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603-011-00-4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203-713-7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2-metoksietilacetat (metilglikolacetat)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110-49-6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607-036-00-1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203-772-9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1-metoksipropan-2-ol (propilenglikolmonometileter)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107-98-2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49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metilacetat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79-20-9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201-185-2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2-metilbutan (i-pentan)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78-78-4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201-142-8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metilcikloheksan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601-018-00-7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203-624-3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metiletilketon (2-butanon, MEK)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78-93-3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606-002-00-3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201-159-0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metilformiat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107-31-3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607-014-00-1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203-481-7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2-metilpentan (i-heksan)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107-83-5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203-523-4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4-metilpentan-2-on (metilizobutilketon, MIBK)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108-10-1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606-004-00-4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203-550-1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2-metilpropan (izobutan)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75-28-5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n-pentan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109-66-0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203-692-4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2-metilpropan-1-ol (izobutanol)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78-83-1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603-108-00-1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201-148-0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r>
              <w:rPr>
                <w:rFonts w:asciiTheme="minorHAnsi" w:hAnsiTheme="minorHAnsi"/>
                <w:sz w:val="22"/>
                <w:szCs w:val="22"/>
              </w:rPr>
              <w:t>N-metil-2-pirolidon (1-metil-2-pirolidinon)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872-50-4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606-021-00-7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212-828-1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pentan-1-ol (n-amilalkohol)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71-41-0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200-752-1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lastRenderedPageBreak/>
              <w:t>61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pentan-2-ol (sek amilalkohol)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6032-29-7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227-907-6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pentanoli (izomerne zmesi)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različno</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petroleter + benzini (predvsem nearomatične zmesi ogljikovodikov)</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različno</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petrolej (predvsem nearomatične zmesi ogljikovodikov), frakcije z vreliščem do 240 °C pri 1.013,25 mbar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različno</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propan-1-ol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71-23-8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603-003-00-0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200-746-9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propan-2-ol (izopropilalkohol, izopropanol)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67-63-0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603-117-00-0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200-661-7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2-(propiloksi)etanol (etilenglikolmonopropileter, propilglikol)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2807-30-9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603-095-00-2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220-548-6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n-propilacetat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109-60-4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203-686-1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stirol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100-42-5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601-026-00-0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202-851-5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tetrakloroeten (perkloroetilen, PER)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127-18-4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602-028-00-4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204-825-9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tetrahidrofuran (oksolan)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109-99-9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603-025-00-0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203-726-8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toluol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108-88-3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203-625-9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trikloroeten</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79-01-6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602-027-00-9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201-167-4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 xml:space="preserve">1,2,3-trimetilbenzol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526-73-8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1,2,4-trimetilbenzol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95-63-6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601-043-00-3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202-436-9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1,3,5-trimetilbenzol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108-67-8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trimetilbenzoli (izomerne zmesi)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različno</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beli špirit (predvsem nearomatične zmesi ogljikovodikov)</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različno</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o-ksilol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95-47-6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202-422-2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m-ksilol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108-38-3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203-576-3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p-ksilol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106-42-3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203-396-5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ksiloli (izomerne zmesi)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536458" w:rsidRPr="003A38BA" w:rsidRDefault="00536458" w:rsidP="00536458">
      <w:pPr>
        <w:pStyle w:val="Tablefootnote"/>
        <w:ind w:left="340" w:hanging="340"/>
        <w:rPr>
          <w:rFonts w:asciiTheme="minorHAnsi" w:hAnsiTheme="minorHAnsi" w:cs="Arial"/>
          <w:sz w:val="22"/>
          <w:szCs w:val="22"/>
        </w:rPr>
      </w:pPr>
    </w:p>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szCs w:val="22"/>
        </w:rPr>
        <w:t>Naslednje zmesi snovi so sestavljene iz majhnega števila posameznih spojin, ki se praviloma lahko evidentirajo tudi posamezno.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536458">
        <w:trPr>
          <w:cantSplit/>
        </w:trPr>
        <w:tc>
          <w:tcPr>
            <w:tcW w:w="779" w:type="dxa"/>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Zaporedna št.</w:t>
            </w:r>
          </w:p>
        </w:tc>
        <w:tc>
          <w:tcPr>
            <w:tcW w:w="4536" w:type="dxa"/>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Snov/skupina snovi</w:t>
            </w:r>
          </w:p>
        </w:tc>
        <w:tc>
          <w:tcPr>
            <w:tcW w:w="1418" w:type="dxa"/>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Številka po CAS</w:t>
            </w:r>
          </w:p>
        </w:tc>
        <w:tc>
          <w:tcPr>
            <w:tcW w:w="1559" w:type="dxa"/>
            <w:tcBorders>
              <w:bottom w:val="nil"/>
            </w:tcBorders>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Številka indeksa</w:t>
            </w:r>
          </w:p>
        </w:tc>
        <w:tc>
          <w:tcPr>
            <w:tcW w:w="1276" w:type="dxa"/>
            <w:tcBorders>
              <w:bottom w:val="nil"/>
            </w:tcBorders>
            <w:shd w:val="pct25" w:color="auto" w:fill="FFFFFF"/>
            <w:vAlign w:val="center"/>
          </w:tcPr>
          <w:p w:rsidR="00536458" w:rsidRPr="003A38BA" w:rsidRDefault="00536458" w:rsidP="008F058B">
            <w:pPr>
              <w:pStyle w:val="Tablefootnote"/>
              <w:rPr>
                <w:rFonts w:asciiTheme="minorHAnsi" w:hAnsiTheme="minorHAnsi" w:cs="Arial"/>
                <w:sz w:val="22"/>
                <w:szCs w:val="22"/>
              </w:rPr>
            </w:pPr>
            <w:r>
              <w:rPr>
                <w:rFonts w:asciiTheme="minorHAnsi" w:hAnsiTheme="minorHAnsi"/>
                <w:sz w:val="22"/>
                <w:szCs w:val="22"/>
              </w:rPr>
              <w:t>Številka po ES</w:t>
            </w: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76</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trimetilbenzoli (izomerne zmesi)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različno</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81</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ksiloli (izomerne zmesi)</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szCs w:val="22"/>
              </w:rPr>
              <w:t>215-535-7</w:t>
            </w:r>
          </w:p>
        </w:tc>
      </w:tr>
    </w:tbl>
    <w:p w:rsidR="00F653D9" w:rsidRPr="003A38BA" w:rsidRDefault="00B1266C" w:rsidP="007C21AF">
      <w:pPr>
        <w:pStyle w:val="Heading1"/>
        <w:pageBreakBefore/>
        <w:ind w:left="0" w:firstLine="0"/>
        <w:jc w:val="both"/>
        <w:rPr>
          <w:sz w:val="24"/>
          <w:szCs w:val="24"/>
        </w:rPr>
      </w:pPr>
      <w:bookmarkStart w:id="161" w:name="_Toc12559237"/>
      <w:r>
        <w:rPr>
          <w:sz w:val="24"/>
          <w:szCs w:val="24"/>
        </w:rPr>
        <w:lastRenderedPageBreak/>
        <w:t>Priloga C</w:t>
      </w:r>
      <w:bookmarkEnd w:id="161"/>
    </w:p>
    <w:p w:rsidR="00B1266C" w:rsidRPr="003A38BA" w:rsidRDefault="00B1266C" w:rsidP="007C21AF">
      <w:pPr>
        <w:pStyle w:val="Title"/>
        <w:jc w:val="both"/>
        <w:rPr>
          <w:rFonts w:asciiTheme="minorHAnsi" w:hAnsiTheme="minorHAnsi"/>
        </w:rPr>
      </w:pPr>
      <w:r>
        <w:rPr>
          <w:rFonts w:asciiTheme="minorHAnsi" w:hAnsiTheme="minorHAnsi"/>
        </w:rPr>
        <w:t>Zagotavljanje kakovosti materialov za posipanje za vse sisteme za označevanje in termoplastičnih sistemov za primešanje</w:t>
      </w:r>
    </w:p>
    <w:p w:rsidR="00B1266C" w:rsidRPr="003A38BA" w:rsidRDefault="00B1266C" w:rsidP="007C21AF">
      <w:pPr>
        <w:pStyle w:val="Tablefootnote"/>
        <w:tabs>
          <w:tab w:val="clear" w:pos="340"/>
          <w:tab w:val="left" w:pos="0"/>
        </w:tabs>
        <w:rPr>
          <w:rFonts w:asciiTheme="minorHAnsi" w:hAnsiTheme="minorHAnsi" w:cs="Arial"/>
          <w:sz w:val="24"/>
          <w:szCs w:val="24"/>
        </w:rPr>
      </w:pPr>
    </w:p>
    <w:p w:rsidR="00B1266C" w:rsidRPr="003A38BA" w:rsidRDefault="00B1266C" w:rsidP="007C21AF">
      <w:pPr>
        <w:pStyle w:val="Tablefootnote"/>
        <w:tabs>
          <w:tab w:val="clear" w:pos="340"/>
          <w:tab w:val="left" w:pos="0"/>
        </w:tabs>
        <w:rPr>
          <w:rFonts w:asciiTheme="minorHAnsi" w:hAnsiTheme="minorHAnsi" w:cs="Arial"/>
          <w:sz w:val="24"/>
          <w:szCs w:val="24"/>
        </w:rPr>
      </w:pPr>
      <w:r>
        <w:rPr>
          <w:rFonts w:asciiTheme="minorHAnsi" w:hAnsiTheme="minorHAnsi"/>
          <w:sz w:val="24"/>
          <w:szCs w:val="24"/>
        </w:rPr>
        <w:t>Za zagotavljanje kakovosti materialov za posipanje in termoplastičnih sistemov za primešanje se določijo naslednji parametri za preskus vzorca zmesi materialov za posipanje za vse sisteme za označevanje in termoplastičnih sistemov za primešanje</w:t>
      </w:r>
      <w:r w:rsidR="005C6B21" w:rsidRPr="003A38BA">
        <w:rPr>
          <w:rStyle w:val="FootnoteReference"/>
          <w:rFonts w:asciiTheme="minorHAnsi" w:hAnsiTheme="minorHAnsi" w:cs="Arial"/>
          <w:sz w:val="24"/>
          <w:szCs w:val="24"/>
        </w:rPr>
        <w:footnoteReference w:id="5"/>
      </w:r>
      <w:r>
        <w:rPr>
          <w:rFonts w:asciiTheme="minorHAnsi" w:hAnsiTheme="minorHAnsi"/>
          <w:sz w:val="24"/>
          <w:szCs w:val="24"/>
        </w:rPr>
        <w:t>:</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Sita, ki jih je treba uporabiti za določitev velikosti zrn, so v skladu s standardom DIN EN 1423 navedena v ISO 565 – Dimenzije R40/3. Pri zmeseh materialov za posipanje mora pri naslednjem najmanjšem situ v skladu z ISO 565 – Dimenzije R40/3 – pod zgornjim nazivnim sitom ostati najmanj 5 % (kumulativno) odsevnih steklenih kroglic. </w:t>
      </w:r>
    </w:p>
    <w:p w:rsidR="00B1266C" w:rsidRPr="003A38BA" w:rsidRDefault="00B1266C" w:rsidP="007C21AF">
      <w:pPr>
        <w:jc w:val="both"/>
        <w:rPr>
          <w:snapToGrid w:val="0"/>
          <w:sz w:val="24"/>
        </w:rPr>
      </w:pPr>
    </w:p>
    <w:p w:rsidR="00B1266C" w:rsidRPr="003A38BA" w:rsidRDefault="00B1266C" w:rsidP="008F058B">
      <w:pPr>
        <w:pStyle w:val="BodyTextIndent"/>
        <w:ind w:left="357" w:firstLine="0"/>
        <w:jc w:val="both"/>
      </w:pPr>
      <w:r>
        <w:rPr>
          <w:snapToGrid w:val="0"/>
          <w:sz w:val="24"/>
        </w:rPr>
        <w:t>S tem se zagotovi, da zmesi materialov za posipanje vsebujejo dovolj večjih odsevnih steklenih kroglic, da se zagotovi odsevnost</w:t>
      </w:r>
      <w:r>
        <w:t xml:space="preserve">. </w:t>
      </w:r>
      <w:bookmarkStart w:id="162" w:name="_GoBack"/>
      <w:bookmarkEnd w:id="162"/>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Presejalna krivulja zmesi materialov za posipanje, ugotovljena v preskusu primernosti s strani akreditiranega preskusnega laboratorija z napravo Camsizer, se shrani kot referenčni vzorec, če vlagatelj/dobavitelj materiala za posipanje ne more predložiti svoje velikosti zrn, določene z napravo Camsizer. Dopustno odstopanje posameznih ostankov na vsakem situ po specifikaciji znaša v prihodnje ± 50 % rel. Vrednost najmanj 5 % odsevnih steklenih kroglic, navedena pod točko 1, je treba upoštevati, tj. vrednost mora znašati 5 % tudi ob upoštevanju odstopanja 50 % posameznega ostanka ustreznega sita. </w:t>
      </w:r>
    </w:p>
    <w:p w:rsidR="00B1266C" w:rsidRPr="003A38BA" w:rsidRDefault="00B1266C" w:rsidP="007C21AF">
      <w:pPr>
        <w:jc w:val="both"/>
        <w:rPr>
          <w:snapToGrid w:val="0"/>
          <w:sz w:val="24"/>
        </w:rPr>
      </w:pPr>
    </w:p>
    <w:p w:rsidR="00B1266C" w:rsidRPr="003A38BA" w:rsidRDefault="00B1266C" w:rsidP="007C21AF">
      <w:pPr>
        <w:ind w:left="360" w:firstLine="0"/>
        <w:jc w:val="both"/>
        <w:rPr>
          <w:snapToGrid w:val="0"/>
          <w:sz w:val="24"/>
        </w:rPr>
      </w:pPr>
      <w:r>
        <w:rPr>
          <w:snapToGrid w:val="0"/>
          <w:sz w:val="24"/>
        </w:rPr>
        <w:t xml:space="preserve">Primer: če je bilo na situ 500 μm pri preskusu ustreznosti kot ostanek ugotovljeno 30 g, je območje odstopanja med 15 g in 45 g. S tem se zagotovi, da so zmesi materialov za posipanje, ki se dobavljajo v praksi, glede navedenih omejitev skladne z zmesmi, ki so bile predane akreditiranemu preskusnemu laboratoriju za preskus ustreznosti.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Za vzorčenje pri preskusu ustreznosti velja, da so proizvajalci sami odgovorni za to, da akreditiranemu preskusnemu laboratoriju predajo reprezentativen vzorec. Material za posipanje, ki ga proizvajalci predajo za preskus ustreznosti, npr. pakiranje 25 kg, se z delilnikom 1/1 razdeli v velikost, potrebno za preskus.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V trgovskem imenu materialov za posipanje je lahko navedena samo dejanska velikost zrn.</w:t>
      </w:r>
    </w:p>
    <w:sectPr w:rsidR="00B1266C" w:rsidRPr="003A38BA"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217" w:rsidRDefault="00A53217" w:rsidP="006D5959">
      <w:r>
        <w:separator/>
      </w:r>
    </w:p>
  </w:endnote>
  <w:endnote w:type="continuationSeparator" w:id="0">
    <w:p w:rsidR="00A53217" w:rsidRDefault="00A53217"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Pr>
        <w:sz w:val="24"/>
      </w:rPr>
      <w:t>XXIV</w:t>
    </w:r>
    <w:r>
      <w:rPr>
        <w:sz w:val="24"/>
      </w:rPr>
      <w:fldChar w:fldCharType="end"/>
    </w:r>
    <w:r>
      <w:rPr>
        <w:sz w:val="24"/>
      </w:rPr>
      <w:tab/>
      <w:t>Osnutek iz junija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217" w:rsidRDefault="00A53217" w:rsidP="006D5959">
      <w:r>
        <w:separator/>
      </w:r>
    </w:p>
  </w:footnote>
  <w:footnote w:type="continuationSeparator" w:id="0">
    <w:p w:rsidR="00A53217" w:rsidRDefault="00A53217" w:rsidP="006D5959">
      <w:r>
        <w:continuationSeparator/>
      </w:r>
    </w:p>
  </w:footnote>
  <w:footnote w:id="1">
    <w:p w:rsidR="003A38BA" w:rsidRDefault="003A38BA" w:rsidP="003E3497">
      <w:pPr>
        <w:spacing w:after="120"/>
        <w:ind w:left="0" w:firstLine="0"/>
      </w:pPr>
      <w:r>
        <w:rPr>
          <w:rStyle w:val="FootnoteReference"/>
        </w:rPr>
        <w:footnoteRef/>
      </w:r>
      <w:r>
        <w:t xml:space="preserve"> Našteti postopki nanašanja so lahko zaščitene blagovne znamke ali registrirani patenti.</w:t>
      </w:r>
    </w:p>
  </w:footnote>
  <w:footnote w:id="2">
    <w:p w:rsidR="003A38BA" w:rsidRDefault="003A38BA" w:rsidP="003E3497">
      <w:pPr>
        <w:spacing w:after="120"/>
        <w:ind w:left="0" w:firstLine="0"/>
      </w:pPr>
      <w:r>
        <w:rPr>
          <w:rStyle w:val="FootnoteReference"/>
        </w:rPr>
        <w:footnoteRef/>
      </w:r>
      <w:r>
        <w:t xml:space="preserve"> Čas sušenja do povoznosti je med drugim odvisen od vremenskih razmer in nanesene količine materiala. Čas sušenja do povoznosti, dosežen v laboratoriju, ni jamstvo za čas sušenja v praksi.</w:t>
      </w:r>
    </w:p>
  </w:footnote>
  <w:footnote w:id="3">
    <w:p w:rsidR="003A38BA" w:rsidRDefault="003A38BA" w:rsidP="001D4247">
      <w:pPr>
        <w:spacing w:after="120"/>
        <w:ind w:left="0" w:firstLine="0"/>
      </w:pPr>
      <w:r>
        <w:rPr>
          <w:vertAlign w:val="superscript"/>
        </w:rPr>
        <w:footnoteRef/>
      </w:r>
      <w:r>
        <w:t xml:space="preserve"> Obrabljene pnevmatike se med preskusom zamenjajo.</w:t>
      </w:r>
    </w:p>
  </w:footnote>
  <w:footnote w:id="4">
    <w:p w:rsidR="003A38BA" w:rsidRDefault="003A38BA" w:rsidP="001D4247">
      <w:pPr>
        <w:spacing w:after="120"/>
        <w:ind w:left="0" w:firstLine="0"/>
      </w:pPr>
      <w:r>
        <w:rPr>
          <w:vertAlign w:val="superscript"/>
        </w:rPr>
        <w:footnoteRef/>
      </w:r>
      <w:r>
        <w:t xml:space="preserve"> Oba standarda bosta v prihodnosti združena. Materiali za posipanje in (v prihodnje) kroglice za primešanje k barvi se lahko uporabijo samo, če so označeni z oznako CE.</w:t>
      </w:r>
    </w:p>
  </w:footnote>
  <w:footnote w:id="5">
    <w:p w:rsidR="003A38BA" w:rsidRDefault="003A38BA" w:rsidP="001D4247">
      <w:pPr>
        <w:spacing w:after="120"/>
        <w:ind w:left="0" w:firstLine="0"/>
      </w:pPr>
      <w:r>
        <w:rPr>
          <w:vertAlign w:val="superscript"/>
        </w:rPr>
        <w:footnoteRef/>
      </w:r>
      <w:r>
        <w:t xml:space="preserve"> Podlaga: dogovor med BASt, proizvajalci kroglic in DSGS v krajih Bergisch-Gladbach in Braunlage v avgustu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8F058B">
          <w:rPr>
            <w:noProof/>
          </w:rPr>
          <w:t>23</w:t>
        </w:r>
        <w: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058B"/>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1060E"/>
    <w:rsid w:val="00A11530"/>
    <w:rsid w:val="00A13538"/>
    <w:rsid w:val="00A13EDC"/>
    <w:rsid w:val="00A2285F"/>
    <w:rsid w:val="00A34119"/>
    <w:rsid w:val="00A36652"/>
    <w:rsid w:val="00A37E2F"/>
    <w:rsid w:val="00A42ACC"/>
    <w:rsid w:val="00A503EF"/>
    <w:rsid w:val="00A53217"/>
    <w:rsid w:val="00A61964"/>
    <w:rsid w:val="00A676DC"/>
    <w:rsid w:val="00A748BE"/>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3B72"/>
    <w:rsid w:val="00DF4A21"/>
    <w:rsid w:val="00DF53FE"/>
    <w:rsid w:val="00E146D8"/>
    <w:rsid w:val="00E15D8C"/>
    <w:rsid w:val="00E35384"/>
    <w:rsid w:val="00E355B8"/>
    <w:rsid w:val="00E46BBA"/>
    <w:rsid w:val="00E51F2A"/>
    <w:rsid w:val="00E54343"/>
    <w:rsid w:val="00E5609C"/>
    <w:rsid w:val="00E6359B"/>
    <w:rsid w:val="00E650EB"/>
    <w:rsid w:val="00E661CD"/>
    <w:rsid w:val="00E67C87"/>
    <w:rsid w:val="00E726CF"/>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60D51"/>
    <w:rsid w:val="00F61B48"/>
    <w:rsid w:val="00F630F0"/>
    <w:rsid w:val="00F653D9"/>
    <w:rsid w:val="00F653E7"/>
    <w:rsid w:val="00F657B0"/>
    <w:rsid w:val="00F71794"/>
    <w:rsid w:val="00F7349F"/>
    <w:rsid w:val="00F77BC2"/>
    <w:rsid w:val="00F80870"/>
    <w:rsid w:val="00F82ED3"/>
    <w:rsid w:val="00F95161"/>
    <w:rsid w:val="00F9526A"/>
    <w:rsid w:val="00FA1D3F"/>
    <w:rsid w:val="00FB4E45"/>
    <w:rsid w:val="00FB5DFF"/>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9CDD41-3A21-4C03-9E3E-866CCDA2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lang w:eastAsia="de-DE"/>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lang w:eastAsia="de-DE"/>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lang w:eastAsia="de-DE"/>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lang w:eastAsia="de-DE"/>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de-DE"/>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lang w:eastAsia="de-DE"/>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lang w:eastAsia="de-DE"/>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lang w:eastAsia="de-DE"/>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de-DE"/>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lang w:eastAsia="de-DE"/>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lang w:eastAsia="de-DE"/>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lang w:eastAsia="de-DE"/>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de-DE"/>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de-DE"/>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de-DE"/>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de-DE"/>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lang w:eastAsia="de-DE"/>
    </w:rPr>
  </w:style>
  <w:style w:type="character" w:customStyle="1" w:styleId="TableFootNoteXref">
    <w:name w:val="TableFootNoteXref"/>
    <w:rsid w:val="00A13EDC"/>
    <w:rPr>
      <w:noProof/>
      <w:position w:val="6"/>
      <w:sz w:val="14"/>
      <w:lang w:val="sl-SI"/>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lang w:eastAsia="de-DE"/>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lang w:eastAsia="de-DE"/>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de-DE"/>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lang w:eastAsia="de-DE"/>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lang w:eastAsia="de-DE"/>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lang w:eastAsia="de-DE"/>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de-DE"/>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166E9-258A-4751-A2C7-2D8D8731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7367</Words>
  <Characters>41993</Characters>
  <Application>Microsoft Office Word</Application>
  <DocSecurity>0</DocSecurity>
  <Lines>349</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49262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Ke, Tingting</cp:lastModifiedBy>
  <cp:revision>3</cp:revision>
  <cp:lastPrinted>2018-06-14T08:38:00Z</cp:lastPrinted>
  <dcterms:created xsi:type="dcterms:W3CDTF">2019-06-26T15:04:00Z</dcterms:created>
  <dcterms:modified xsi:type="dcterms:W3CDTF">2019-06-27T12:21:00Z</dcterms:modified>
</cp:coreProperties>
</file>