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Nowelizacja ustawy o prawie autorskim 202x</w:t>
      </w:r>
    </w:p>
    <w:p w:rsidR="00BB40B1" w:rsidRPr="00713E0B" w:rsidRDefault="00BB40B1" w:rsidP="00AE6BC4">
      <w:pPr>
        <w:pStyle w:val="10Entwurf"/>
      </w:pPr>
      <w:r>
        <w:t xml:space="preserve">P r o j e k t</w:t>
      </w:r>
    </w:p>
    <w:p w:rsidR="00BB40B1" w:rsidRPr="00713E0B" w:rsidRDefault="00BB40B1" w:rsidP="00AE6BC4">
      <w:pPr>
        <w:pStyle w:val="11Titel"/>
      </w:pPr>
      <w:r>
        <w:t xml:space="preserve">Ustawa federalna nowelizująca ustawę o prawie autorskim (poprawka ustawy o prawie autorskim 202x- Urh-Nov 202x)</w:t>
      </w:r>
    </w:p>
    <w:p w:rsidR="00BB40B1" w:rsidRPr="00713E0B" w:rsidRDefault="00BB40B1" w:rsidP="00AE6BC4">
      <w:pPr>
        <w:pStyle w:val="12PromKlEinlSatz"/>
      </w:pPr>
      <w:r>
        <w:t xml:space="preserve">Izba dolna parlamentu austriackiego (Nationalrat) postanowiła, co następuje:</w:t>
      </w:r>
    </w:p>
    <w:p w:rsidR="00BB40B1" w:rsidRPr="00BB40B1" w:rsidRDefault="00BB40B1" w:rsidP="00BB40B1">
      <w:pPr>
        <w:pStyle w:val="41UeberschrG1"/>
      </w:pPr>
      <w:r>
        <w:t xml:space="preserve">Nowelizacja ustawy o prawie autorskim</w:t>
      </w:r>
    </w:p>
    <w:p w:rsidR="00BB40B1" w:rsidRDefault="00BB40B1" w:rsidP="00AE6BC4">
      <w:pPr>
        <w:pStyle w:val="12PromKlEinlSatz"/>
      </w:pPr>
      <w:r>
        <w:t xml:space="preserve">Do ustawy o prawie autorskim, Federalny Dziennik Ustaw (BGBl.) nr 111/1936, ostatnio zmienionej ustawą federalną BGBl. I nr XX/XXXX wprowadza się następujące zmiany: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W § 76f dodaje się ust. 7 w brzmieniu:</w:t>
      </w:r>
    </w:p>
    <w:p w:rsidR="00BB40B1" w:rsidRDefault="00E31584" w:rsidP="00AE6BC4">
      <w:pPr>
        <w:pStyle w:val="51Abs"/>
      </w:pPr>
      <w:r>
        <w:t xml:space="preserve">„(7) Roszczenia, o których mowa w ust. 1, skierowane przeciwko dominującym dostawcom usług z tytułu udostępniania treści online oraz wyszukiwania treści online, a także roszczenia, o których mowa w ust. 6, mogą być dochodzone wyłącznie przez organizacje zbiorowego zarządzania”.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W § 115 dodaje się ust. 11 w brzmieniu:</w:t>
      </w:r>
    </w:p>
    <w:p w:rsidR="00646774" w:rsidRPr="008C17CB" w:rsidRDefault="00646774" w:rsidP="00646774">
      <w:pPr>
        <w:pStyle w:val="51Abs"/>
      </w:pPr>
      <w:r>
        <w:t xml:space="preserve">„(11) § 76f ust. 7, zmieniony ustawą federalną, BGBl. I nr XX/XXXX został zgłoszony zgodnie z przepisami dyrektywy (UE) 2015/1535 z dnia 9 września 2015 r. ustanawiającej procedurę udzielania informacji w dziedzinie przepisów technicznych oraz zasad dotyczących usług społeczeństwa informacyjnego, Dz.U. L 241 z 17.9.2015, s. 1 (numer powiadomienia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W § 116 dodaje się ust. 19 w brzmieniu:</w:t>
      </w:r>
    </w:p>
    <w:p w:rsidR="00646774" w:rsidRPr="00646774" w:rsidRDefault="00646774" w:rsidP="00646774">
      <w:pPr>
        <w:pStyle w:val="51Abs"/>
      </w:pPr>
      <w:r>
        <w:t xml:space="preserve">„(19) § 76f ust. 7, zmieniony ustawą federalną, BGBl. I nr XX/XXXX wchodzi w życie sześć miesięcy po dniu następującym po ogłoszeniu.”.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pl-PL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pl-PL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pl-PL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pl-PL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pl-PL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pl-PL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pl-PL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pl-PL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pl-PL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pl-PL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pl-PL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pl-PL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pl-PL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pl-PL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pl-PL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pl-PL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pl-PL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pl-PL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pl-PL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pl-PL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pl-PL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pl-PL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pl-PL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pl-PL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pl-PL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pl-PL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pl-PL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pl-PL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pl-PL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