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Modificarea Legii privind drepturile de autor 202x</w:t>
      </w:r>
    </w:p>
    <w:p w:rsidR="00BB40B1" w:rsidRPr="00713E0B" w:rsidRDefault="00BB40B1" w:rsidP="00AE6BC4">
      <w:pPr>
        <w:pStyle w:val="10Entwurf"/>
      </w:pPr>
      <w:r>
        <w:t xml:space="preserve">P r o i e c t</w:t>
      </w:r>
    </w:p>
    <w:p w:rsidR="00BB40B1" w:rsidRPr="00713E0B" w:rsidRDefault="00BB40B1" w:rsidP="00AE6BC4">
      <w:pPr>
        <w:pStyle w:val="11Titel"/>
      </w:pPr>
      <w:r>
        <w:t xml:space="preserve">Legea federală de modificare a Legii privind drepturile de autor (Modificarea 202x- Urh-Nov 202x)</w:t>
      </w:r>
    </w:p>
    <w:p w:rsidR="00BB40B1" w:rsidRPr="00713E0B" w:rsidRDefault="00BB40B1" w:rsidP="00AE6BC4">
      <w:pPr>
        <w:pStyle w:val="12PromKlEinlSatz"/>
      </w:pPr>
      <w:r>
        <w:t xml:space="preserve">Consiliul Național al Austriei (Nationalrat) a decis următoarele:</w:t>
      </w:r>
    </w:p>
    <w:p w:rsidR="00BB40B1" w:rsidRPr="00BB40B1" w:rsidRDefault="00BB40B1" w:rsidP="00BB40B1">
      <w:pPr>
        <w:pStyle w:val="41UeberschrG1"/>
      </w:pPr>
      <w:r>
        <w:t xml:space="preserve">Modificarea Legii privind drepturile de autor</w:t>
      </w:r>
    </w:p>
    <w:p w:rsidR="00BB40B1" w:rsidRDefault="00BB40B1" w:rsidP="00AE6BC4">
      <w:pPr>
        <w:pStyle w:val="12PromKlEinlSatz"/>
      </w:pPr>
      <w:r>
        <w:t xml:space="preserve">Legea privind drepturile de autor, Monitorul Oficial Federal (BGBl.) nr. 111/1936, astfel cum a fost modificată ultima dată prin Legea federală publicată în BGBl. I nr. XX/XXXX se modifică după cum urmează: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La articolul 76f se introduce alineatul (7) cu formularea următoare:</w:t>
      </w:r>
    </w:p>
    <w:p w:rsidR="00BB40B1" w:rsidRDefault="00E31584" w:rsidP="00AE6BC4">
      <w:pPr>
        <w:pStyle w:val="51Abs"/>
      </w:pPr>
      <w:r>
        <w:t xml:space="preserve">„(7) Cererile formulate în temeiul alineatului (1) împotriva prestatorilor dominanți de servicii pentru partajarea conținutului online și pentru căutarea conținutului online și a revendicărilor prevăzute la alineatul (6) pot fi invocate numai de societățile de gestiune colectivă.”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La articolul 115 se introduce alineatul (11) cu formularea următoare:</w:t>
      </w:r>
    </w:p>
    <w:p w:rsidR="00646774" w:rsidRPr="008C17CB" w:rsidRDefault="00646774" w:rsidP="00646774">
      <w:pPr>
        <w:pStyle w:val="51Abs"/>
      </w:pPr>
      <w:r>
        <w:t xml:space="preserve">„(11) Articolul 76f alineatul (7), astfel cum a fost modificat prin Legea federală, BGBl. I nr. XX/XXXX, a fost notificat în conformitate cu dispozițiile Directivei (UE) 2015/1535 din 9 septembrie 2015 referitoare la procedura de furnizare de informații în domeniul reglementărilor tehnice și al normelor privind serviciile societății informaționale, JO L 241, 17.9.2015, p. 1 (Notificarea nr.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La articolul 116 se introduce alineatul (19) cu formularea următoare:</w:t>
      </w:r>
    </w:p>
    <w:p w:rsidR="00646774" w:rsidRPr="00646774" w:rsidRDefault="00646774" w:rsidP="00646774">
      <w:pPr>
        <w:pStyle w:val="51Abs"/>
      </w:pPr>
      <w:r>
        <w:t xml:space="preserve">„(19) Articolul 76f alineatul (7), astfel cum a fost modificată prin Legea federală, BGBl. I nr. XX/XXXX intră în vigoare la șase luni de la data promulgării sale.”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ro-RO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ro-RO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ro-RO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ro-RO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ro-RO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ro-RO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ro-RO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ro-RO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ro-RO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ro-RO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ro-RO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ro-RO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ro-RO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ro-RO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ro-RO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ro-RO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ro-RO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ro-RO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ro-RO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ro-RO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ro-RO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ro-RO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ro-RO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ro-RO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ro-RO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ro-RO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ro-RO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ro-RO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ro-RO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