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B" w:rsidRPr="000F72EF" w:rsidRDefault="0067340B" w:rsidP="0067340B">
      <w:pPr>
        <w:jc w:val="center"/>
        <w:textAlignment w:val="baseline"/>
        <w:rPr>
          <w:rFonts w:ascii="Courier New" w:hAnsi="Courier New"/>
        </w:rPr>
      </w:pPr>
      <w:bookmarkStart w:id="0" w:name="_GoBack"/>
      <w:bookmarkEnd w:id="0"/>
      <w:r w:rsidRPr="000F72EF">
        <w:rPr>
          <w:rFonts w:ascii="Courier New" w:hAnsi="Courier New"/>
        </w:rPr>
        <w:t>1. ------IND- 2018 0446 B-- SL- ------ 20180917 --- --- PROJET</w:t>
      </w:r>
    </w:p>
    <w:p w:rsidR="00216FE2" w:rsidRPr="000F72EF"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0F72EF" w:rsidTr="00216FE2">
        <w:trPr>
          <w:jc w:val="center"/>
        </w:trPr>
        <w:tc>
          <w:tcPr>
            <w:tcW w:w="9455" w:type="dxa"/>
          </w:tcPr>
          <w:p w:rsidR="00155940" w:rsidRPr="000F72EF" w:rsidRDefault="00155940" w:rsidP="00216FE2">
            <w:pPr>
              <w:pStyle w:val="Heading2"/>
              <w:keepNext w:val="0"/>
              <w:rPr>
                <w:rFonts w:ascii="Garamond" w:hAnsi="Garamond"/>
                <w:sz w:val="22"/>
                <w:szCs w:val="22"/>
              </w:rPr>
            </w:pPr>
            <w:r w:rsidRPr="000F72EF">
              <w:rPr>
                <w:rFonts w:ascii="Garamond" w:hAnsi="Garamond"/>
                <w:sz w:val="22"/>
                <w:szCs w:val="22"/>
              </w:rPr>
              <w:t>Kraljevina Belgija</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r w:rsidRPr="000F72EF">
              <w:rPr>
                <w:rFonts w:ascii="Garamond" w:hAnsi="Garamond"/>
                <w:sz w:val="22"/>
                <w:szCs w:val="22"/>
              </w:rPr>
              <w:t>_________</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 w:val="left" w:pos="3616"/>
                <w:tab w:val="left" w:pos="3899"/>
              </w:tabs>
              <w:jc w:val="center"/>
              <w:rPr>
                <w:rFonts w:ascii="Garamond" w:hAnsi="Garamond"/>
                <w:b/>
                <w:bCs/>
                <w:sz w:val="22"/>
                <w:szCs w:val="22"/>
              </w:rPr>
            </w:pPr>
            <w:r w:rsidRPr="000F72EF">
              <w:rPr>
                <w:rFonts w:ascii="Garamond" w:hAnsi="Garamond"/>
                <w:b/>
                <w:bCs/>
                <w:sz w:val="22"/>
                <w:szCs w:val="22"/>
              </w:rPr>
              <w:t>ZVEZNA JAVNA SLUŽBA ZA JAVNO ZDRAVJE, VARNOST PREHRANJEVALNE VERIGE IN OKOLJE</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bCs/>
                <w:sz w:val="22"/>
                <w:szCs w:val="22"/>
              </w:rPr>
            </w:pPr>
            <w:r w:rsidRPr="000F72EF">
              <w:rPr>
                <w:rFonts w:ascii="Garamond" w:hAnsi="Garamond"/>
                <w:sz w:val="22"/>
                <w:szCs w:val="22"/>
              </w:rPr>
              <w:t>________________________</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b/>
                <w:bCs/>
                <w:sz w:val="22"/>
                <w:szCs w:val="22"/>
              </w:rPr>
            </w:pPr>
            <w:r w:rsidRPr="000F72EF">
              <w:rPr>
                <w:rFonts w:ascii="Garamond" w:hAnsi="Garamond"/>
                <w:b/>
                <w:bCs/>
                <w:color w:val="000000"/>
                <w:sz w:val="22"/>
                <w:szCs w:val="22"/>
              </w:rPr>
              <w:t xml:space="preserve">Kraljevi odlok o enotnem zavojčku cigaret, tobaka za zvijanje in tobaka za vodno pipo </w:t>
            </w:r>
          </w:p>
        </w:tc>
      </w:tr>
      <w:tr w:rsidR="00155940" w:rsidRPr="000F72EF" w:rsidTr="00216FE2">
        <w:trPr>
          <w:jc w:val="center"/>
        </w:trPr>
        <w:tc>
          <w:tcPr>
            <w:tcW w:w="9455" w:type="dxa"/>
          </w:tcPr>
          <w:p w:rsidR="00155940" w:rsidRPr="000F72EF" w:rsidRDefault="00155940" w:rsidP="00216FE2">
            <w:pPr>
              <w:rPr>
                <w:rFonts w:ascii="Garamond" w:hAnsi="Garamond"/>
                <w:b/>
                <w:sz w:val="22"/>
                <w:szCs w:val="22"/>
              </w:rPr>
            </w:pPr>
          </w:p>
        </w:tc>
      </w:tr>
      <w:tr w:rsidR="00155940" w:rsidRPr="000F72EF" w:rsidTr="00216FE2">
        <w:trPr>
          <w:jc w:val="center"/>
        </w:trPr>
        <w:tc>
          <w:tcPr>
            <w:tcW w:w="9455" w:type="dxa"/>
          </w:tcPr>
          <w:p w:rsidR="00155940" w:rsidRPr="000F72EF" w:rsidRDefault="00155940" w:rsidP="00216FE2">
            <w:pPr>
              <w:jc w:val="center"/>
              <w:rPr>
                <w:rFonts w:ascii="Garamond" w:hAnsi="Garamond"/>
                <w:b/>
                <w:bCs/>
                <w:sz w:val="22"/>
                <w:szCs w:val="22"/>
              </w:rPr>
            </w:pPr>
            <w:r w:rsidRPr="000F72EF">
              <w:rPr>
                <w:rFonts w:ascii="Garamond" w:hAnsi="Garamond"/>
                <w:b/>
                <w:sz w:val="22"/>
                <w:szCs w:val="22"/>
              </w:rPr>
              <w:t>FILIP, kralj Belgijcev,</w:t>
            </w:r>
            <w:r w:rsidRPr="000F72EF">
              <w:rPr>
                <w:rFonts w:ascii="Garamond" w:hAnsi="Garamond"/>
                <w:b/>
                <w:bCs/>
                <w:sz w:val="22"/>
                <w:szCs w:val="22"/>
              </w:rPr>
              <w:t xml:space="preserve"> </w:t>
            </w:r>
          </w:p>
        </w:tc>
      </w:tr>
      <w:tr w:rsidR="00155940" w:rsidRPr="000F72EF" w:rsidTr="00216FE2">
        <w:trPr>
          <w:jc w:val="center"/>
        </w:trPr>
        <w:tc>
          <w:tcPr>
            <w:tcW w:w="9455" w:type="dxa"/>
          </w:tcPr>
          <w:p w:rsidR="00155940" w:rsidRPr="000F72EF" w:rsidRDefault="00155940" w:rsidP="00216FE2">
            <w:pPr>
              <w:jc w:val="center"/>
              <w:rPr>
                <w:rFonts w:ascii="Garamond" w:hAnsi="Garamond"/>
                <w:bCs/>
                <w:sz w:val="22"/>
                <w:szCs w:val="22"/>
              </w:rPr>
            </w:pPr>
          </w:p>
        </w:tc>
      </w:tr>
      <w:tr w:rsidR="00155940" w:rsidRPr="000F72EF" w:rsidTr="00216FE2">
        <w:trPr>
          <w:jc w:val="center"/>
        </w:trPr>
        <w:tc>
          <w:tcPr>
            <w:tcW w:w="9455" w:type="dxa"/>
          </w:tcPr>
          <w:p w:rsidR="00155940" w:rsidRPr="000F72EF" w:rsidRDefault="00155940" w:rsidP="00216FE2">
            <w:pPr>
              <w:pStyle w:val="Footer"/>
              <w:tabs>
                <w:tab w:val="clear" w:pos="4536"/>
                <w:tab w:val="clear" w:pos="9072"/>
                <w:tab w:val="left" w:pos="355"/>
                <w:tab w:val="left" w:pos="2410"/>
              </w:tabs>
              <w:jc w:val="center"/>
              <w:rPr>
                <w:rFonts w:ascii="Garamond" w:hAnsi="Garamond"/>
                <w:sz w:val="22"/>
                <w:szCs w:val="22"/>
              </w:rPr>
            </w:pPr>
            <w:r w:rsidRPr="000F72EF">
              <w:rPr>
                <w:rFonts w:ascii="Garamond" w:hAnsi="Garamond"/>
                <w:sz w:val="22"/>
                <w:szCs w:val="22"/>
              </w:rPr>
              <w:t>pozdravljam vse prisotne in prihajajoče.</w:t>
            </w:r>
          </w:p>
          <w:p w:rsidR="00155940" w:rsidRPr="000F72EF"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0F72EF" w:rsidRDefault="00155940" w:rsidP="00216FE2">
            <w:pPr>
              <w:pStyle w:val="Footer"/>
              <w:tabs>
                <w:tab w:val="clear" w:pos="4536"/>
                <w:tab w:val="clear" w:pos="9072"/>
                <w:tab w:val="left" w:pos="355"/>
                <w:tab w:val="left" w:pos="2410"/>
              </w:tabs>
              <w:jc w:val="both"/>
              <w:rPr>
                <w:rFonts w:ascii="Garamond" w:hAnsi="Garamond"/>
                <w:sz w:val="22"/>
                <w:szCs w:val="22"/>
              </w:rPr>
            </w:pPr>
          </w:p>
          <w:p w:rsidR="00155940" w:rsidRPr="000F72EF" w:rsidRDefault="00155940" w:rsidP="00216FE2">
            <w:pPr>
              <w:pStyle w:val="Footer"/>
              <w:tabs>
                <w:tab w:val="clear" w:pos="4536"/>
                <w:tab w:val="clear" w:pos="9072"/>
                <w:tab w:val="left" w:pos="355"/>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ind w:firstLine="214"/>
              <w:rPr>
                <w:rFonts w:ascii="Garamond" w:hAnsi="Garamond"/>
                <w:sz w:val="22"/>
                <w:szCs w:val="22"/>
              </w:rPr>
            </w:pPr>
            <w:r w:rsidRPr="000F72EF">
              <w:rPr>
                <w:rFonts w:ascii="Garamond" w:hAnsi="Garamond"/>
                <w:sz w:val="22"/>
                <w:szCs w:val="22"/>
              </w:rPr>
              <w:t>Ob upoštevanju Direktive 2014/40/EU Evropskega parlamenta in Sveta z dne 3. aprila 2014 o približevanju zakonov in drugih predpisov držav članic o proizvodnji, predstavitvi in prodaji tobačnih in povezanih izdelkov in razveljavitvi Direktive 2001/37/ES, zlasti člena 24;</w:t>
            </w:r>
          </w:p>
        </w:tc>
      </w:tr>
      <w:tr w:rsidR="00155940" w:rsidRPr="000F72EF" w:rsidTr="00216FE2">
        <w:trPr>
          <w:jc w:val="center"/>
        </w:trPr>
        <w:tc>
          <w:tcPr>
            <w:tcW w:w="9455" w:type="dxa"/>
          </w:tcPr>
          <w:p w:rsidR="00155940" w:rsidRPr="000F72EF" w:rsidRDefault="00155940" w:rsidP="00216FE2">
            <w:pPr>
              <w:pStyle w:val="Heading1"/>
              <w:keepNext w:val="0"/>
              <w:jc w:val="left"/>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ind w:firstLine="214"/>
              <w:rPr>
                <w:rFonts w:ascii="Garamond" w:hAnsi="Garamond"/>
                <w:sz w:val="22"/>
                <w:szCs w:val="22"/>
              </w:rPr>
            </w:pPr>
            <w:r w:rsidRPr="000F72EF">
              <w:rPr>
                <w:rFonts w:ascii="Garamond" w:hAnsi="Garamond"/>
                <w:iCs/>
                <w:sz w:val="22"/>
              </w:rPr>
              <w:t>ob upoštevanju Zakona z dne 24. januarja 1977 o varovanju zdravja potrošnikov v zvezi z živili in drugimi proizvodi, zlasti člena 6(1)(a), kakor je bil spremenjen z Zakonom z dne 22. marca 1989, in člena 7(2a)(5), vstavljenega z zakonom z dne XXX;</w:t>
            </w: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ind w:firstLine="214"/>
              <w:rPr>
                <w:rFonts w:ascii="Garamond" w:hAnsi="Garamond"/>
                <w:sz w:val="22"/>
                <w:szCs w:val="22"/>
              </w:rPr>
            </w:pPr>
            <w:r w:rsidRPr="000F72EF">
              <w:rPr>
                <w:rFonts w:ascii="Garamond" w:hAnsi="Garamond"/>
                <w:sz w:val="22"/>
                <w:szCs w:val="22"/>
              </w:rPr>
              <w:t>ob upoštevanju mnenja finančnega inšpektorja z dne xx;</w:t>
            </w:r>
          </w:p>
        </w:tc>
      </w:tr>
      <w:tr w:rsidR="00155940" w:rsidRPr="000F72EF" w:rsidTr="00216FE2">
        <w:trPr>
          <w:jc w:val="center"/>
        </w:trPr>
        <w:tc>
          <w:tcPr>
            <w:tcW w:w="9455" w:type="dxa"/>
          </w:tcPr>
          <w:p w:rsidR="00155940" w:rsidRPr="000F72EF" w:rsidRDefault="00155940" w:rsidP="00216FE2">
            <w:pPr>
              <w:tabs>
                <w:tab w:val="left" w:pos="567"/>
                <w:tab w:val="left" w:pos="2268"/>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ind w:firstLine="214"/>
              <w:rPr>
                <w:rFonts w:ascii="Garamond" w:hAnsi="Garamond"/>
                <w:b/>
                <w:bCs/>
                <w:sz w:val="22"/>
                <w:szCs w:val="22"/>
              </w:rPr>
            </w:pPr>
            <w:r w:rsidRPr="000F72EF">
              <w:rPr>
                <w:rFonts w:ascii="Garamond" w:hAnsi="Garamond"/>
                <w:sz w:val="22"/>
                <w:szCs w:val="22"/>
              </w:rPr>
              <w:t>ob upoštevanju mnenja XXX Državnega sveta z dne xx, podanega na podlagi člena 84(1)(1)(2) zakonov Državnega sveta, usklajenih dne 12. januarja 1973;</w:t>
            </w: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Heading1"/>
              <w:keepNext w:val="0"/>
              <w:tabs>
                <w:tab w:val="clear" w:pos="567"/>
                <w:tab w:val="left" w:pos="355"/>
              </w:tabs>
              <w:ind w:firstLine="214"/>
              <w:rPr>
                <w:rFonts w:ascii="Garamond" w:hAnsi="Garamond"/>
                <w:sz w:val="22"/>
                <w:szCs w:val="22"/>
              </w:rPr>
            </w:pPr>
            <w:r w:rsidRPr="000F72EF">
              <w:rPr>
                <w:rFonts w:ascii="Garamond" w:hAnsi="Garamond"/>
                <w:bCs/>
                <w:sz w:val="22"/>
                <w:szCs w:val="22"/>
              </w:rPr>
              <w:t>na predlog ministra za gospodarstvo, ministrice za javno zdravje in ministra za samozaposlene,</w:t>
            </w: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pStyle w:val="Footer"/>
              <w:tabs>
                <w:tab w:val="clear" w:pos="4536"/>
                <w:tab w:val="clear" w:pos="9072"/>
                <w:tab w:val="left" w:pos="355"/>
                <w:tab w:val="left" w:pos="567"/>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center"/>
              <w:rPr>
                <w:rFonts w:ascii="Garamond" w:hAnsi="Garamond"/>
                <w:sz w:val="22"/>
                <w:szCs w:val="22"/>
              </w:rPr>
            </w:pPr>
            <w:r w:rsidRPr="000F72EF">
              <w:rPr>
                <w:rFonts w:ascii="Garamond" w:hAnsi="Garamond"/>
                <w:sz w:val="22"/>
                <w:szCs w:val="22"/>
              </w:rPr>
              <w:t>ODREJAM NASLEDNJE:</w:t>
            </w:r>
          </w:p>
        </w:tc>
      </w:tr>
      <w:tr w:rsidR="00155940" w:rsidRPr="000F72EF" w:rsidTr="00216FE2">
        <w:trPr>
          <w:jc w:val="center"/>
        </w:trPr>
        <w:tc>
          <w:tcPr>
            <w:tcW w:w="9455" w:type="dxa"/>
          </w:tcPr>
          <w:p w:rsidR="00155940" w:rsidRPr="000F72EF" w:rsidRDefault="00155940" w:rsidP="003E77DF">
            <w:pPr>
              <w:keepNext/>
              <w:tabs>
                <w:tab w:val="left" w:pos="567"/>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sz w:val="22"/>
                <w:szCs w:val="22"/>
              </w:rPr>
            </w:pPr>
            <w:r w:rsidRPr="000F72EF">
              <w:rPr>
                <w:rFonts w:ascii="Garamond" w:hAnsi="Garamond"/>
                <w:b/>
                <w:sz w:val="24"/>
                <w:szCs w:val="24"/>
              </w:rPr>
              <w:t>POGLAVJE 1 – Področje uporabe in opredelitev pojmov</w:t>
            </w:r>
          </w:p>
          <w:p w:rsidR="00155940" w:rsidRPr="000F72EF" w:rsidRDefault="00155940" w:rsidP="003E77DF">
            <w:pPr>
              <w:keepNext/>
              <w:tabs>
                <w:tab w:val="left" w:pos="567"/>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keepNext/>
              <w:tabs>
                <w:tab w:val="left" w:pos="567"/>
                <w:tab w:val="left" w:pos="2410"/>
              </w:tabs>
              <w:rPr>
                <w:rFonts w:ascii="Garamond" w:hAnsi="Garamond"/>
                <w:sz w:val="22"/>
                <w:szCs w:val="22"/>
              </w:rPr>
            </w:pPr>
            <w:r w:rsidRPr="000F72EF">
              <w:rPr>
                <w:rFonts w:ascii="Garamond" w:hAnsi="Garamond"/>
                <w:b/>
                <w:sz w:val="24"/>
                <w:szCs w:val="24"/>
              </w:rPr>
              <w:t>Oddelek 1 – Področje uporabe</w:t>
            </w:r>
          </w:p>
        </w:tc>
      </w:tr>
      <w:tr w:rsidR="00155940" w:rsidRPr="000F72EF" w:rsidTr="00216FE2">
        <w:trPr>
          <w:jc w:val="center"/>
        </w:trPr>
        <w:tc>
          <w:tcPr>
            <w:tcW w:w="9455" w:type="dxa"/>
          </w:tcPr>
          <w:p w:rsidR="00155940" w:rsidRPr="000F72EF" w:rsidRDefault="00155940" w:rsidP="00216FE2">
            <w:pPr>
              <w:tabs>
                <w:tab w:val="left" w:pos="567"/>
                <w:tab w:val="left" w:pos="2410"/>
              </w:tabs>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tabs>
                <w:tab w:val="left" w:pos="2410"/>
              </w:tabs>
              <w:jc w:val="both"/>
              <w:rPr>
                <w:rFonts w:ascii="Garamond" w:hAnsi="Garamond"/>
                <w:b/>
                <w:sz w:val="22"/>
                <w:szCs w:val="22"/>
              </w:rPr>
            </w:pPr>
            <w:r w:rsidRPr="000F72EF">
              <w:rPr>
                <w:rFonts w:ascii="Garamond" w:hAnsi="Garamond"/>
                <w:b/>
                <w:sz w:val="22"/>
                <w:szCs w:val="22"/>
              </w:rPr>
              <w:t xml:space="preserve">Člen 1. </w:t>
            </w:r>
            <w:r w:rsidRPr="000F72EF">
              <w:rPr>
                <w:rFonts w:ascii="Garamond" w:hAnsi="Garamond"/>
                <w:sz w:val="22"/>
                <w:szCs w:val="22"/>
              </w:rPr>
              <w:t>Ta odlok se uporablja za cigarete, tobak za zvijanje, tobak za vodno pipo, cigaretne tulce, cigaretni papir in papir za zvijanje tobaka, v njem pa so določeni barva in elementi na embalaži navedenih izdelkov.</w:t>
            </w:r>
          </w:p>
        </w:tc>
      </w:tr>
      <w:tr w:rsidR="00155940" w:rsidRPr="000F72EF" w:rsidTr="00216FE2">
        <w:trPr>
          <w:jc w:val="center"/>
        </w:trPr>
        <w:tc>
          <w:tcPr>
            <w:tcW w:w="9455" w:type="dxa"/>
          </w:tcPr>
          <w:p w:rsidR="00155940" w:rsidRPr="000F72EF" w:rsidRDefault="00155940" w:rsidP="00216FE2">
            <w:pPr>
              <w:tabs>
                <w:tab w:val="left" w:pos="567"/>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3E77DF">
            <w:pPr>
              <w:keepNext/>
              <w:tabs>
                <w:tab w:val="left" w:pos="2410"/>
              </w:tabs>
              <w:jc w:val="both"/>
              <w:rPr>
                <w:rFonts w:ascii="Garamond" w:hAnsi="Garamond"/>
                <w:sz w:val="22"/>
                <w:szCs w:val="22"/>
              </w:rPr>
            </w:pPr>
            <w:r w:rsidRPr="000F72EF">
              <w:rPr>
                <w:rFonts w:ascii="Garamond" w:hAnsi="Garamond"/>
                <w:b/>
                <w:sz w:val="24"/>
                <w:szCs w:val="24"/>
              </w:rPr>
              <w:t>Oddelek 2 – Opredelitev pojmov</w:t>
            </w:r>
          </w:p>
        </w:tc>
      </w:tr>
      <w:tr w:rsidR="00155940" w:rsidRPr="000F72EF" w:rsidTr="00216FE2">
        <w:trPr>
          <w:jc w:val="center"/>
        </w:trPr>
        <w:tc>
          <w:tcPr>
            <w:tcW w:w="9455" w:type="dxa"/>
          </w:tcPr>
          <w:p w:rsidR="00155940" w:rsidRPr="000F72EF" w:rsidRDefault="00155940" w:rsidP="003E77DF">
            <w:pPr>
              <w:keepNext/>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r w:rsidRPr="000F72EF">
              <w:rPr>
                <w:rFonts w:ascii="Garamond" w:hAnsi="Garamond"/>
                <w:b/>
                <w:sz w:val="22"/>
                <w:szCs w:val="22"/>
              </w:rPr>
              <w:t>Člen 2.</w:t>
            </w:r>
            <w:r w:rsidRPr="000F72EF">
              <w:rPr>
                <w:rFonts w:ascii="Garamond" w:hAnsi="Garamond"/>
                <w:color w:val="000000"/>
                <w:sz w:val="22"/>
                <w:szCs w:val="22"/>
              </w:rPr>
              <w:t xml:space="preserve"> V tem odloku se uporabljajo naslednje opredelitve:</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lastRenderedPageBreak/>
              <w:t xml:space="preserve">1. tobak: tobačni listi in drugi naravni predelani ali nepredelani deli rastline tobaka, vključno z ekspandiranim in rekonstituiranim tobakom;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2. tobačni izdelek: izdelki, ki se lahko uporabijo in so izdelani, čeprav samo delno, iz tobaka, ki je gensko spremenjen ali ne;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3. tobak za zvijanje: tobak, ki ga potrošniki ali trgovci na drobno lahko uporabljajo za izdelavo cigaret;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4. cigareta: zvitek tobaka, pri uporabi katerega poteka postopek zgorevanja in je dodatno opredeljen v členu 5 Zakona z dne 3. aprila 1997 o davčni ureditvi tobačnih izdelkov;</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5. tobak za vodno pipo: tobačni izdelek, ki ga je mogoče uporabljati z vodno pipo. Za namen tega odloka se tobak za pipo šteje za tobak za kajenje. Če se izdelek lahko uporablja kot tobak za vodno pipo in kot tobak za zvijanje, se uvršča med tobak za zvijanje;</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6. zunanja embalaža: vsaka embalaža, v kateri se tobačni izdelki dajejo v promet, vključno z enoto pakiranja ali skupkom enot pakiranja; prozorni dodatni ovoj ne šteje za zunanjo embalažo;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7. enota pakiranja: najmanjša posamezna embalaža tobačnega izdelka, danega na trg;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8. trgovska oznaka: kombinacija največ treh besed za razlikovanje tobačnih izdelkov;</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9. prozoren dodatni ovoj: celofanska embalaža brez barvnega odtenka in/ali brez motiva ali drugega elementa (v nadaljnjem besedilu „dodatni ovoj“);</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10. prodajalec na drobno: katero koli prodajno mesto, kjer se tobačni izdelki dajejo v promet, vključno s fizičnimi osebami;</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11. dajanje na trg: dajanje izdelkov, ne glede na kraj njihove proizvodnje, na voljo potrošnikom v Uniji odplačno ali neodplačno, vključno s čezmejno prodajo na daljavo; pri čezmejni prodaji na daljavo se šteje, da je izdelek dan na trg v državi članici, v kateri se nahaja potrošnik;</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3E77DF">
            <w:pPr>
              <w:tabs>
                <w:tab w:val="left" w:pos="355"/>
                <w:tab w:val="left" w:pos="2410"/>
              </w:tabs>
              <w:jc w:val="both"/>
              <w:rPr>
                <w:rFonts w:ascii="Garamond" w:hAnsi="Garamond"/>
                <w:b/>
                <w:sz w:val="24"/>
                <w:szCs w:val="24"/>
              </w:rPr>
            </w:pPr>
            <w:r w:rsidRPr="000F72EF">
              <w:rPr>
                <w:rFonts w:ascii="Garamond" w:hAnsi="Garamond"/>
                <w:color w:val="000000"/>
                <w:sz w:val="22"/>
                <w:szCs w:val="22"/>
              </w:rPr>
              <w:t>12. minister: minister za javno zdravje.</w:t>
            </w: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sz w:val="24"/>
                <w:szCs w:val="24"/>
              </w:rPr>
            </w:pPr>
            <w:r w:rsidRPr="000F72EF">
              <w:rPr>
                <w:rFonts w:ascii="Garamond" w:hAnsi="Garamond"/>
                <w:b/>
                <w:color w:val="000000"/>
                <w:sz w:val="24"/>
                <w:szCs w:val="24"/>
              </w:rPr>
              <w:t>POGLAVJE 2 – Videz in vsebina enot pakiranja ter zunanje embalaže cigaret, tobaka za zvijanje in tobaka za vodno pipo</w:t>
            </w:r>
          </w:p>
        </w:tc>
      </w:tr>
      <w:tr w:rsidR="00155940" w:rsidRPr="000F72EF" w:rsidTr="00216FE2">
        <w:trPr>
          <w:jc w:val="center"/>
        </w:trPr>
        <w:tc>
          <w:tcPr>
            <w:tcW w:w="9455" w:type="dxa"/>
          </w:tcPr>
          <w:p w:rsidR="00155940" w:rsidRPr="000F72EF" w:rsidRDefault="00155940" w:rsidP="003E77DF">
            <w:pPr>
              <w:keepNext/>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sz w:val="24"/>
                <w:szCs w:val="24"/>
              </w:rPr>
            </w:pPr>
            <w:r w:rsidRPr="000F72EF">
              <w:rPr>
                <w:rFonts w:ascii="Garamond" w:hAnsi="Garamond"/>
                <w:b/>
                <w:color w:val="000000"/>
                <w:sz w:val="24"/>
                <w:szCs w:val="24"/>
              </w:rPr>
              <w:t>Oddelek 1 – Razmerje s kraljevim odlokom z dne 5. februarja 2016</w:t>
            </w:r>
          </w:p>
        </w:tc>
      </w:tr>
      <w:tr w:rsidR="00155940" w:rsidRPr="000F72EF" w:rsidTr="00216FE2">
        <w:trPr>
          <w:jc w:val="center"/>
        </w:trPr>
        <w:tc>
          <w:tcPr>
            <w:tcW w:w="9455" w:type="dxa"/>
          </w:tcPr>
          <w:p w:rsidR="00155940" w:rsidRPr="000F72EF" w:rsidRDefault="00155940" w:rsidP="003E77DF">
            <w:pPr>
              <w:keepNext/>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tabs>
                <w:tab w:val="left" w:pos="355"/>
                <w:tab w:val="left" w:pos="2410"/>
              </w:tabs>
              <w:jc w:val="both"/>
              <w:rPr>
                <w:rFonts w:ascii="Garamond" w:hAnsi="Garamond"/>
                <w:b/>
                <w:sz w:val="24"/>
                <w:szCs w:val="24"/>
              </w:rPr>
            </w:pPr>
            <w:r w:rsidRPr="000F72EF">
              <w:rPr>
                <w:rFonts w:ascii="Garamond" w:hAnsi="Garamond"/>
                <w:b/>
                <w:color w:val="000000"/>
                <w:sz w:val="22"/>
                <w:szCs w:val="22"/>
              </w:rPr>
              <w:t xml:space="preserve">Člen 3. </w:t>
            </w:r>
            <w:r w:rsidRPr="000F72EF">
              <w:rPr>
                <w:rFonts w:ascii="Garamond" w:hAnsi="Garamond"/>
                <w:color w:val="000000"/>
                <w:sz w:val="22"/>
                <w:szCs w:val="22"/>
              </w:rPr>
              <w:t>Enote pakiranja in zunanja embalaža ustrezajo določbam Kraljevega odloka z dne 5. februarja 2016 o proizvodnji in dajanju tobačnih izdelkov na trg.</w:t>
            </w: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sz w:val="24"/>
                <w:szCs w:val="24"/>
              </w:rPr>
            </w:pPr>
            <w:r w:rsidRPr="000F72EF">
              <w:rPr>
                <w:rFonts w:ascii="Garamond" w:hAnsi="Garamond"/>
                <w:b/>
                <w:color w:val="000000"/>
                <w:sz w:val="24"/>
                <w:szCs w:val="24"/>
              </w:rPr>
              <w:t>Oddelek 2 – Splošne določbe</w:t>
            </w:r>
          </w:p>
        </w:tc>
      </w:tr>
      <w:tr w:rsidR="00155940" w:rsidRPr="000F72EF" w:rsidTr="00216FE2">
        <w:trPr>
          <w:jc w:val="center"/>
        </w:trPr>
        <w:tc>
          <w:tcPr>
            <w:tcW w:w="9455" w:type="dxa"/>
          </w:tcPr>
          <w:p w:rsidR="00155940" w:rsidRPr="000F72EF" w:rsidRDefault="00155940" w:rsidP="003E77DF">
            <w:pPr>
              <w:keepNext/>
              <w:tabs>
                <w:tab w:val="left" w:pos="2410"/>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Člen 4.</w:t>
            </w:r>
            <w:r w:rsidRPr="000F72EF">
              <w:rPr>
                <w:rFonts w:ascii="Garamond" w:hAnsi="Garamond"/>
                <w:color w:val="000000"/>
                <w:sz w:val="22"/>
                <w:szCs w:val="22"/>
              </w:rPr>
              <w:t xml:space="preserve"> Odstavek 1. Enote pakiranja in zunanja embalaža so v istem barvnem odtenku. Proizvajalec lahko pri notranjosti enot pakiranja izbira med dvema barvnima odtenkoma.</w:t>
            </w:r>
          </w:p>
          <w:p w:rsidR="000A22E3" w:rsidRPr="000F72EF" w:rsidRDefault="000A22E3" w:rsidP="00216FE2">
            <w:pPr>
              <w:tabs>
                <w:tab w:val="left" w:pos="355"/>
                <w:tab w:val="left" w:pos="2410"/>
              </w:tabs>
              <w:jc w:val="both"/>
              <w:rPr>
                <w:rFonts w:ascii="Garamond" w:hAnsi="Garamond"/>
                <w:color w:val="000000"/>
                <w:sz w:val="22"/>
                <w:szCs w:val="22"/>
              </w:rPr>
            </w:pPr>
          </w:p>
          <w:p w:rsidR="00155940" w:rsidRPr="000F72EF" w:rsidRDefault="00155940" w:rsidP="003E77DF">
            <w:pPr>
              <w:tabs>
                <w:tab w:val="left" w:pos="355"/>
                <w:tab w:val="left" w:pos="2410"/>
              </w:tabs>
              <w:jc w:val="both"/>
              <w:rPr>
                <w:rFonts w:ascii="Garamond" w:hAnsi="Garamond"/>
                <w:b/>
                <w:sz w:val="24"/>
                <w:szCs w:val="24"/>
              </w:rPr>
            </w:pPr>
            <w:r w:rsidRPr="000F72EF">
              <w:rPr>
                <w:rFonts w:ascii="Garamond" w:hAnsi="Garamond"/>
                <w:color w:val="000000"/>
                <w:sz w:val="22"/>
                <w:szCs w:val="22"/>
              </w:rPr>
              <w:t>Odstavek 2. Barvne odtenke določi minister.</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Člen 5.</w:t>
            </w:r>
            <w:r w:rsidRPr="000F72EF">
              <w:rPr>
                <w:rFonts w:ascii="Garamond" w:hAnsi="Garamond"/>
                <w:color w:val="000000"/>
                <w:sz w:val="22"/>
                <w:szCs w:val="22"/>
              </w:rPr>
              <w:t xml:space="preserve"> Odstavek 1. Poleg tobačnega izdelka je lahko v zavojčku samo še ovoj, ki je del embalaže.</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3E77DF">
            <w:pPr>
              <w:tabs>
                <w:tab w:val="left" w:pos="355"/>
                <w:tab w:val="left" w:pos="2410"/>
              </w:tabs>
              <w:jc w:val="both"/>
              <w:rPr>
                <w:rFonts w:ascii="Garamond" w:hAnsi="Garamond"/>
                <w:b/>
                <w:color w:val="000000"/>
                <w:sz w:val="22"/>
                <w:szCs w:val="22"/>
              </w:rPr>
            </w:pPr>
            <w:r w:rsidRPr="000F72EF">
              <w:rPr>
                <w:rFonts w:ascii="Garamond" w:hAnsi="Garamond"/>
                <w:color w:val="000000"/>
                <w:sz w:val="22"/>
                <w:szCs w:val="22"/>
              </w:rPr>
              <w:t>Odstavek 2. Minister določi barvo in značilnosti ovoja.</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Člen 6.</w:t>
            </w:r>
            <w:r w:rsidRPr="000F72EF">
              <w:rPr>
                <w:rFonts w:ascii="Garamond" w:hAnsi="Garamond"/>
                <w:color w:val="000000"/>
                <w:sz w:val="22"/>
                <w:szCs w:val="22"/>
              </w:rPr>
              <w:t xml:space="preserve"> Odstavek 1. Prepovedane so vse tehnike, katerih cilj je vplivati na nevtralnost in enotnost enot pakiranja, zunanje embalaže in dodatnih ovojev, zlasti tiste, katerih namen je enotam dodati posebne značilnosti v smislu zvoka, vonja ali videza.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Minister lahko sestavi seznam glavnih prepovedanih tehnik.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3E77DF">
            <w:pPr>
              <w:tabs>
                <w:tab w:val="left" w:pos="355"/>
                <w:tab w:val="left" w:pos="2410"/>
              </w:tabs>
              <w:jc w:val="both"/>
              <w:rPr>
                <w:rFonts w:ascii="Garamond" w:hAnsi="Garamond"/>
                <w:b/>
                <w:color w:val="000000"/>
                <w:sz w:val="22"/>
                <w:szCs w:val="22"/>
              </w:rPr>
            </w:pPr>
            <w:r w:rsidRPr="000F72EF">
              <w:rPr>
                <w:rFonts w:ascii="Garamond" w:hAnsi="Garamond"/>
                <w:color w:val="000000"/>
                <w:sz w:val="22"/>
                <w:szCs w:val="22"/>
              </w:rPr>
              <w:t>Odstavek 2. Prav tako so prepovedani kakršni koli vložki ali drugi predmeti v enotah pakiranja, zunanji embalaži in dodatnih ovojih.</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 xml:space="preserve">Člen 7. </w:t>
            </w:r>
            <w:r w:rsidRPr="000F72EF">
              <w:rPr>
                <w:rFonts w:ascii="Garamond" w:hAnsi="Garamond"/>
                <w:color w:val="000000"/>
                <w:sz w:val="22"/>
                <w:szCs w:val="22"/>
              </w:rPr>
              <w:t xml:space="preserve">Odstavek 1. Cigaretni papir, cigaretni tulci in papir za zvijanje tobaka so v enem samem barvnem odtenku. Proizvajalec lahko pri ovoju filtra izbira med dvema barvnima odtenkoma.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b/>
                <w:color w:val="000000"/>
                <w:sz w:val="22"/>
                <w:szCs w:val="22"/>
              </w:rPr>
            </w:pPr>
            <w:r w:rsidRPr="000F72EF">
              <w:rPr>
                <w:rFonts w:ascii="Garamond" w:hAnsi="Garamond"/>
                <w:color w:val="000000"/>
                <w:sz w:val="22"/>
                <w:szCs w:val="22"/>
              </w:rPr>
              <w:t>Odstavek 2. Barvne odtenke iz odstavka 1 določi minister.</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Člen 8.</w:t>
            </w:r>
            <w:r w:rsidRPr="000F72EF">
              <w:rPr>
                <w:rFonts w:ascii="Garamond" w:hAnsi="Garamond"/>
                <w:color w:val="000000"/>
                <w:sz w:val="22"/>
                <w:szCs w:val="22"/>
              </w:rPr>
              <w:t xml:space="preserve"> Odstavek 1. Zunanja in notranja površina enot pakiranja, zunanje embalaže in dodatnih ovojev sta gladki, v primeru enot pakiranja ali zunanje embalaže v obliki kvadrov pa gladki in ravni.</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3E77DF">
            <w:pPr>
              <w:tabs>
                <w:tab w:val="left" w:pos="355"/>
                <w:tab w:val="left" w:pos="2410"/>
              </w:tabs>
              <w:jc w:val="both"/>
              <w:rPr>
                <w:rFonts w:ascii="Garamond" w:hAnsi="Garamond"/>
                <w:b/>
                <w:color w:val="000000"/>
                <w:sz w:val="22"/>
                <w:szCs w:val="22"/>
              </w:rPr>
            </w:pPr>
            <w:r w:rsidRPr="000F72EF">
              <w:rPr>
                <w:rFonts w:ascii="Garamond" w:hAnsi="Garamond"/>
                <w:color w:val="000000"/>
                <w:sz w:val="22"/>
                <w:szCs w:val="22"/>
              </w:rPr>
              <w:t>Odstavek 2. Minister lahko določi dodatne značilnosti površin iz odstavka 1.</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r w:rsidRPr="000F72EF">
              <w:rPr>
                <w:rFonts w:ascii="Garamond" w:hAnsi="Garamond"/>
                <w:b/>
                <w:color w:val="000000"/>
                <w:sz w:val="24"/>
                <w:szCs w:val="24"/>
              </w:rPr>
              <w:t>Oddelek 3 – Enote pakiranja tobaka za zvijanje</w:t>
            </w: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 xml:space="preserve">Člen 9. </w:t>
            </w:r>
            <w:r w:rsidRPr="000F72EF">
              <w:rPr>
                <w:rFonts w:ascii="Garamond" w:hAnsi="Garamond"/>
                <w:color w:val="000000"/>
                <w:sz w:val="22"/>
                <w:szCs w:val="22"/>
              </w:rPr>
              <w:t xml:space="preserve">Odstavek 1. Če je enota pakiranja tobaka za zvijanje opremljena z mehanizmom za zapiranje, je ta mehanizem: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1. brez kakršne koli oznake;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2. prozoren in brezbarven.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Oddelek 2. Z odstopanjem od odstavka 1 so dovoljene značilnosti, ki so nujno potrebne za pritrditev ovojnice ali za postopek odpiranja in zapiranja enote pakiranja ali zunanje embalaže.</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Odstavek 3. Posamezna enota pakiranja tobaka za zvijanje cilindrične ali pravokotne oblike lahko vsebuje aluminijasto folijo srebrne barve brez razlik v vzorcu in odtenku ter brez teksture. Ta folija je del notranje embalaže. </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b/>
                <w:color w:val="000000"/>
                <w:sz w:val="22"/>
                <w:szCs w:val="22"/>
              </w:rPr>
            </w:pPr>
            <w:r w:rsidRPr="000F72EF">
              <w:rPr>
                <w:rFonts w:ascii="Garamond" w:hAnsi="Garamond"/>
                <w:color w:val="000000"/>
                <w:sz w:val="22"/>
                <w:szCs w:val="22"/>
              </w:rPr>
              <w:t xml:space="preserve">Odstavek 4. Minister lahko določi značilnosti iz odstavka 2. </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r w:rsidRPr="000F72EF">
              <w:rPr>
                <w:rFonts w:ascii="Garamond" w:hAnsi="Garamond"/>
                <w:b/>
                <w:color w:val="000000"/>
                <w:sz w:val="24"/>
                <w:szCs w:val="24"/>
              </w:rPr>
              <w:t>POGLAVJE 3 – Navedbe na enotah pakiranja</w:t>
            </w: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b/>
                <w:color w:val="000000"/>
                <w:sz w:val="22"/>
                <w:szCs w:val="22"/>
              </w:rPr>
              <w:t>Člen 10.</w:t>
            </w:r>
            <w:r w:rsidRPr="000F72EF">
              <w:rPr>
                <w:rFonts w:ascii="Garamond" w:hAnsi="Garamond"/>
                <w:color w:val="000000"/>
                <w:sz w:val="22"/>
                <w:szCs w:val="22"/>
              </w:rPr>
              <w:t xml:space="preserve"> Odstavek 1. Na enoti pakiranja ali na zunanji embalaži so čitljivo in poenoteno navedeni samo naslednji podatki: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1. ime trgovske oznake;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2. ime, poštni naslov, elektronski naslov in telefonska številka proizvajalca;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3. število cigaret, ki jih vsebuje, ali teža tobaka za zvijanje ali tobaka za vodno pipo v gramih;</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4. davčni žig; </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5. zdravstvena opozorila, določena v Kraljevem odloku z dne 5. februarja 2016 o proizvodnji in dajanju tobačnih izdelkov na trg;</w:t>
            </w: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6. drugi obvezni elementi v skladu s členoma 15 in 16 Direktive 2014/40/EU.</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Odstavek 2. Enote pakiranja in zunanja embalaža imajo lahko črtno kodo.</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Odstavek 3. Trgovska oznaka se ne sme nahajati znotraj enote pakiranja ali znotraj zunanje embalaže.</w:t>
            </w:r>
          </w:p>
          <w:p w:rsidR="00155940" w:rsidRPr="000F72EF" w:rsidRDefault="00155940" w:rsidP="00216FE2">
            <w:pPr>
              <w:tabs>
                <w:tab w:val="left" w:pos="355"/>
                <w:tab w:val="left" w:pos="2410"/>
              </w:tabs>
              <w:jc w:val="both"/>
              <w:rPr>
                <w:rFonts w:ascii="Garamond" w:hAnsi="Garamond"/>
                <w:color w:val="000000"/>
                <w:sz w:val="22"/>
                <w:szCs w:val="22"/>
              </w:rPr>
            </w:pPr>
          </w:p>
          <w:p w:rsidR="00155940" w:rsidRPr="000F72EF" w:rsidRDefault="00155940" w:rsidP="00216FE2">
            <w:pPr>
              <w:tabs>
                <w:tab w:val="left" w:pos="355"/>
                <w:tab w:val="left" w:pos="2410"/>
              </w:tabs>
              <w:jc w:val="both"/>
              <w:rPr>
                <w:rFonts w:ascii="Garamond" w:hAnsi="Garamond"/>
                <w:color w:val="000000"/>
                <w:sz w:val="22"/>
                <w:szCs w:val="22"/>
              </w:rPr>
            </w:pPr>
            <w:r w:rsidRPr="000F72EF">
              <w:rPr>
                <w:rFonts w:ascii="Garamond" w:hAnsi="Garamond"/>
                <w:color w:val="000000"/>
                <w:sz w:val="22"/>
                <w:szCs w:val="22"/>
              </w:rPr>
              <w:t xml:space="preserve">Odstavek 4. Minister določi mesto in postopke tiskanja podatkov, navedenih v odstavkih 1 in 2, na enotah </w:t>
            </w:r>
            <w:r w:rsidRPr="000F72EF">
              <w:rPr>
                <w:rFonts w:ascii="Garamond" w:hAnsi="Garamond"/>
                <w:color w:val="000000"/>
                <w:sz w:val="22"/>
                <w:szCs w:val="22"/>
              </w:rPr>
              <w:lastRenderedPageBreak/>
              <w:t>pakiranja ali zunanji embalaži ter njihove značilnosti.</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r w:rsidRPr="000F72EF">
              <w:rPr>
                <w:rFonts w:ascii="Garamond" w:hAnsi="Garamond"/>
                <w:b/>
                <w:color w:val="000000"/>
                <w:sz w:val="24"/>
                <w:szCs w:val="24"/>
              </w:rPr>
              <w:t>POGLAVJE 4 – Enote pakiranja za cigaretne tulce ali cigaretni papir</w:t>
            </w:r>
          </w:p>
        </w:tc>
      </w:tr>
      <w:tr w:rsidR="00155940" w:rsidRPr="000F72EF" w:rsidTr="00216FE2">
        <w:trPr>
          <w:jc w:val="center"/>
        </w:trPr>
        <w:tc>
          <w:tcPr>
            <w:tcW w:w="9455" w:type="dxa"/>
          </w:tcPr>
          <w:p w:rsidR="00155940" w:rsidRPr="000F72EF" w:rsidRDefault="00155940" w:rsidP="003E77DF">
            <w:pPr>
              <w:keepNext/>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3E77DF">
            <w:pPr>
              <w:tabs>
                <w:tab w:val="left" w:pos="355"/>
                <w:tab w:val="left" w:pos="2410"/>
              </w:tabs>
              <w:jc w:val="both"/>
              <w:rPr>
                <w:rFonts w:ascii="Garamond" w:hAnsi="Garamond"/>
                <w:b/>
                <w:color w:val="000000"/>
                <w:sz w:val="22"/>
                <w:szCs w:val="22"/>
              </w:rPr>
            </w:pPr>
            <w:r w:rsidRPr="000F72EF">
              <w:rPr>
                <w:rFonts w:ascii="Garamond" w:hAnsi="Garamond"/>
                <w:b/>
                <w:color w:val="000000"/>
                <w:sz w:val="22"/>
                <w:szCs w:val="22"/>
              </w:rPr>
              <w:t xml:space="preserve">Člen 11. </w:t>
            </w:r>
            <w:r w:rsidRPr="000F72EF">
              <w:rPr>
                <w:rFonts w:ascii="Garamond" w:hAnsi="Garamond"/>
                <w:color w:val="000000"/>
                <w:sz w:val="22"/>
                <w:szCs w:val="22"/>
              </w:rPr>
              <w:t xml:space="preserve">Členi 4, 5, 6, 8 ter točki 1 in 2 odstavka 1 in odstavki od 2 do 4 člena 10 veljajo za enote pakiranja, ki vsebujejo cigaretne tulce, enote pakiranja, ki vsebujejo papir za zvijanje tobaka, in enote pakiranja, ki vsebujejo filtre, kadar so njihove trgovske oznake predvsem posledica njihovega ugleda kot tobačni izdelek. </w:t>
            </w: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b/>
                <w:color w:val="000000"/>
                <w:sz w:val="22"/>
                <w:szCs w:val="22"/>
              </w:rPr>
            </w:pP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color w:val="000000"/>
                <w:sz w:val="22"/>
                <w:szCs w:val="22"/>
              </w:rPr>
            </w:pPr>
            <w:r w:rsidRPr="000F72EF">
              <w:rPr>
                <w:rFonts w:ascii="Garamond" w:hAnsi="Garamond"/>
                <w:b/>
                <w:sz w:val="24"/>
                <w:szCs w:val="24"/>
              </w:rPr>
              <w:t>POGLAVJE 5 – Končne določbe</w:t>
            </w: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sz w:val="24"/>
                <w:szCs w:val="24"/>
              </w:rPr>
            </w:pP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sz w:val="24"/>
                <w:szCs w:val="24"/>
              </w:rPr>
            </w:pPr>
            <w:r w:rsidRPr="000F72EF">
              <w:rPr>
                <w:rFonts w:ascii="Garamond" w:hAnsi="Garamond"/>
                <w:b/>
                <w:bCs/>
                <w:color w:val="000000"/>
                <w:sz w:val="24"/>
                <w:szCs w:val="24"/>
              </w:rPr>
              <w:t>Oddelek 1 – Kazni</w:t>
            </w: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bCs/>
                <w:color w:val="000000"/>
                <w:sz w:val="24"/>
                <w:szCs w:val="24"/>
              </w:rPr>
            </w:pP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Cs/>
                <w:color w:val="000000"/>
                <w:sz w:val="22"/>
                <w:szCs w:val="22"/>
              </w:rPr>
            </w:pPr>
            <w:r w:rsidRPr="000F72EF">
              <w:rPr>
                <w:rFonts w:ascii="Garamond" w:hAnsi="Garamond"/>
                <w:b/>
                <w:bCs/>
                <w:color w:val="000000"/>
                <w:sz w:val="22"/>
                <w:szCs w:val="22"/>
              </w:rPr>
              <w:t>Člen 12.</w:t>
            </w:r>
            <w:r w:rsidRPr="000F72EF">
              <w:rPr>
                <w:rFonts w:ascii="Garamond" w:hAnsi="Garamond"/>
                <w:bCs/>
                <w:color w:val="000000"/>
                <w:sz w:val="22"/>
                <w:szCs w:val="22"/>
              </w:rPr>
              <w:t xml:space="preserve"> Odstavek 1. Na trg je prepovedano dajati izdelke, ki niso v skladu z določbami tega odloka. Ti izdelki so škodljivi v smislu člena 18 Zakona z dne 24. januarja 1977 o varovanju zdravja potrošnikov v zvezi z živili in drugimi proizvodi.</w:t>
            </w:r>
          </w:p>
          <w:p w:rsidR="00155940" w:rsidRPr="000F72EF" w:rsidRDefault="00155940" w:rsidP="00216FE2">
            <w:pPr>
              <w:tabs>
                <w:tab w:val="left" w:pos="355"/>
                <w:tab w:val="left" w:pos="639"/>
              </w:tabs>
              <w:jc w:val="both"/>
              <w:rPr>
                <w:rFonts w:ascii="Garamond" w:hAnsi="Garamond"/>
                <w:bCs/>
                <w:color w:val="000000"/>
                <w:sz w:val="22"/>
                <w:szCs w:val="22"/>
              </w:rPr>
            </w:pPr>
          </w:p>
          <w:p w:rsidR="00155940" w:rsidRPr="000F72EF" w:rsidRDefault="00155940" w:rsidP="003E77DF">
            <w:pPr>
              <w:tabs>
                <w:tab w:val="left" w:pos="355"/>
                <w:tab w:val="left" w:pos="639"/>
              </w:tabs>
              <w:jc w:val="both"/>
              <w:rPr>
                <w:rFonts w:ascii="Garamond" w:hAnsi="Garamond"/>
                <w:b/>
                <w:bCs/>
                <w:color w:val="000000"/>
                <w:sz w:val="24"/>
                <w:szCs w:val="24"/>
              </w:rPr>
            </w:pPr>
            <w:r w:rsidRPr="000F72EF">
              <w:rPr>
                <w:rFonts w:ascii="Garamond" w:hAnsi="Garamond"/>
                <w:bCs/>
                <w:color w:val="000000"/>
                <w:sz w:val="22"/>
                <w:szCs w:val="22"/>
              </w:rPr>
              <w:t>Oddelek 2. Kršitve določb iz tega odloka se raziskujejo, ugotavljajo, preganjajo in kaznujejo v skladu z določbami zgoraj navedenega zakona z dne 24. januarja 1977.</w:t>
            </w: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
                <w:bCs/>
                <w:color w:val="000000"/>
                <w:sz w:val="24"/>
                <w:szCs w:val="24"/>
              </w:rPr>
            </w:pP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bCs/>
                <w:color w:val="000000"/>
                <w:sz w:val="24"/>
                <w:szCs w:val="24"/>
              </w:rPr>
            </w:pPr>
            <w:r w:rsidRPr="000F72EF">
              <w:rPr>
                <w:rFonts w:ascii="Garamond" w:hAnsi="Garamond"/>
                <w:b/>
                <w:bCs/>
                <w:color w:val="000000"/>
                <w:sz w:val="24"/>
                <w:szCs w:val="24"/>
              </w:rPr>
              <w:t>Oddelek 2 – Začetek veljavnosti</w:t>
            </w: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bCs/>
                <w:color w:val="000000"/>
                <w:sz w:val="24"/>
                <w:szCs w:val="24"/>
              </w:rPr>
            </w:pP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
                <w:bCs/>
                <w:color w:val="000000"/>
                <w:sz w:val="24"/>
                <w:szCs w:val="24"/>
              </w:rPr>
            </w:pPr>
            <w:r w:rsidRPr="000F72EF">
              <w:rPr>
                <w:rFonts w:ascii="Garamond" w:hAnsi="Garamond"/>
                <w:b/>
                <w:sz w:val="22"/>
              </w:rPr>
              <w:t>Člen 13.</w:t>
            </w:r>
            <w:r w:rsidRPr="000F72EF">
              <w:rPr>
                <w:rFonts w:ascii="Garamond" w:hAnsi="Garamond"/>
                <w:sz w:val="22"/>
              </w:rPr>
              <w:t xml:space="preserve"> Ta odlok začne veljati 1. januarja 2020, razen za trgovce na drobno, za katere ta odlok začne veljati 1. januarja 2021. </w:t>
            </w: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
                <w:sz w:val="22"/>
              </w:rPr>
            </w:pP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sz w:val="22"/>
              </w:rPr>
            </w:pPr>
            <w:r w:rsidRPr="000F72EF">
              <w:rPr>
                <w:rFonts w:ascii="Garamond" w:hAnsi="Garamond"/>
                <w:b/>
                <w:bCs/>
                <w:color w:val="000000"/>
                <w:sz w:val="24"/>
                <w:szCs w:val="24"/>
              </w:rPr>
              <w:t>Oddelek 3 – Izvajanje</w:t>
            </w:r>
          </w:p>
        </w:tc>
      </w:tr>
      <w:tr w:rsidR="00155940" w:rsidRPr="000F72EF" w:rsidTr="00216FE2">
        <w:trPr>
          <w:jc w:val="center"/>
        </w:trPr>
        <w:tc>
          <w:tcPr>
            <w:tcW w:w="9455" w:type="dxa"/>
          </w:tcPr>
          <w:p w:rsidR="00155940" w:rsidRPr="000F72EF" w:rsidRDefault="00155940" w:rsidP="003E77DF">
            <w:pPr>
              <w:keepNext/>
              <w:tabs>
                <w:tab w:val="left" w:pos="355"/>
                <w:tab w:val="left" w:pos="639"/>
              </w:tabs>
              <w:jc w:val="both"/>
              <w:rPr>
                <w:rFonts w:ascii="Garamond" w:hAnsi="Garamond"/>
                <w:b/>
                <w:sz w:val="22"/>
              </w:rPr>
            </w:pPr>
          </w:p>
        </w:tc>
      </w:tr>
      <w:tr w:rsidR="00155940" w:rsidRPr="000F72EF" w:rsidTr="00216FE2">
        <w:trPr>
          <w:jc w:val="center"/>
        </w:trPr>
        <w:tc>
          <w:tcPr>
            <w:tcW w:w="9455" w:type="dxa"/>
          </w:tcPr>
          <w:p w:rsidR="00155940" w:rsidRPr="000F72EF" w:rsidRDefault="00155940" w:rsidP="003E77DF">
            <w:pPr>
              <w:tabs>
                <w:tab w:val="left" w:pos="355"/>
                <w:tab w:val="left" w:pos="639"/>
              </w:tabs>
              <w:jc w:val="both"/>
              <w:rPr>
                <w:rFonts w:ascii="Garamond" w:hAnsi="Garamond"/>
                <w:b/>
                <w:sz w:val="22"/>
              </w:rPr>
            </w:pPr>
            <w:r w:rsidRPr="000F72EF">
              <w:rPr>
                <w:rFonts w:ascii="Garamond" w:hAnsi="Garamond"/>
                <w:b/>
                <w:sz w:val="22"/>
              </w:rPr>
              <w:t>Člen 14.</w:t>
            </w:r>
            <w:r w:rsidRPr="000F72EF">
              <w:rPr>
                <w:rFonts w:ascii="Garamond" w:hAnsi="Garamond"/>
                <w:sz w:val="22"/>
              </w:rPr>
              <w:t xml:space="preserve"> Minister, ki je pristojen za javno zdravje, je odgovoren za izvajanje tega odloka.</w:t>
            </w: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
                <w:sz w:val="22"/>
              </w:rPr>
            </w:pPr>
          </w:p>
        </w:tc>
      </w:tr>
      <w:tr w:rsidR="00155940" w:rsidRPr="000F72EF" w:rsidTr="00216FE2">
        <w:trPr>
          <w:jc w:val="center"/>
        </w:trPr>
        <w:tc>
          <w:tcPr>
            <w:tcW w:w="9455" w:type="dxa"/>
          </w:tcPr>
          <w:p w:rsidR="00155940" w:rsidRPr="000F72EF" w:rsidRDefault="00155940" w:rsidP="00216FE2">
            <w:pPr>
              <w:tabs>
                <w:tab w:val="left" w:pos="355"/>
                <w:tab w:val="left" w:pos="639"/>
              </w:tabs>
              <w:jc w:val="both"/>
              <w:rPr>
                <w:rFonts w:ascii="Garamond" w:hAnsi="Garamond"/>
                <w:bCs/>
                <w:color w:val="000000"/>
                <w:sz w:val="22"/>
                <w:szCs w:val="22"/>
              </w:rPr>
            </w:pPr>
          </w:p>
          <w:p w:rsidR="00155940" w:rsidRPr="000F72EF" w:rsidRDefault="00155940" w:rsidP="00216FE2">
            <w:pPr>
              <w:tabs>
                <w:tab w:val="left" w:pos="355"/>
                <w:tab w:val="left" w:pos="639"/>
              </w:tabs>
              <w:jc w:val="both"/>
              <w:rPr>
                <w:rFonts w:ascii="Garamond" w:hAnsi="Garamond"/>
                <w:b/>
                <w:bCs/>
                <w:sz w:val="22"/>
                <w:szCs w:val="22"/>
              </w:rPr>
            </w:pPr>
          </w:p>
        </w:tc>
      </w:tr>
      <w:tr w:rsidR="00155940" w:rsidRPr="000F72EF" w:rsidTr="00216FE2">
        <w:trPr>
          <w:jc w:val="center"/>
        </w:trPr>
        <w:tc>
          <w:tcPr>
            <w:tcW w:w="9455" w:type="dxa"/>
          </w:tcPr>
          <w:p w:rsidR="00155940" w:rsidRPr="000F72EF" w:rsidRDefault="00155940" w:rsidP="00216FE2">
            <w:pPr>
              <w:tabs>
                <w:tab w:val="left" w:pos="355"/>
                <w:tab w:val="left" w:pos="2410"/>
              </w:tabs>
              <w:jc w:val="both"/>
              <w:rPr>
                <w:rFonts w:ascii="Garamond" w:hAnsi="Garamond"/>
                <w:color w:val="000000"/>
                <w:sz w:val="22"/>
                <w:szCs w:val="22"/>
              </w:rPr>
            </w:pPr>
          </w:p>
        </w:tc>
      </w:tr>
      <w:tr w:rsidR="00155940" w:rsidRPr="000F72EF" w:rsidTr="00216FE2">
        <w:trPr>
          <w:jc w:val="center"/>
        </w:trPr>
        <w:tc>
          <w:tcPr>
            <w:tcW w:w="9455" w:type="dxa"/>
          </w:tcPr>
          <w:p w:rsidR="00155940" w:rsidRPr="000F72EF" w:rsidRDefault="00155940" w:rsidP="00216FE2">
            <w:pPr>
              <w:tabs>
                <w:tab w:val="left" w:pos="356"/>
                <w:tab w:val="left" w:pos="2410"/>
              </w:tabs>
              <w:jc w:val="both"/>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356"/>
                <w:tab w:val="left" w:pos="2410"/>
              </w:tabs>
              <w:jc w:val="both"/>
              <w:rPr>
                <w:rFonts w:ascii="Garamond" w:hAnsi="Garamond"/>
                <w:sz w:val="22"/>
                <w:szCs w:val="22"/>
              </w:rPr>
            </w:pPr>
            <w:r w:rsidRPr="000F72EF">
              <w:rPr>
                <w:rFonts w:ascii="Garamond" w:hAnsi="Garamond"/>
                <w:sz w:val="22"/>
                <w:szCs w:val="22"/>
              </w:rPr>
              <w:t xml:space="preserve">V , </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D24F58" w:rsidP="00216FE2">
            <w:pPr>
              <w:tabs>
                <w:tab w:val="left" w:pos="2410"/>
              </w:tabs>
              <w:jc w:val="center"/>
              <w:rPr>
                <w:rFonts w:ascii="Garamond" w:hAnsi="Garamond"/>
                <w:sz w:val="22"/>
                <w:szCs w:val="22"/>
              </w:rPr>
            </w:pPr>
            <w:r>
              <w:rPr>
                <w:rFonts w:ascii="Garamond" w:hAnsi="Garamond"/>
                <w:sz w:val="22"/>
                <w:szCs w:val="22"/>
              </w:rPr>
              <w:t>Za k</w:t>
            </w:r>
            <w:r w:rsidR="00155940" w:rsidRPr="000F72EF">
              <w:rPr>
                <w:rFonts w:ascii="Garamond" w:hAnsi="Garamond"/>
                <w:sz w:val="22"/>
                <w:szCs w:val="22"/>
              </w:rPr>
              <w:t>ralja:</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D24F58" w:rsidP="00216FE2">
            <w:pPr>
              <w:tabs>
                <w:tab w:val="left" w:pos="2410"/>
              </w:tabs>
              <w:jc w:val="center"/>
              <w:rPr>
                <w:rFonts w:ascii="Garamond" w:hAnsi="Garamond"/>
                <w:sz w:val="22"/>
                <w:szCs w:val="22"/>
                <w:u w:val="single"/>
              </w:rPr>
            </w:pPr>
            <w:r>
              <w:rPr>
                <w:rFonts w:ascii="Garamond" w:hAnsi="Garamond"/>
                <w:bCs/>
                <w:sz w:val="22"/>
                <w:szCs w:val="22"/>
              </w:rPr>
              <w:t>m</w:t>
            </w:r>
            <w:r w:rsidR="00155940" w:rsidRPr="000F72EF">
              <w:rPr>
                <w:rFonts w:ascii="Garamond" w:hAnsi="Garamond"/>
                <w:bCs/>
                <w:sz w:val="22"/>
                <w:szCs w:val="22"/>
              </w:rPr>
              <w:t>inistrica za javno zdravje,</w:t>
            </w: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r w:rsidRPr="000F72EF">
              <w:rPr>
                <w:rFonts w:ascii="Garamond" w:hAnsi="Garamond"/>
                <w:sz w:val="22"/>
                <w:szCs w:val="22"/>
              </w:rPr>
              <w:t>Maggie DE BLOCK</w:t>
            </w:r>
          </w:p>
        </w:tc>
      </w:tr>
      <w:tr w:rsidR="00155940" w:rsidRPr="000F72EF" w:rsidTr="00216FE2">
        <w:trPr>
          <w:jc w:val="center"/>
        </w:trPr>
        <w:tc>
          <w:tcPr>
            <w:tcW w:w="9455" w:type="dxa"/>
          </w:tcPr>
          <w:p w:rsidR="00155940" w:rsidRPr="000F72EF" w:rsidRDefault="00155940" w:rsidP="00216FE2">
            <w:pPr>
              <w:tabs>
                <w:tab w:val="left" w:pos="2410"/>
              </w:tabs>
              <w:jc w:val="both"/>
              <w:rPr>
                <w:rFonts w:ascii="Garamond" w:hAnsi="Garamond"/>
                <w:sz w:val="22"/>
                <w:szCs w:val="22"/>
                <w:u w:val="single"/>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p w:rsidR="00155940" w:rsidRPr="000F72EF" w:rsidRDefault="00155940" w:rsidP="00216FE2">
            <w:pPr>
              <w:tabs>
                <w:tab w:val="left" w:pos="2410"/>
              </w:tabs>
              <w:jc w:val="center"/>
              <w:rPr>
                <w:rFonts w:ascii="Garamond" w:hAnsi="Garamond" w:cs="Arial"/>
                <w:bCs/>
                <w:sz w:val="22"/>
                <w:szCs w:val="22"/>
              </w:rPr>
            </w:pPr>
          </w:p>
        </w:tc>
      </w:tr>
      <w:tr w:rsidR="00155940" w:rsidRPr="000F72EF"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0F72EF" w:rsidTr="002033ED">
              <w:trPr>
                <w:trHeight w:val="220"/>
                <w:jc w:val="center"/>
              </w:trPr>
              <w:tc>
                <w:tcPr>
                  <w:tcW w:w="9412" w:type="dxa"/>
                </w:tcPr>
                <w:p w:rsidR="00155940" w:rsidRPr="000F72EF" w:rsidRDefault="00D24F58" w:rsidP="00216FE2">
                  <w:pPr>
                    <w:jc w:val="center"/>
                    <w:rPr>
                      <w:rFonts w:ascii="Garamond" w:hAnsi="Garamond"/>
                      <w:sz w:val="22"/>
                    </w:rPr>
                  </w:pPr>
                  <w:r>
                    <w:rPr>
                      <w:rFonts w:ascii="Garamond" w:hAnsi="Garamond"/>
                      <w:sz w:val="22"/>
                    </w:rPr>
                    <w:t>m</w:t>
                  </w:r>
                  <w:r w:rsidR="00155940" w:rsidRPr="000F72EF">
                    <w:rPr>
                      <w:rFonts w:ascii="Garamond" w:hAnsi="Garamond"/>
                      <w:sz w:val="22"/>
                    </w:rPr>
                    <w:t>inister za gospodarstvo,</w:t>
                  </w:r>
                </w:p>
              </w:tc>
            </w:tr>
            <w:tr w:rsidR="00155940" w:rsidRPr="000F72EF" w:rsidTr="002033ED">
              <w:trPr>
                <w:trHeight w:val="220"/>
                <w:jc w:val="center"/>
              </w:trPr>
              <w:tc>
                <w:tcPr>
                  <w:tcW w:w="9412" w:type="dxa"/>
                </w:tcPr>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p w:rsidR="00155940" w:rsidRPr="000F72EF" w:rsidRDefault="00155940" w:rsidP="00216FE2">
                  <w:pPr>
                    <w:rPr>
                      <w:rFonts w:ascii="Garamond" w:hAnsi="Garamond"/>
                      <w:sz w:val="22"/>
                    </w:rPr>
                  </w:pPr>
                </w:p>
              </w:tc>
            </w:tr>
            <w:tr w:rsidR="00155940" w:rsidRPr="000F72EF" w:rsidTr="002033ED">
              <w:trPr>
                <w:trHeight w:val="220"/>
                <w:jc w:val="center"/>
              </w:trPr>
              <w:tc>
                <w:tcPr>
                  <w:tcW w:w="9412" w:type="dxa"/>
                </w:tcPr>
                <w:p w:rsidR="00155940" w:rsidRPr="000F72EF" w:rsidRDefault="00155940" w:rsidP="00216FE2">
                  <w:pPr>
                    <w:jc w:val="center"/>
                    <w:rPr>
                      <w:rFonts w:ascii="Garamond" w:hAnsi="Garamond"/>
                      <w:sz w:val="22"/>
                    </w:rPr>
                  </w:pPr>
                  <w:r w:rsidRPr="000F72EF">
                    <w:rPr>
                      <w:rFonts w:ascii="Garamond" w:hAnsi="Garamond"/>
                      <w:sz w:val="22"/>
                    </w:rPr>
                    <w:t>Kris PEETERS</w:t>
                  </w: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jc w:val="center"/>
                    <w:rPr>
                      <w:rFonts w:ascii="Garamond" w:hAnsi="Garamond"/>
                      <w:sz w:val="22"/>
                    </w:rPr>
                  </w:pPr>
                </w:p>
                <w:p w:rsidR="00155940" w:rsidRPr="000F72EF" w:rsidRDefault="00155940" w:rsidP="00216FE2">
                  <w:pPr>
                    <w:rPr>
                      <w:rFonts w:ascii="Garamond" w:hAnsi="Garamond"/>
                      <w:sz w:val="22"/>
                    </w:rPr>
                  </w:pPr>
                </w:p>
              </w:tc>
            </w:tr>
            <w:tr w:rsidR="00155940" w:rsidRPr="000F72EF" w:rsidTr="002033ED">
              <w:trPr>
                <w:trHeight w:val="220"/>
                <w:jc w:val="center"/>
              </w:trPr>
              <w:tc>
                <w:tcPr>
                  <w:tcW w:w="9412" w:type="dxa"/>
                </w:tcPr>
                <w:p w:rsidR="00155940" w:rsidRPr="000F72EF" w:rsidRDefault="00155940" w:rsidP="00216FE2">
                  <w:pPr>
                    <w:rPr>
                      <w:rFonts w:ascii="Garamond" w:hAnsi="Garamond"/>
                      <w:sz w:val="22"/>
                    </w:rPr>
                  </w:pPr>
                </w:p>
              </w:tc>
            </w:tr>
            <w:tr w:rsidR="00155940" w:rsidRPr="000F72EF" w:rsidTr="002033ED">
              <w:trPr>
                <w:trHeight w:val="220"/>
                <w:jc w:val="center"/>
              </w:trPr>
              <w:tc>
                <w:tcPr>
                  <w:tcW w:w="9412" w:type="dxa"/>
                </w:tcPr>
                <w:p w:rsidR="00155940" w:rsidRPr="000F72EF" w:rsidRDefault="00942B18" w:rsidP="00216FE2">
                  <w:pPr>
                    <w:pStyle w:val="BodyText"/>
                    <w:jc w:val="center"/>
                    <w:rPr>
                      <w:rFonts w:ascii="Garamond" w:hAnsi="Garamond"/>
                    </w:rPr>
                  </w:pPr>
                  <w:r>
                    <w:rPr>
                      <w:rFonts w:ascii="Garamond" w:hAnsi="Garamond"/>
                    </w:rPr>
                    <w:t>m</w:t>
                  </w:r>
                  <w:r w:rsidR="00155940" w:rsidRPr="000F72EF">
                    <w:rPr>
                      <w:rFonts w:ascii="Garamond" w:hAnsi="Garamond"/>
                    </w:rPr>
                    <w:t>inister za samozaposlene,</w:t>
                  </w:r>
                </w:p>
              </w:tc>
            </w:tr>
            <w:tr w:rsidR="00155940" w:rsidRPr="000F72EF" w:rsidTr="002033ED">
              <w:trPr>
                <w:trHeight w:val="220"/>
                <w:jc w:val="center"/>
              </w:trPr>
              <w:tc>
                <w:tcPr>
                  <w:tcW w:w="9412" w:type="dxa"/>
                </w:tcPr>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pStyle w:val="BodyText"/>
                    <w:jc w:val="left"/>
                    <w:rPr>
                      <w:rFonts w:ascii="Garamond" w:hAnsi="Garamond"/>
                    </w:rPr>
                  </w:pPr>
                </w:p>
                <w:p w:rsidR="00155940" w:rsidRPr="000F72EF" w:rsidRDefault="00155940" w:rsidP="00216FE2">
                  <w:pPr>
                    <w:rPr>
                      <w:rFonts w:ascii="Garamond" w:hAnsi="Garamond"/>
                      <w:sz w:val="22"/>
                    </w:rPr>
                  </w:pPr>
                </w:p>
              </w:tc>
            </w:tr>
            <w:tr w:rsidR="00155940" w:rsidRPr="000F72EF" w:rsidTr="002033ED">
              <w:trPr>
                <w:trHeight w:val="220"/>
                <w:jc w:val="center"/>
              </w:trPr>
              <w:tc>
                <w:tcPr>
                  <w:tcW w:w="9412" w:type="dxa"/>
                </w:tcPr>
                <w:p w:rsidR="00155940" w:rsidRPr="000F72EF" w:rsidRDefault="00155940" w:rsidP="00216FE2">
                  <w:pPr>
                    <w:jc w:val="center"/>
                    <w:rPr>
                      <w:rFonts w:ascii="Garamond" w:hAnsi="Garamond"/>
                      <w:sz w:val="22"/>
                    </w:rPr>
                  </w:pPr>
                  <w:r w:rsidRPr="000F72EF">
                    <w:rPr>
                      <w:rFonts w:ascii="Garamond" w:hAnsi="Garamond"/>
                      <w:sz w:val="22"/>
                    </w:rPr>
                    <w:lastRenderedPageBreak/>
                    <w:t>Denis DUCARME</w:t>
                  </w:r>
                </w:p>
              </w:tc>
            </w:tr>
          </w:tbl>
          <w:p w:rsidR="00155940" w:rsidRPr="000F72EF" w:rsidRDefault="00155940" w:rsidP="00216FE2">
            <w:pPr>
              <w:tabs>
                <w:tab w:val="left" w:pos="2410"/>
              </w:tabs>
              <w:jc w:val="center"/>
              <w:rPr>
                <w:rFonts w:ascii="Garamond" w:hAnsi="Garamond" w:cs="Arial"/>
                <w:bCs/>
                <w:sz w:val="22"/>
                <w:szCs w:val="22"/>
              </w:rPr>
            </w:pPr>
          </w:p>
        </w:tc>
      </w:tr>
    </w:tbl>
    <w:p w:rsidR="00762BEB" w:rsidRPr="000F72EF" w:rsidRDefault="00762BEB"/>
    <w:sectPr w:rsidR="00762BEB" w:rsidRPr="000F72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ABC" w:rsidRDefault="00707ABC" w:rsidP="007E4691">
      <w:r>
        <w:separator/>
      </w:r>
    </w:p>
  </w:endnote>
  <w:endnote w:type="continuationSeparator" w:id="0">
    <w:p w:rsidR="00707ABC" w:rsidRDefault="00707ABC"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ABC" w:rsidRDefault="00707ABC" w:rsidP="007E4691">
      <w:r>
        <w:separator/>
      </w:r>
    </w:p>
  </w:footnote>
  <w:footnote w:type="continuationSeparator" w:id="0">
    <w:p w:rsidR="00707ABC" w:rsidRDefault="00707ABC"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0F72EF"/>
    <w:rsid w:val="00155940"/>
    <w:rsid w:val="00216FE2"/>
    <w:rsid w:val="003C2089"/>
    <w:rsid w:val="003E77DF"/>
    <w:rsid w:val="00596223"/>
    <w:rsid w:val="0067340B"/>
    <w:rsid w:val="00707ABC"/>
    <w:rsid w:val="00762BEB"/>
    <w:rsid w:val="007E4691"/>
    <w:rsid w:val="00942B18"/>
    <w:rsid w:val="00B548DA"/>
    <w:rsid w:val="00D24F58"/>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114BE-27E0-4BA5-B1E5-E578BBD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sl-SI" w:eastAsia="nl-NL"/>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sl-SI" w:eastAsia="nl-NL"/>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sl-SI" w:eastAsia="nl-NL"/>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sl-SI" w:eastAsia="nl-NL"/>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sl-SI"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1224</Words>
  <Characters>6979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SPF/FOD Economie</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Ke, Tingting</cp:lastModifiedBy>
  <cp:revision>5</cp:revision>
  <dcterms:created xsi:type="dcterms:W3CDTF">2018-09-12T12:03:00Z</dcterms:created>
  <dcterms:modified xsi:type="dcterms:W3CDTF">2018-09-17T12:29:00Z</dcterms:modified>
</cp:coreProperties>
</file>