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8D2F" w14:textId="4A9262B9" w:rsidR="00933EA2" w:rsidRPr="002D1769" w:rsidRDefault="00933EA2" w:rsidP="00933EA2">
      <w:pPr>
        <w:rPr>
          <w:rFonts w:ascii="Courier New" w:hAnsi="Courier New" w:cs="Courier New"/>
          <w:sz w:val="20"/>
        </w:rPr>
      </w:pPr>
      <w:r w:rsidRPr="002D1769">
        <w:rPr>
          <w:rFonts w:ascii="Courier New" w:hAnsi="Courier New"/>
          <w:sz w:val="20"/>
        </w:rPr>
        <w:t>1. ------IND- 2019 0632 F-</w:t>
      </w:r>
      <w:r w:rsidR="00CC2943">
        <w:rPr>
          <w:rFonts w:ascii="Courier New" w:hAnsi="Courier New"/>
          <w:sz w:val="20"/>
        </w:rPr>
        <w:t>-</w:t>
      </w:r>
      <w:r w:rsidRPr="002D1769">
        <w:rPr>
          <w:rFonts w:ascii="Courier New" w:hAnsi="Courier New"/>
          <w:sz w:val="20"/>
        </w:rPr>
        <w:t xml:space="preserve"> DA-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14:paraId="7C8CC528" w14:textId="77777777" w:rsidTr="00B86A8C">
        <w:trPr>
          <w:cantSplit/>
        </w:trPr>
        <w:tc>
          <w:tcPr>
            <w:tcW w:w="3982" w:type="dxa"/>
            <w:gridSpan w:val="3"/>
          </w:tcPr>
          <w:p w14:paraId="1717866D" w14:textId="77777777" w:rsidR="00045126" w:rsidRPr="00933EA2" w:rsidRDefault="00045126" w:rsidP="00933EA2">
            <w:pPr>
              <w:pStyle w:val="SNREPUBLIQUE"/>
            </w:pPr>
            <w:r>
              <w:t>DEN FRANSKE REPUBLIK</w:t>
            </w:r>
          </w:p>
        </w:tc>
      </w:tr>
      <w:tr w:rsidR="0091270F" w14:paraId="50F03A9B" w14:textId="77777777" w:rsidTr="00B86A8C">
        <w:trPr>
          <w:cantSplit/>
          <w:trHeight w:hRule="exact" w:val="113"/>
        </w:trPr>
        <w:tc>
          <w:tcPr>
            <w:tcW w:w="1527" w:type="dxa"/>
          </w:tcPr>
          <w:p w14:paraId="3F748D43" w14:textId="77777777" w:rsidR="00045126" w:rsidRPr="00933EA2" w:rsidRDefault="00045126" w:rsidP="00933EA2"/>
        </w:tc>
        <w:tc>
          <w:tcPr>
            <w:tcW w:w="968" w:type="dxa"/>
          </w:tcPr>
          <w:p w14:paraId="755C1562" w14:textId="77777777" w:rsidR="00045126" w:rsidRPr="00933EA2" w:rsidRDefault="00045126" w:rsidP="00933EA2"/>
        </w:tc>
        <w:tc>
          <w:tcPr>
            <w:tcW w:w="1487" w:type="dxa"/>
          </w:tcPr>
          <w:p w14:paraId="68AD4CD5" w14:textId="77777777" w:rsidR="00045126" w:rsidRPr="00933EA2" w:rsidRDefault="00045126" w:rsidP="00933EA2"/>
        </w:tc>
      </w:tr>
      <w:tr w:rsidR="00045126" w:rsidRPr="00933EA2" w14:paraId="383AF8A9" w14:textId="77777777" w:rsidTr="00B86A8C">
        <w:trPr>
          <w:cantSplit/>
        </w:trPr>
        <w:tc>
          <w:tcPr>
            <w:tcW w:w="3982" w:type="dxa"/>
            <w:gridSpan w:val="3"/>
          </w:tcPr>
          <w:p w14:paraId="75B4E826" w14:textId="77777777" w:rsidR="00045126" w:rsidRPr="00933EA2" w:rsidRDefault="00045126" w:rsidP="00933EA2">
            <w:pPr>
              <w:pStyle w:val="SNTimbre"/>
              <w:widowControl/>
            </w:pPr>
            <w:r>
              <w:t>Ministeriet for offentlig indsats og statsrevision</w:t>
            </w:r>
          </w:p>
        </w:tc>
      </w:tr>
      <w:tr w:rsidR="0091270F" w14:paraId="024172B3" w14:textId="77777777" w:rsidTr="00B86A8C">
        <w:trPr>
          <w:cantSplit/>
          <w:trHeight w:hRule="exact" w:val="227"/>
        </w:trPr>
        <w:tc>
          <w:tcPr>
            <w:tcW w:w="1527" w:type="dxa"/>
          </w:tcPr>
          <w:p w14:paraId="496232CD" w14:textId="77777777" w:rsidR="00045126" w:rsidRPr="00933EA2" w:rsidRDefault="00045126" w:rsidP="00933EA2"/>
        </w:tc>
        <w:tc>
          <w:tcPr>
            <w:tcW w:w="968" w:type="dxa"/>
          </w:tcPr>
          <w:p w14:paraId="5743C048" w14:textId="77777777" w:rsidR="00045126" w:rsidRPr="00933EA2" w:rsidRDefault="00045126" w:rsidP="00933EA2"/>
        </w:tc>
        <w:tc>
          <w:tcPr>
            <w:tcW w:w="1487" w:type="dxa"/>
          </w:tcPr>
          <w:p w14:paraId="5D3473E1" w14:textId="77777777" w:rsidR="00045126" w:rsidRPr="00933EA2" w:rsidRDefault="00045126" w:rsidP="00933EA2"/>
        </w:tc>
      </w:tr>
      <w:tr w:rsidR="00045126" w:rsidRPr="00933EA2" w14:paraId="4B4D343E" w14:textId="77777777" w:rsidTr="00B86A8C">
        <w:trPr>
          <w:cantSplit/>
          <w:trHeight w:hRule="exact" w:val="227"/>
        </w:trPr>
        <w:tc>
          <w:tcPr>
            <w:tcW w:w="1527" w:type="dxa"/>
          </w:tcPr>
          <w:p w14:paraId="1A5B03E9" w14:textId="77777777" w:rsidR="00045126" w:rsidRPr="00933EA2" w:rsidRDefault="00045126" w:rsidP="00933EA2"/>
        </w:tc>
        <w:tc>
          <w:tcPr>
            <w:tcW w:w="968" w:type="dxa"/>
          </w:tcPr>
          <w:p w14:paraId="30B1D291" w14:textId="77777777" w:rsidR="00045126" w:rsidRPr="00933EA2" w:rsidRDefault="00045126" w:rsidP="00933EA2"/>
        </w:tc>
        <w:tc>
          <w:tcPr>
            <w:tcW w:w="1487" w:type="dxa"/>
          </w:tcPr>
          <w:p w14:paraId="30E7E51C" w14:textId="77777777" w:rsidR="00045126" w:rsidRPr="00933EA2" w:rsidRDefault="00045126" w:rsidP="00933EA2"/>
        </w:tc>
      </w:tr>
    </w:tbl>
    <w:p w14:paraId="6BDA1CE4" w14:textId="77777777" w:rsidR="00045126" w:rsidRPr="00933EA2" w:rsidRDefault="00045126" w:rsidP="00933EA2">
      <w:pPr>
        <w:pStyle w:val="SNNature"/>
        <w:keepNext/>
        <w:keepLines/>
        <w:widowControl/>
      </w:pPr>
      <w:r>
        <w:t xml:space="preserve">Udkast til dekret om den franske spillemyndigheds reguleringsregler </w:t>
      </w:r>
    </w:p>
    <w:p w14:paraId="29934606" w14:textId="77777777" w:rsidR="00045126" w:rsidRPr="00933EA2" w:rsidRDefault="00045126" w:rsidP="00933EA2">
      <w:pPr>
        <w:pStyle w:val="SNNORCentr"/>
        <w:keepNext/>
        <w:keepLines/>
      </w:pPr>
      <w:r>
        <w:t>NOR: CPAB1930945D</w:t>
      </w:r>
    </w:p>
    <w:p w14:paraId="11F21CF0" w14:textId="4B47273D" w:rsidR="00045126" w:rsidRPr="00933EA2" w:rsidRDefault="00045126" w:rsidP="00933EA2">
      <w:pPr>
        <w:pStyle w:val="SNAutorit"/>
        <w:keepNext/>
        <w:keepLines/>
        <w:jc w:val="both"/>
        <w:rPr>
          <w:b w:val="0"/>
          <w:i/>
        </w:rPr>
      </w:pPr>
      <w:r>
        <w:rPr>
          <w:i/>
        </w:rPr>
        <w:t xml:space="preserve">Berørte grupper: </w:t>
      </w:r>
      <w:r>
        <w:rPr>
          <w:b w:val="0"/>
          <w:i/>
        </w:rPr>
        <w:t xml:space="preserve">den franske spillemyndighed (ANJ), udbydere af spil og væddemål på nettet, det franske spilleselskab La Française des jeux. </w:t>
      </w:r>
    </w:p>
    <w:p w14:paraId="104CE4FA" w14:textId="714CD7D5" w:rsidR="00045126" w:rsidRPr="00933EA2" w:rsidRDefault="00045126" w:rsidP="00933EA2">
      <w:pPr>
        <w:pStyle w:val="SNAutorit"/>
        <w:spacing w:before="120"/>
        <w:jc w:val="both"/>
        <w:rPr>
          <w:b w:val="0"/>
          <w:i/>
        </w:rPr>
      </w:pPr>
      <w:r>
        <w:rPr>
          <w:i/>
        </w:rPr>
        <w:t xml:space="preserve">Emne: </w:t>
      </w:r>
      <w:r>
        <w:rPr>
          <w:b w:val="0"/>
          <w:i/>
        </w:rPr>
        <w:t>den franske spillemyndigheds reguleringsregler.</w:t>
      </w:r>
    </w:p>
    <w:p w14:paraId="70F910BA" w14:textId="3E2436C7" w:rsidR="00045126" w:rsidRPr="00933EA2" w:rsidRDefault="00045126" w:rsidP="00933EA2">
      <w:pPr>
        <w:pStyle w:val="SNAutorit"/>
        <w:spacing w:before="120"/>
        <w:jc w:val="both"/>
        <w:rPr>
          <w:b w:val="0"/>
          <w:i/>
        </w:rPr>
      </w:pPr>
      <w:r>
        <w:rPr>
          <w:i/>
        </w:rPr>
        <w:t xml:space="preserve">Ikrafttræden: </w:t>
      </w:r>
      <w:r>
        <w:rPr>
          <w:b w:val="0"/>
          <w:i/>
        </w:rPr>
        <w:t>den 15. marts 2020 med undtagelse af artikel 45 og 46, som træder i kraft efter det første møde i den franske spillemyndigheds kollegium, og artikel D. 320-10 og D. 320-12 i lov om indre sikkerhed affattet efter nærværende dekret, som træder i kraft den 1. april 2020.</w:t>
      </w:r>
    </w:p>
    <w:p w14:paraId="1E039B78" w14:textId="1C4A8FD9" w:rsidR="00045126" w:rsidRPr="00933EA2" w:rsidRDefault="00045126" w:rsidP="00933EA2">
      <w:pPr>
        <w:pStyle w:val="SNAutorit"/>
        <w:spacing w:before="120"/>
        <w:jc w:val="both"/>
        <w:rPr>
          <w:b w:val="0"/>
          <w:i/>
        </w:rPr>
      </w:pPr>
      <w:r>
        <w:rPr>
          <w:i/>
        </w:rPr>
        <w:t xml:space="preserve">Beskrivelse: </w:t>
      </w:r>
      <w:r>
        <w:rPr>
          <w:b w:val="0"/>
          <w:i/>
        </w:rPr>
        <w:t>I artikel 137 i lov nr. 2019-486 af 22. maj 2019 om fremme af virksomhedernes vækst og omstilling tildeles regeringen beføjelse til ved regeringslov at træffe foranstaltninger til at omlægge reguleringen af spillesektoren. Beføjelsen omfatter ligeledes reguleringsreglerne for spillesektoren, navnlig de bestemmelser, der finder anvendelse på myndigheden som anført i artikel 34 i lov nr. 2010-476 af 12. maj 2010 om overgang til fri konkurrence inden for og regulering af spil- og hasardspilsektoren på nettet for at sikre, at der oprettes en uafhængig administrativ tilsyns- og reguleringsmyndighed, der udviser en passende uvildighed i forbindelse med sit arbejde. Nærværende dekret har til formål at præcisere den franske spillemyndigheds reguleringsregler.</w:t>
      </w:r>
    </w:p>
    <w:p w14:paraId="0B7013A7" w14:textId="77777777" w:rsidR="0084714D" w:rsidRPr="00933EA2" w:rsidRDefault="00045126" w:rsidP="00933EA2">
      <w:pPr>
        <w:pStyle w:val="SNAutorit"/>
        <w:spacing w:before="120"/>
        <w:jc w:val="both"/>
        <w:rPr>
          <w:b w:val="0"/>
          <w:i/>
        </w:rPr>
      </w:pPr>
      <w:r>
        <w:rPr>
          <w:i/>
        </w:rPr>
        <w:t xml:space="preserve">Henvisninger: </w:t>
      </w:r>
      <w:r>
        <w:rPr>
          <w:b w:val="0"/>
          <w:i/>
        </w:rPr>
        <w:t xml:space="preserve">Nærværende dekret og lov om indre sikkerhed, som ændres heraf, som affattet efter denne ændring, findes på Legifrances websted </w:t>
      </w:r>
      <w:r>
        <w:rPr>
          <w:i/>
        </w:rPr>
        <w:t>(</w:t>
      </w:r>
      <w:hyperlink r:id="rId5" w:history="1">
        <w:r>
          <w:rPr>
            <w:rStyle w:val="Hyperlink"/>
            <w:b w:val="0"/>
            <w:i/>
          </w:rPr>
          <w:t>http://www.legifrance.gouv.fr</w:t>
        </w:r>
      </w:hyperlink>
      <w:r>
        <w:rPr>
          <w:b w:val="0"/>
          <w:i/>
        </w:rPr>
        <w:t>).</w:t>
      </w:r>
    </w:p>
    <w:p w14:paraId="65AEA4F7" w14:textId="77777777" w:rsidR="00045126" w:rsidRPr="00933EA2" w:rsidRDefault="0084714D" w:rsidP="00933EA2">
      <w:pPr>
        <w:pStyle w:val="SNAutorit"/>
        <w:spacing w:before="120"/>
        <w:jc w:val="both"/>
        <w:rPr>
          <w:b w:val="0"/>
          <w:i/>
        </w:rPr>
      </w:pPr>
      <w:r>
        <w:t>Premierministeren har</w:t>
      </w:r>
    </w:p>
    <w:p w14:paraId="77FB7384" w14:textId="77777777" w:rsidR="00045126" w:rsidRPr="00933EA2" w:rsidRDefault="00045126" w:rsidP="00933EA2">
      <w:pPr>
        <w:pStyle w:val="SNRapport"/>
      </w:pPr>
      <w:r>
        <w:t>på baggrund af en rapport fra finans- og økonomiministeren, ministeren for offentlig indsats og statsrevision og ministeren for sport,</w:t>
      </w:r>
    </w:p>
    <w:p w14:paraId="048B7C5A" w14:textId="283A761A" w:rsidR="0084714D" w:rsidRPr="00933EA2" w:rsidRDefault="0084714D" w:rsidP="00933EA2">
      <w:pPr>
        <w:pStyle w:val="SNRapport"/>
      </w:pPr>
      <w:r>
        <w:t>under henvisning til Europa-Parlamentets og Rådets direktiv (EU) 2015/1535 af 9. september 2015 om en informationsprocedure med hensyn til tekniske forskrifter samt forskrifter for informationssamfundets tjenester,</w:t>
      </w:r>
    </w:p>
    <w:p w14:paraId="762E43A9" w14:textId="30280945" w:rsidR="0084714D" w:rsidRPr="00933EA2" w:rsidRDefault="0084714D" w:rsidP="00933EA2">
      <w:pPr>
        <w:pStyle w:val="SNRapport"/>
      </w:pPr>
      <w:r>
        <w:t>under henvisning til civillovbogen, navnlig artikel 1,</w:t>
      </w:r>
    </w:p>
    <w:p w14:paraId="67E6A8B9" w14:textId="763AF4B2" w:rsidR="00045126" w:rsidRPr="00933EA2" w:rsidRDefault="00045126" w:rsidP="00933EA2">
      <w:pPr>
        <w:pStyle w:val="SNRapport"/>
      </w:pPr>
      <w:r>
        <w:t>under henvisning til finans- og valutaloven,</w:t>
      </w:r>
    </w:p>
    <w:p w14:paraId="16E3A4A4" w14:textId="40CCBA92" w:rsidR="00045126" w:rsidRPr="00933EA2" w:rsidRDefault="00045126" w:rsidP="00933EA2">
      <w:pPr>
        <w:pStyle w:val="SNRapport"/>
      </w:pPr>
      <w:r>
        <w:t>under henvisning til loven om indre sikkerhed, særlig del II og del IV i bind III,</w:t>
      </w:r>
    </w:p>
    <w:p w14:paraId="362FDC7A" w14:textId="6A0DCA31" w:rsidR="00D13FBA" w:rsidRPr="00933EA2" w:rsidRDefault="00D13FBA" w:rsidP="00933EA2">
      <w:pPr>
        <w:pStyle w:val="SNRapport"/>
      </w:pPr>
      <w:r>
        <w:lastRenderedPageBreak/>
        <w:t>under henvisning til loven om sport,</w:t>
      </w:r>
    </w:p>
    <w:p w14:paraId="652A174C" w14:textId="77777777" w:rsidR="00045126" w:rsidRPr="00933EA2" w:rsidRDefault="00045126" w:rsidP="00933EA2">
      <w:pPr>
        <w:pStyle w:val="SNRapport"/>
      </w:pPr>
      <w:r>
        <w:t>under henvisning til lov nr. 2010-476 af 12. maj 2010 som ændret om overgang til fri konkurrence inden for og regulering af spil- og hasardspilsektoren på nettet,</w:t>
      </w:r>
    </w:p>
    <w:p w14:paraId="1ACCBCCB" w14:textId="77777777" w:rsidR="00142531" w:rsidRPr="00933EA2" w:rsidRDefault="00045126" w:rsidP="00933EA2">
      <w:pPr>
        <w:pStyle w:val="SNRapport"/>
      </w:pPr>
      <w:r>
        <w:t>under henvisning til lov nr. 2019-486 af 22. maj 2019 om fremme af virksomhedernes vækst og omstilling, navnlig artikel 137,</w:t>
      </w:r>
    </w:p>
    <w:p w14:paraId="3B7366BA" w14:textId="1F3FEC7F" w:rsidR="00045126" w:rsidRPr="00933EA2" w:rsidRDefault="00045126" w:rsidP="00933EA2">
      <w:pPr>
        <w:pStyle w:val="SNRapport"/>
      </w:pPr>
      <w:r>
        <w:t>under henvisning til regeringslov nr. 2019-1015 af 2. oktober 2019 om omlægning af reguleringen af spil og hasardspil,</w:t>
      </w:r>
    </w:p>
    <w:p w14:paraId="5538C323" w14:textId="77777777" w:rsidR="001A3887" w:rsidRPr="00933EA2" w:rsidRDefault="001A3887" w:rsidP="00933EA2">
      <w:pPr>
        <w:pStyle w:val="SNRapport"/>
      </w:pPr>
      <w:r>
        <w:rPr>
          <w:highlight w:val="yellow"/>
        </w:rPr>
        <w:t>under henvisning til dekret nr. af XX XXXX XXXX om vilkår for tilgængeliggørelse af spil og spilledata (CPAB1926918D),</w:t>
      </w:r>
    </w:p>
    <w:p w14:paraId="7DA3002F" w14:textId="7A04B1C4" w:rsidR="00142531" w:rsidRPr="00933EA2" w:rsidRDefault="00BC35EB" w:rsidP="00933EA2">
      <w:pPr>
        <w:pStyle w:val="SNRapport"/>
      </w:pPr>
      <w:r>
        <w:t>under henvisning til dekret nr. 2019-1060 af 17. oktober 2019 om gennemførelsesbestemmelser for statens nøje tilsyn med det franske spilleselskab La Française des jeux,</w:t>
      </w:r>
    </w:p>
    <w:p w14:paraId="714B0F8B" w14:textId="1364CCA8" w:rsidR="00142531" w:rsidRPr="00933EA2" w:rsidRDefault="00142531" w:rsidP="00933EA2">
      <w:pPr>
        <w:pStyle w:val="SNRapport"/>
      </w:pPr>
      <w:r>
        <w:t>under henvisning til dekret nr. 2019-1061 af 17. oktober 2019 om spil udbudt af det franske spilleselskab La Française des jeux og den økonomiske interessegruppe "Pari mutuel urbain",</w:t>
      </w:r>
    </w:p>
    <w:p w14:paraId="0BBA6677" w14:textId="77777777" w:rsidR="00045126" w:rsidRPr="00933EA2" w:rsidRDefault="00045126" w:rsidP="00933EA2">
      <w:pPr>
        <w:pStyle w:val="SNActe"/>
        <w:keepNext/>
        <w:keepLines/>
      </w:pPr>
      <w:r>
        <w:t>udstedt det følgende dekret:</w:t>
      </w:r>
    </w:p>
    <w:p w14:paraId="08F9A76B" w14:textId="71C8A30A" w:rsidR="007E61D1" w:rsidRPr="00933EA2" w:rsidRDefault="00DD75EA" w:rsidP="00933EA2">
      <w:pPr>
        <w:pStyle w:val="SNArticle"/>
        <w:keepNext/>
        <w:keepLines/>
      </w:pPr>
      <w:r>
        <w:t>DEL I: KONTROL- OG GENNEMFØRELSESBESTEMMELSER FOR SPIL- ELLER VÆDDEMÅLSUDBYDERES FORPLIGTELSER</w:t>
      </w:r>
    </w:p>
    <w:p w14:paraId="6C987295" w14:textId="77777777" w:rsidR="007E61D1" w:rsidRPr="00933EA2" w:rsidRDefault="007E61D1" w:rsidP="00933EA2">
      <w:pPr>
        <w:keepNext/>
        <w:keepLines/>
        <w:jc w:val="center"/>
        <w:rPr>
          <w:b/>
        </w:rPr>
      </w:pPr>
      <w:r>
        <w:rPr>
          <w:b/>
        </w:rPr>
        <w:t>Artikel 1</w:t>
      </w:r>
    </w:p>
    <w:p w14:paraId="6C33AEB4" w14:textId="77777777" w:rsidR="00813F86" w:rsidRPr="00933EA2" w:rsidRDefault="00813F86" w:rsidP="00933EA2">
      <w:pPr>
        <w:keepNext/>
        <w:keepLines/>
        <w:jc w:val="both"/>
      </w:pPr>
    </w:p>
    <w:p w14:paraId="5B20680E" w14:textId="0AB15F64" w:rsidR="00794988" w:rsidRPr="00933EA2" w:rsidRDefault="00794988" w:rsidP="00933EA2">
      <w:pPr>
        <w:jc w:val="both"/>
      </w:pPr>
      <w:r>
        <w:t xml:space="preserve">Til gennemførelse af bestemmelserne i artikel 34, afsnit IX, stk. 2, i ovennævnte lov af 12. maj 2010 kan det selskab, der driver et kasino eller spillested, og som indgår i en koncern, der driver kasinoer eller spillesteder, fremlægge en fælles handlingsplan for alle selskaber i koncernen til godkendelse hos den franske spillemyndighed. Listen over selskaber, der indgår i koncernen, fremgår af handlingsplanen. </w:t>
      </w:r>
    </w:p>
    <w:p w14:paraId="0C8DEB8A" w14:textId="77777777" w:rsidR="00794988" w:rsidRPr="00933EA2" w:rsidRDefault="00794988" w:rsidP="00933EA2">
      <w:pPr>
        <w:jc w:val="both"/>
        <w:rPr>
          <w:rFonts w:asciiTheme="minorHAnsi" w:eastAsiaTheme="minorHAnsi" w:hAnsiTheme="minorHAnsi" w:cstheme="minorBidi"/>
          <w:sz w:val="20"/>
          <w:szCs w:val="20"/>
          <w:lang w:eastAsia="en-US"/>
        </w:rPr>
      </w:pPr>
    </w:p>
    <w:p w14:paraId="38A16952" w14:textId="77777777" w:rsidR="00794988" w:rsidRPr="00933EA2" w:rsidRDefault="00794988" w:rsidP="00933EA2">
      <w:pPr>
        <w:jc w:val="both"/>
      </w:pPr>
      <w:r>
        <w:t xml:space="preserve">Til gennemførelse af bestemmelserne i artikel 34, afsnit IX, stk. 2, i ovennævnte lov af 12. maj 2010 kan et selskab, der driver to eller flere kasinoer eller spillesteder, fremlægge en fælles handlingsplan gældende for disse kasinoer eller spillesteder til godkendelse hos den franske spillemyndighed. Listen over kasinoer og spillesteder fremgår af handlingsplanen. </w:t>
      </w:r>
    </w:p>
    <w:p w14:paraId="23525345" w14:textId="77777777" w:rsidR="00794988" w:rsidRPr="00933EA2" w:rsidRDefault="00794988" w:rsidP="00933EA2">
      <w:pPr>
        <w:jc w:val="both"/>
      </w:pPr>
    </w:p>
    <w:p w14:paraId="4C768112" w14:textId="285147CC" w:rsidR="007E61D1" w:rsidRPr="00933EA2" w:rsidRDefault="00794988" w:rsidP="00933EA2">
      <w:pPr>
        <w:jc w:val="both"/>
      </w:pPr>
      <w:r>
        <w:t>Såfremt der er gjort brug af den mulighed, der fremgår af stk. 1 og 2, kan den franske spillemyndighed bede om at få forelagt yderligere dokumenter eller oplysninger, før den udtaler sig om den fremlagte ansøgning om godkendelse.</w:t>
      </w:r>
    </w:p>
    <w:p w14:paraId="513C2CC2" w14:textId="77777777" w:rsidR="00794988" w:rsidRPr="00933EA2" w:rsidRDefault="00794988" w:rsidP="00933EA2">
      <w:pPr>
        <w:jc w:val="both"/>
      </w:pPr>
    </w:p>
    <w:p w14:paraId="79427271" w14:textId="77777777" w:rsidR="007E61D1" w:rsidRPr="00933EA2" w:rsidRDefault="007E61D1" w:rsidP="00933EA2">
      <w:pPr>
        <w:keepNext/>
        <w:keepLines/>
        <w:jc w:val="center"/>
        <w:rPr>
          <w:b/>
        </w:rPr>
      </w:pPr>
      <w:r>
        <w:rPr>
          <w:b/>
        </w:rPr>
        <w:t>Artikel 2</w:t>
      </w:r>
    </w:p>
    <w:p w14:paraId="052D5044" w14:textId="77777777" w:rsidR="007E61D1" w:rsidRPr="00933EA2" w:rsidRDefault="007E61D1" w:rsidP="00933EA2">
      <w:pPr>
        <w:keepNext/>
        <w:keepLines/>
        <w:jc w:val="both"/>
        <w:rPr>
          <w:b/>
        </w:rPr>
      </w:pPr>
    </w:p>
    <w:p w14:paraId="366CF3E1" w14:textId="7CB58820" w:rsidR="007E61D1" w:rsidRPr="00933EA2" w:rsidRDefault="007E61D1" w:rsidP="00933EA2">
      <w:pPr>
        <w:jc w:val="both"/>
      </w:pPr>
      <w:r>
        <w:t xml:space="preserve">I tilfælde af hestevæddeløbsbaner kan handlingsplanen som omtalt i artikel 34, afsnit IX, stk. 2, i ovennævnte lov af 12. maj 2010 være fælles for flere væddeløbsselskaber, der driver disse hestevæddeløbsbaner, såfremt handlingsplanen finder anvendelse af alle selskaberne. Listen over de pågældende væddeløbsselskaber og hestevæddeløbsbaner skal fremgå af handlingsplanen. Den franske spillemyndighed kan anmode det enkelte væddeløbsselskab om at fremlægge </w:t>
      </w:r>
      <w:r>
        <w:lastRenderedPageBreak/>
        <w:t>yderligere dokumenter, der er af relevans for vurderingen af handlingsplanen for at kunne forebygge overdrevne spilaktiviteter og mindreåriges spil og fremme rimelige spilaktiviteter, samt en opgørelse over planens implementering for det foregående år.</w:t>
      </w:r>
    </w:p>
    <w:p w14:paraId="0CD4DAE7" w14:textId="77777777" w:rsidR="007E61D1" w:rsidRPr="00933EA2" w:rsidRDefault="007E61D1" w:rsidP="00933EA2">
      <w:pPr>
        <w:jc w:val="both"/>
      </w:pPr>
    </w:p>
    <w:p w14:paraId="5CDE936D" w14:textId="77777777" w:rsidR="007E61D1" w:rsidRPr="00933EA2" w:rsidRDefault="007E61D1" w:rsidP="00933EA2">
      <w:pPr>
        <w:keepNext/>
        <w:keepLines/>
        <w:jc w:val="center"/>
        <w:rPr>
          <w:b/>
        </w:rPr>
      </w:pPr>
      <w:r>
        <w:rPr>
          <w:b/>
        </w:rPr>
        <w:t>Artikel 3</w:t>
      </w:r>
    </w:p>
    <w:p w14:paraId="61CAAFB0" w14:textId="77777777" w:rsidR="007E61D1" w:rsidRPr="00933EA2" w:rsidRDefault="007E61D1" w:rsidP="00933EA2">
      <w:pPr>
        <w:keepNext/>
        <w:keepLines/>
        <w:jc w:val="both"/>
        <w:rPr>
          <w:b/>
        </w:rPr>
      </w:pPr>
    </w:p>
    <w:p w14:paraId="37C2CCC7" w14:textId="77777777" w:rsidR="007E61D1" w:rsidRPr="00933EA2" w:rsidRDefault="007E61D1" w:rsidP="00933EA2">
      <w:pPr>
        <w:jc w:val="both"/>
      </w:pPr>
      <w:r>
        <w:t>I tilfælde af hestevæddeløbsbaner kan væddeløbsselskaberne på et individuelt plan fritages fra at skulle fastlægge en risikoklassifikation som omtalt i artikel L.561-4-1 i finans- og valutaloven og de interne kontrolprocedurer som fastsat i artikel L 561-32 i førnævnte lov, idet der i stedet sikres en fælles implementering inden for rammerne af det franske hestevæddeløbsforbund, som gør rede herfor for den franske spillemyndighed ved at fremlægge listen over de pågældende væddeløbsselskaber og hestevæddeløbsbaner. Hvis der er særlige risici, navnlig hvad angår omfanget af væddemålstilbuddet og det beløb, der spilles om, skal procedurerne tilpasses herefter. Den franske spillemyndighed kan anmode det enkelte væddeløbsselskab om at få forelagt yderligere dokumenter til vurdering af foranstaltninger til bekæmpelse af hvidvaskning af penge og finansiering af terrorisme.</w:t>
      </w:r>
    </w:p>
    <w:p w14:paraId="4736BFF7" w14:textId="77777777" w:rsidR="007E61D1" w:rsidRPr="00933EA2" w:rsidRDefault="007E61D1" w:rsidP="00933EA2">
      <w:pPr>
        <w:jc w:val="both"/>
      </w:pPr>
    </w:p>
    <w:p w14:paraId="1A6F401F" w14:textId="77777777" w:rsidR="007E61D1" w:rsidRPr="00933EA2" w:rsidRDefault="007E61D1" w:rsidP="00933EA2">
      <w:pPr>
        <w:keepNext/>
        <w:keepLines/>
        <w:jc w:val="center"/>
        <w:rPr>
          <w:b/>
        </w:rPr>
      </w:pPr>
      <w:r>
        <w:rPr>
          <w:b/>
        </w:rPr>
        <w:t>Artikel 4</w:t>
      </w:r>
    </w:p>
    <w:p w14:paraId="38FBB37D" w14:textId="77777777" w:rsidR="007E61D1" w:rsidRPr="00933EA2" w:rsidRDefault="007E61D1" w:rsidP="00933EA2">
      <w:pPr>
        <w:keepNext/>
        <w:keepLines/>
        <w:jc w:val="both"/>
        <w:rPr>
          <w:b/>
        </w:rPr>
      </w:pPr>
    </w:p>
    <w:p w14:paraId="2B218E2A" w14:textId="7DA8E983" w:rsidR="007E61D1" w:rsidRPr="00933EA2" w:rsidRDefault="007E61D1" w:rsidP="00933EA2">
      <w:pPr>
        <w:jc w:val="both"/>
      </w:pPr>
      <w:r>
        <w:t>I tilfælde af hestevæddeløbsbaner kan kontrollen foregå med udgangspunkt i de fælles dokumenter for alle væddeløbsselskaberne, der benytter sig af samme udbyder, hvad angår levering og vedligeholdelse af deres informationssystemer, eller på tværs af en revision af denne udbyders informationssystemer. Den franske spillemyndighed kan anmode det enkelte væddeløbsselskab om at få forelagt yderligere dokumenter.</w:t>
      </w:r>
    </w:p>
    <w:p w14:paraId="4157AD3C" w14:textId="77777777" w:rsidR="007E61D1" w:rsidRPr="00933EA2" w:rsidRDefault="007E61D1" w:rsidP="00933EA2">
      <w:pPr>
        <w:jc w:val="both"/>
      </w:pPr>
    </w:p>
    <w:p w14:paraId="5B9DB7AE" w14:textId="77777777" w:rsidR="007E61D1" w:rsidRPr="00933EA2" w:rsidRDefault="007E61D1" w:rsidP="00933EA2">
      <w:pPr>
        <w:keepNext/>
        <w:keepLines/>
        <w:jc w:val="center"/>
        <w:rPr>
          <w:b/>
        </w:rPr>
      </w:pPr>
      <w:r>
        <w:rPr>
          <w:b/>
        </w:rPr>
        <w:t>Artikel 5</w:t>
      </w:r>
    </w:p>
    <w:p w14:paraId="4C9C62BB" w14:textId="77777777" w:rsidR="007E61D1" w:rsidRPr="00933EA2" w:rsidRDefault="007E61D1" w:rsidP="00933EA2">
      <w:pPr>
        <w:keepNext/>
        <w:keepLines/>
        <w:jc w:val="both"/>
        <w:rPr>
          <w:b/>
        </w:rPr>
      </w:pPr>
    </w:p>
    <w:p w14:paraId="26847594" w14:textId="77777777" w:rsidR="007E61D1" w:rsidRPr="00933EA2" w:rsidRDefault="007E61D1" w:rsidP="00933EA2">
      <w:pPr>
        <w:jc w:val="both"/>
      </w:pPr>
      <w:r>
        <w:t xml:space="preserve">Inden marts i det pågældende år fremlægger udbydere med eksklusive rettigheder en detaljeret rapport for det foregående år, det reelle budgetbeløb svarende til mindst 0,002 % af indsatserne, de finansierede forskningsprojekter som knyttet til godkendelsen af organet som udpeget ved ovennævnte dekret af XX XXXX XXXX (CPAB1926918D) og det overførte bidragsbeløb for den franske spillemyndighed i henhold til bestemmelserne i artikel 3 i ovennævnte lov af 12. maj 2010. </w:t>
      </w:r>
    </w:p>
    <w:p w14:paraId="429F79D8" w14:textId="77777777" w:rsidR="007E61D1" w:rsidRPr="00933EA2" w:rsidRDefault="007E61D1" w:rsidP="00933EA2">
      <w:pPr>
        <w:jc w:val="both"/>
      </w:pPr>
    </w:p>
    <w:p w14:paraId="7B122D74" w14:textId="2935AC69" w:rsidR="007E61D1" w:rsidRPr="00933EA2" w:rsidRDefault="00DD75EA" w:rsidP="00933EA2">
      <w:pPr>
        <w:keepNext/>
        <w:keepLines/>
        <w:jc w:val="both"/>
      </w:pPr>
      <w:r>
        <w:rPr>
          <w:b/>
        </w:rPr>
        <w:t>DEL II: VILKÅR OG BETINGELSER FOR GODKENDELSE AF SPIL- ELLER VÆDDEMÅLSUDBYDERES MARKEDSFØRINGSTRATEGIER</w:t>
      </w:r>
    </w:p>
    <w:p w14:paraId="0366C11E" w14:textId="77777777" w:rsidR="007E61D1" w:rsidRPr="00933EA2" w:rsidRDefault="007E61D1" w:rsidP="00933EA2">
      <w:pPr>
        <w:keepNext/>
        <w:keepLines/>
        <w:jc w:val="both"/>
      </w:pPr>
    </w:p>
    <w:p w14:paraId="180B46AF" w14:textId="77777777" w:rsidR="007E61D1" w:rsidRPr="00933EA2" w:rsidRDefault="007E61D1" w:rsidP="00933EA2">
      <w:pPr>
        <w:keepNext/>
        <w:keepLines/>
        <w:tabs>
          <w:tab w:val="left" w:pos="225"/>
        </w:tabs>
        <w:jc w:val="center"/>
        <w:rPr>
          <w:b/>
          <w:bCs/>
        </w:rPr>
      </w:pPr>
      <w:r>
        <w:rPr>
          <w:b/>
          <w:bCs/>
        </w:rPr>
        <w:t>Artikel 6</w:t>
      </w:r>
    </w:p>
    <w:p w14:paraId="03A3768D" w14:textId="77777777" w:rsidR="007E61D1" w:rsidRPr="00933EA2" w:rsidRDefault="007E61D1" w:rsidP="00933EA2">
      <w:pPr>
        <w:keepNext/>
        <w:keepLines/>
        <w:tabs>
          <w:tab w:val="left" w:pos="225"/>
        </w:tabs>
        <w:jc w:val="both"/>
        <w:rPr>
          <w:bCs/>
        </w:rPr>
      </w:pPr>
    </w:p>
    <w:p w14:paraId="3107C3EF" w14:textId="77777777" w:rsidR="007E61D1" w:rsidRPr="00933EA2" w:rsidRDefault="007E61D1" w:rsidP="00933EA2">
      <w:pPr>
        <w:keepNext/>
        <w:keepLines/>
        <w:tabs>
          <w:tab w:val="left" w:pos="225"/>
        </w:tabs>
        <w:jc w:val="both"/>
        <w:rPr>
          <w:bCs/>
        </w:rPr>
      </w:pPr>
      <w:r>
        <w:t xml:space="preserve">Inden den 30. oktober i det pågældende år fremlægger udbydere med eksklusive rettigheder samt udbydere af spil og væddemål på nettet deres markedsføringsstrategi på alle medier til godkendelse hos den franske spillemyndighed. </w:t>
      </w:r>
    </w:p>
    <w:p w14:paraId="11F470F5" w14:textId="77777777" w:rsidR="007E61D1" w:rsidRPr="00933EA2" w:rsidRDefault="007E61D1" w:rsidP="00933EA2">
      <w:pPr>
        <w:tabs>
          <w:tab w:val="left" w:pos="225"/>
        </w:tabs>
        <w:jc w:val="both"/>
        <w:rPr>
          <w:bCs/>
        </w:rPr>
      </w:pPr>
    </w:p>
    <w:p w14:paraId="699E2544" w14:textId="77777777" w:rsidR="007E61D1" w:rsidRPr="00933EA2" w:rsidRDefault="007E61D1" w:rsidP="00933EA2">
      <w:pPr>
        <w:keepNext/>
        <w:keepLines/>
        <w:tabs>
          <w:tab w:val="left" w:pos="225"/>
        </w:tabs>
        <w:jc w:val="center"/>
        <w:rPr>
          <w:b/>
          <w:bCs/>
        </w:rPr>
      </w:pPr>
      <w:r>
        <w:rPr>
          <w:b/>
          <w:bCs/>
        </w:rPr>
        <w:t>Artikel 7</w:t>
      </w:r>
    </w:p>
    <w:p w14:paraId="73089FBB" w14:textId="77777777" w:rsidR="007E61D1" w:rsidRPr="00933EA2" w:rsidRDefault="007E61D1" w:rsidP="00933EA2">
      <w:pPr>
        <w:keepNext/>
        <w:keepLines/>
        <w:tabs>
          <w:tab w:val="left" w:pos="225"/>
        </w:tabs>
        <w:jc w:val="both"/>
        <w:rPr>
          <w:bCs/>
        </w:rPr>
      </w:pPr>
    </w:p>
    <w:p w14:paraId="2CE4B6B4" w14:textId="77777777" w:rsidR="007E61D1" w:rsidRPr="00933EA2" w:rsidRDefault="007E61D1" w:rsidP="00933EA2">
      <w:pPr>
        <w:tabs>
          <w:tab w:val="left" w:pos="225"/>
        </w:tabs>
        <w:jc w:val="both"/>
        <w:rPr>
          <w:bCs/>
        </w:rPr>
      </w:pPr>
      <w:r>
        <w:t xml:space="preserve">Markedsføringsstrategien på alle medier omfatter navnlig en beskrivelse af de forskellige medier og alle andre bærere, der benyttes til markedsføring af de udbudte spil, en vurdering af de budgetter, der tildeles den enkelte bærer, og udviklingen heraf i løbet af det indeværende år, en beskrivelse af målgruppen, de forskellige berørte spil og en vurdering af effekten, hvad angår hovedmålet i artikel L. 320-3 i lov om indre sikkerhed. I tilfælde af kommercielle tilbud, der </w:t>
      </w:r>
      <w:r>
        <w:lastRenderedPageBreak/>
        <w:t xml:space="preserve">indebærer en økonomisk bonus til spillerne, beskriver udbyderen, hvordan spillerne får adgang til de pågældende bonusser. </w:t>
      </w:r>
    </w:p>
    <w:p w14:paraId="5D41F546" w14:textId="343E933A" w:rsidR="007E61D1" w:rsidRPr="00933EA2" w:rsidRDefault="007E61D1" w:rsidP="00933EA2">
      <w:pPr>
        <w:tabs>
          <w:tab w:val="left" w:pos="225"/>
        </w:tabs>
        <w:jc w:val="both"/>
        <w:rPr>
          <w:bCs/>
        </w:rPr>
      </w:pPr>
      <w:r>
        <w:t xml:space="preserve">I tilfælde af udbydere med eksklusive rettigheder omfatter markedsføringsstrategien de informations- og forebyggelsesforanstaltninger, der er målrettet offentligheden og spillerne på deres fysiske distributionsnet, for at opfylde hovedmålet i artikel L. 320-3 i lov om indre sikkerhed. </w:t>
      </w:r>
    </w:p>
    <w:p w14:paraId="466B6F1F" w14:textId="77777777" w:rsidR="007E61D1" w:rsidRPr="00933EA2" w:rsidRDefault="007E61D1" w:rsidP="00933EA2">
      <w:pPr>
        <w:tabs>
          <w:tab w:val="left" w:pos="225"/>
        </w:tabs>
        <w:jc w:val="both"/>
        <w:rPr>
          <w:bCs/>
        </w:rPr>
      </w:pPr>
    </w:p>
    <w:p w14:paraId="2292D94C" w14:textId="77777777" w:rsidR="007E61D1" w:rsidRPr="00933EA2" w:rsidRDefault="007E61D1" w:rsidP="00933EA2">
      <w:pPr>
        <w:keepNext/>
        <w:keepLines/>
        <w:tabs>
          <w:tab w:val="left" w:pos="225"/>
        </w:tabs>
        <w:jc w:val="center"/>
        <w:rPr>
          <w:b/>
          <w:bCs/>
        </w:rPr>
      </w:pPr>
      <w:r>
        <w:rPr>
          <w:b/>
          <w:bCs/>
        </w:rPr>
        <w:t>Artikel 8</w:t>
      </w:r>
    </w:p>
    <w:p w14:paraId="76A6F4B3" w14:textId="77777777" w:rsidR="007E61D1" w:rsidRPr="00933EA2" w:rsidRDefault="007E61D1" w:rsidP="00933EA2">
      <w:pPr>
        <w:keepNext/>
        <w:keepLines/>
        <w:tabs>
          <w:tab w:val="left" w:pos="225"/>
        </w:tabs>
        <w:jc w:val="both"/>
        <w:rPr>
          <w:bCs/>
        </w:rPr>
      </w:pPr>
    </w:p>
    <w:p w14:paraId="7E066ACA" w14:textId="77777777" w:rsidR="007E61D1" w:rsidRPr="00933EA2" w:rsidRDefault="007E61D1" w:rsidP="00933EA2">
      <w:pPr>
        <w:tabs>
          <w:tab w:val="left" w:pos="225"/>
        </w:tabs>
        <w:jc w:val="both"/>
        <w:rPr>
          <w:bCs/>
        </w:rPr>
      </w:pPr>
      <w:r>
        <w:t>Den franske spillemyndighed gennemgår udbydernes markedsføringsstrategi i forhold til målene i artikel L.320-3 i lov om indre sikkerhed. Myndigheden har mulighed for at anmode udbyderen om yderligere oplysninger om markedsføringsstrategien.</w:t>
      </w:r>
    </w:p>
    <w:p w14:paraId="573BB9A6" w14:textId="77777777" w:rsidR="007E61D1" w:rsidRPr="00933EA2" w:rsidRDefault="007E61D1" w:rsidP="00933EA2">
      <w:pPr>
        <w:tabs>
          <w:tab w:val="left" w:pos="225"/>
        </w:tabs>
        <w:ind w:firstLine="708"/>
        <w:jc w:val="both"/>
        <w:rPr>
          <w:bCs/>
        </w:rPr>
      </w:pPr>
    </w:p>
    <w:p w14:paraId="294DEF4C" w14:textId="77777777" w:rsidR="007E61D1" w:rsidRPr="00933EA2" w:rsidRDefault="007E61D1" w:rsidP="00933EA2">
      <w:pPr>
        <w:keepNext/>
        <w:keepLines/>
        <w:tabs>
          <w:tab w:val="left" w:pos="225"/>
        </w:tabs>
        <w:jc w:val="center"/>
        <w:rPr>
          <w:b/>
          <w:bCs/>
        </w:rPr>
      </w:pPr>
      <w:r>
        <w:rPr>
          <w:b/>
          <w:bCs/>
        </w:rPr>
        <w:t>Artikel 9</w:t>
      </w:r>
    </w:p>
    <w:p w14:paraId="2DE1EFDB" w14:textId="77777777" w:rsidR="007E61D1" w:rsidRPr="00933EA2" w:rsidRDefault="007E61D1" w:rsidP="00933EA2">
      <w:pPr>
        <w:keepNext/>
        <w:keepLines/>
        <w:tabs>
          <w:tab w:val="left" w:pos="225"/>
        </w:tabs>
        <w:jc w:val="both"/>
        <w:rPr>
          <w:bCs/>
        </w:rPr>
      </w:pPr>
    </w:p>
    <w:p w14:paraId="4FBB75B5" w14:textId="07D9D852" w:rsidR="007E61D1" w:rsidRPr="00933EA2" w:rsidRDefault="007E61D1" w:rsidP="00933EA2">
      <w:pPr>
        <w:tabs>
          <w:tab w:val="left" w:pos="225"/>
        </w:tabs>
        <w:jc w:val="both"/>
        <w:rPr>
          <w:bCs/>
        </w:rPr>
      </w:pPr>
      <w:r>
        <w:t xml:space="preserve">Udbyderen får bekendtgjort myndighedens beslutning inden for to måneder fra modtagelse af markedsføringsstrategien. Myndigheden fastlægger i givet fald de betingelser, der er knyttet til markedsføringsstrategiens godkendelse. </w:t>
      </w:r>
    </w:p>
    <w:p w14:paraId="659F6FBA" w14:textId="77777777" w:rsidR="007E61D1" w:rsidRPr="00933EA2" w:rsidRDefault="007E61D1" w:rsidP="00933EA2">
      <w:pPr>
        <w:tabs>
          <w:tab w:val="left" w:pos="225"/>
        </w:tabs>
        <w:jc w:val="both"/>
        <w:rPr>
          <w:bCs/>
        </w:rPr>
      </w:pPr>
    </w:p>
    <w:p w14:paraId="308E1DA5" w14:textId="77777777" w:rsidR="007E61D1" w:rsidRPr="00933EA2" w:rsidRDefault="007E61D1" w:rsidP="00933EA2">
      <w:pPr>
        <w:keepNext/>
        <w:keepLines/>
        <w:tabs>
          <w:tab w:val="left" w:pos="225"/>
        </w:tabs>
        <w:jc w:val="center"/>
        <w:rPr>
          <w:b/>
          <w:bCs/>
        </w:rPr>
      </w:pPr>
      <w:r>
        <w:rPr>
          <w:b/>
          <w:bCs/>
        </w:rPr>
        <w:t>Artikel 10</w:t>
      </w:r>
    </w:p>
    <w:p w14:paraId="57140C12" w14:textId="77777777" w:rsidR="007E61D1" w:rsidRPr="00933EA2" w:rsidRDefault="007E61D1" w:rsidP="00933EA2">
      <w:pPr>
        <w:keepNext/>
        <w:keepLines/>
        <w:tabs>
          <w:tab w:val="left" w:pos="225"/>
        </w:tabs>
        <w:jc w:val="both"/>
        <w:rPr>
          <w:bCs/>
        </w:rPr>
      </w:pPr>
    </w:p>
    <w:p w14:paraId="371FF32B" w14:textId="77777777" w:rsidR="007E61D1" w:rsidRPr="00933EA2" w:rsidRDefault="007E61D1" w:rsidP="00933EA2">
      <w:pPr>
        <w:tabs>
          <w:tab w:val="left" w:pos="225"/>
        </w:tabs>
        <w:jc w:val="both"/>
        <w:rPr>
          <w:bCs/>
        </w:rPr>
      </w:pPr>
      <w:r>
        <w:t>Såfremt udbyderen ønsker at foretage ændringer i sin markedsføringsstrategi i løbet af året, underretter vedkommende den franske spillemyndighed senest to måneder forud for de ændrede foranstaltningers eller tiltags implementering. Under forbehold af bestemmelserne i artikel 8 udtaler myndigheden sig om den planlagte ændring inden for to måneder fra modtagelse af underretningen.</w:t>
      </w:r>
    </w:p>
    <w:p w14:paraId="5FC09049" w14:textId="77777777" w:rsidR="007E61D1" w:rsidRPr="00933EA2" w:rsidRDefault="007E61D1" w:rsidP="00933EA2">
      <w:pPr>
        <w:tabs>
          <w:tab w:val="left" w:pos="225"/>
        </w:tabs>
        <w:jc w:val="both"/>
        <w:rPr>
          <w:bCs/>
        </w:rPr>
      </w:pPr>
    </w:p>
    <w:p w14:paraId="796C2E49" w14:textId="7CC25C8B" w:rsidR="007E61D1" w:rsidRPr="00933EA2" w:rsidRDefault="00DD75EA" w:rsidP="00933EA2">
      <w:pPr>
        <w:keepNext/>
        <w:keepLines/>
        <w:tabs>
          <w:tab w:val="left" w:pos="225"/>
        </w:tabs>
        <w:jc w:val="center"/>
        <w:rPr>
          <w:bCs/>
        </w:rPr>
      </w:pPr>
      <w:r>
        <w:rPr>
          <w:b/>
        </w:rPr>
        <w:t>DEL III: CERTIFICERINGSBESTEMMELSER</w:t>
      </w:r>
    </w:p>
    <w:p w14:paraId="4638AAB1" w14:textId="77777777" w:rsidR="007E61D1" w:rsidRPr="00933EA2" w:rsidRDefault="007E61D1" w:rsidP="00933EA2">
      <w:pPr>
        <w:pStyle w:val="BodyText"/>
        <w:keepNext/>
        <w:keepLines/>
      </w:pPr>
    </w:p>
    <w:p w14:paraId="06F93207" w14:textId="77777777" w:rsidR="00DD75EA" w:rsidRPr="00933EA2" w:rsidRDefault="00DD75EA" w:rsidP="00933EA2">
      <w:pPr>
        <w:keepNext/>
        <w:keepLines/>
        <w:rPr>
          <w:b/>
        </w:rPr>
      </w:pPr>
      <w:r>
        <w:rPr>
          <w:b/>
        </w:rPr>
        <w:t xml:space="preserve">KAPITEL 1 – BETINGELSER FOR REGISTRERING PÅ LISTEN OVER CERTIFICERINGSORGANER </w:t>
      </w:r>
    </w:p>
    <w:p w14:paraId="2100F556" w14:textId="77777777" w:rsidR="00DD75EA" w:rsidRPr="00933EA2" w:rsidRDefault="00DD75EA" w:rsidP="00933EA2">
      <w:pPr>
        <w:keepNext/>
        <w:keepLines/>
        <w:rPr>
          <w:b/>
        </w:rPr>
      </w:pPr>
    </w:p>
    <w:p w14:paraId="3CD09FF6" w14:textId="77777777" w:rsidR="00DD75EA" w:rsidRPr="00933EA2" w:rsidRDefault="00DD75EA" w:rsidP="00933EA2">
      <w:pPr>
        <w:keepNext/>
        <w:keepLines/>
        <w:jc w:val="center"/>
        <w:rPr>
          <w:b/>
        </w:rPr>
      </w:pPr>
      <w:r>
        <w:rPr>
          <w:b/>
        </w:rPr>
        <w:t>Artikel 11</w:t>
      </w:r>
    </w:p>
    <w:p w14:paraId="2A95714B" w14:textId="77777777" w:rsidR="00DD75EA" w:rsidRPr="00933EA2" w:rsidRDefault="00DD75EA" w:rsidP="00933EA2">
      <w:pPr>
        <w:keepNext/>
        <w:keepLines/>
        <w:rPr>
          <w:b/>
        </w:rPr>
      </w:pPr>
    </w:p>
    <w:p w14:paraId="42280451" w14:textId="77777777" w:rsidR="00DD75EA" w:rsidRPr="00933EA2" w:rsidRDefault="00DD75EA" w:rsidP="00933EA2">
      <w:pPr>
        <w:jc w:val="both"/>
      </w:pPr>
      <w:r>
        <w:t xml:space="preserve">Den franske spillemyndighed opretter og ajourfører listen over organer, der er bemyndiget til at udføre certificeringsarbejdet som anført i artikel 23, afsnit II og III, i ovennævnte lov af 12. maj 2010. </w:t>
      </w:r>
    </w:p>
    <w:p w14:paraId="143A6880" w14:textId="77777777" w:rsidR="00DD75EA" w:rsidRPr="00933EA2" w:rsidRDefault="00DD75EA" w:rsidP="00933EA2">
      <w:pPr>
        <w:jc w:val="both"/>
      </w:pPr>
      <w:r>
        <w:t xml:space="preserve">Denne liste offentliggøres på den franske spillemyndigheds websted. </w:t>
      </w:r>
    </w:p>
    <w:p w14:paraId="1FC7BE82" w14:textId="77777777" w:rsidR="00DD75EA" w:rsidRPr="00933EA2" w:rsidRDefault="00DD75EA" w:rsidP="00933EA2">
      <w:pPr>
        <w:jc w:val="both"/>
      </w:pPr>
    </w:p>
    <w:p w14:paraId="4CE44A0E" w14:textId="77777777" w:rsidR="00DD75EA" w:rsidRPr="00933EA2" w:rsidRDefault="00DD75EA" w:rsidP="00933EA2">
      <w:pPr>
        <w:keepNext/>
        <w:keepLines/>
        <w:jc w:val="center"/>
        <w:rPr>
          <w:b/>
        </w:rPr>
      </w:pPr>
      <w:r>
        <w:rPr>
          <w:b/>
        </w:rPr>
        <w:t>Artikel 12</w:t>
      </w:r>
    </w:p>
    <w:p w14:paraId="6CF9EA34" w14:textId="77777777" w:rsidR="00DD75EA" w:rsidRPr="00933EA2" w:rsidRDefault="00DD75EA" w:rsidP="00933EA2">
      <w:pPr>
        <w:keepNext/>
        <w:keepLines/>
        <w:rPr>
          <w:b/>
        </w:rPr>
      </w:pPr>
    </w:p>
    <w:p w14:paraId="4A9AB50A" w14:textId="77777777" w:rsidR="00DD75EA" w:rsidRPr="00933EA2" w:rsidRDefault="00DD75EA" w:rsidP="00933EA2">
      <w:pPr>
        <w:jc w:val="both"/>
      </w:pPr>
      <w:r>
        <w:t xml:space="preserve">Listen som omtalt i artikel 11 kan udelukkende omfatte organer: </w:t>
      </w:r>
    </w:p>
    <w:p w14:paraId="2C202D0E" w14:textId="77777777" w:rsidR="00DD75EA" w:rsidRPr="00933EA2" w:rsidRDefault="00DD75EA" w:rsidP="00933EA2">
      <w:pPr>
        <w:pStyle w:val="ListParagraph"/>
        <w:numPr>
          <w:ilvl w:val="0"/>
          <w:numId w:val="3"/>
        </w:numPr>
        <w:spacing w:after="200" w:line="276" w:lineRule="auto"/>
        <w:jc w:val="both"/>
      </w:pPr>
      <w:r>
        <w:t xml:space="preserve">der er oprettet i en medlemsstat i EU eller Det Europæiske Økonomiske Samarbejdsområde </w:t>
      </w:r>
    </w:p>
    <w:p w14:paraId="696D458E" w14:textId="77777777" w:rsidR="00DD75EA" w:rsidRPr="00933EA2" w:rsidRDefault="00DD75EA" w:rsidP="00933EA2">
      <w:pPr>
        <w:pStyle w:val="ListParagraph"/>
        <w:numPr>
          <w:ilvl w:val="0"/>
          <w:numId w:val="3"/>
        </w:numPr>
        <w:spacing w:after="200" w:line="276" w:lineRule="auto"/>
        <w:jc w:val="both"/>
      </w:pPr>
      <w:r>
        <w:t xml:space="preserve">der råder over tilstrækkelige kompetencer og behørigt kvalificeret personale </w:t>
      </w:r>
    </w:p>
    <w:p w14:paraId="20123FC4" w14:textId="131ED45B" w:rsidR="00DD75EA" w:rsidRPr="00933EA2" w:rsidRDefault="00DD75EA" w:rsidP="00933EA2">
      <w:pPr>
        <w:pStyle w:val="ListParagraph"/>
        <w:numPr>
          <w:ilvl w:val="0"/>
          <w:numId w:val="3"/>
        </w:numPr>
        <w:spacing w:after="200" w:line="276" w:lineRule="auto"/>
        <w:jc w:val="both"/>
      </w:pPr>
      <w:r>
        <w:t xml:space="preserve">der udfører uafhængigt og upartisk certificeringsarbejde, navnlig i overensstemmelse med bestemmelserne i artikel 17. </w:t>
      </w:r>
    </w:p>
    <w:p w14:paraId="7724FA3F" w14:textId="77777777" w:rsidR="00DD75EA" w:rsidRPr="00933EA2" w:rsidRDefault="00DD75EA" w:rsidP="00933EA2">
      <w:pPr>
        <w:pStyle w:val="ListParagraph"/>
        <w:ind w:left="1065"/>
        <w:jc w:val="both"/>
      </w:pPr>
    </w:p>
    <w:p w14:paraId="60A13DFE" w14:textId="77777777" w:rsidR="00DD75EA" w:rsidRPr="00933EA2" w:rsidRDefault="00DD75EA" w:rsidP="00933EA2">
      <w:pPr>
        <w:keepNext/>
        <w:keepLines/>
        <w:jc w:val="center"/>
        <w:rPr>
          <w:b/>
        </w:rPr>
      </w:pPr>
      <w:r>
        <w:rPr>
          <w:b/>
        </w:rPr>
        <w:lastRenderedPageBreak/>
        <w:t>Artikel 13</w:t>
      </w:r>
    </w:p>
    <w:p w14:paraId="24D423E6" w14:textId="77777777" w:rsidR="00DD75EA" w:rsidRPr="00933EA2" w:rsidRDefault="00DD75EA" w:rsidP="00933EA2">
      <w:pPr>
        <w:keepNext/>
        <w:keepLines/>
        <w:rPr>
          <w:b/>
        </w:rPr>
      </w:pPr>
    </w:p>
    <w:p w14:paraId="23B39F27" w14:textId="2DA08637" w:rsidR="00DD75EA" w:rsidRPr="00933EA2" w:rsidRDefault="00DD75EA" w:rsidP="00933EA2">
      <w:pPr>
        <w:jc w:val="both"/>
      </w:pPr>
      <w:r>
        <w:t>Ansøgningen om registrering på listen over certificeringsorganer affattes på fransk. Den sendes til den franske spillemyndighed elektronisk eller via brev eller indleveres med kvittering for modtagelsen på myndighedens hjemsted. Den franske spillemyndighed kvitterer for modtagelsen på en hvilken som helst måde og behandler registreringen.</w:t>
      </w:r>
    </w:p>
    <w:p w14:paraId="3CED70A9" w14:textId="77777777" w:rsidR="00DD75EA" w:rsidRPr="00933EA2" w:rsidRDefault="00DD75EA" w:rsidP="00933EA2">
      <w:pPr>
        <w:jc w:val="both"/>
      </w:pPr>
    </w:p>
    <w:p w14:paraId="7C07E6E5" w14:textId="77777777" w:rsidR="00DD75EA" w:rsidRPr="00933EA2" w:rsidRDefault="00DD75EA" w:rsidP="00933EA2">
      <w:pPr>
        <w:keepNext/>
        <w:keepLines/>
        <w:jc w:val="center"/>
        <w:rPr>
          <w:b/>
        </w:rPr>
      </w:pPr>
      <w:r>
        <w:rPr>
          <w:b/>
        </w:rPr>
        <w:t>Artikel 14</w:t>
      </w:r>
    </w:p>
    <w:p w14:paraId="5631E7C9" w14:textId="77777777" w:rsidR="00DD75EA" w:rsidRPr="00933EA2" w:rsidRDefault="00DD75EA" w:rsidP="00933EA2">
      <w:pPr>
        <w:keepNext/>
        <w:keepLines/>
        <w:jc w:val="both"/>
        <w:rPr>
          <w:b/>
        </w:rPr>
      </w:pPr>
    </w:p>
    <w:p w14:paraId="5395E8F4" w14:textId="77777777" w:rsidR="00DD75EA" w:rsidRPr="00933EA2" w:rsidRDefault="00DD75EA" w:rsidP="00933EA2">
      <w:pPr>
        <w:jc w:val="both"/>
      </w:pPr>
      <w:r>
        <w:t xml:space="preserve">Den franske spillemyndighed gennemgår ansøgningen om registrering på listen over certificeringsorganer inden for to måneder fra modtagelsesdatoen. </w:t>
      </w:r>
    </w:p>
    <w:p w14:paraId="3916B7CD" w14:textId="77777777" w:rsidR="00DD75EA" w:rsidRPr="00933EA2" w:rsidRDefault="00DD75EA" w:rsidP="00933EA2">
      <w:pPr>
        <w:jc w:val="both"/>
      </w:pPr>
      <w:r>
        <w:t>Ansøgningen om registrering indeholder de nødvendige elementer, således at den franske spillemyndighed kan sikre sig, at ansøgeren råder over de kompetencer, der kræves for at kunne blive registreret på listen over certificeringsorganer, nemlig:</w:t>
      </w:r>
    </w:p>
    <w:p w14:paraId="3796012D" w14:textId="77777777" w:rsidR="00DD75EA" w:rsidRPr="00933EA2" w:rsidRDefault="00DD75EA" w:rsidP="00933EA2">
      <w:pPr>
        <w:pStyle w:val="ListParagraph"/>
        <w:numPr>
          <w:ilvl w:val="0"/>
          <w:numId w:val="3"/>
        </w:numPr>
        <w:spacing w:after="200" w:line="276" w:lineRule="auto"/>
        <w:jc w:val="both"/>
      </w:pPr>
      <w:r>
        <w:t>et dokument, der gør rede for referencer til tjenesteydelser, ansøgeren har tilvejebragt inden for ekspertbistand, der ligner certificeringstjenesteydelser, samt de perioder, hvor disse tjenesteydelser er blevet tilvejebragt</w:t>
      </w:r>
    </w:p>
    <w:p w14:paraId="10B7DCB0" w14:textId="77777777" w:rsidR="00DD75EA" w:rsidRPr="00933EA2" w:rsidRDefault="00DD75EA" w:rsidP="00933EA2">
      <w:pPr>
        <w:pStyle w:val="ListParagraph"/>
        <w:numPr>
          <w:ilvl w:val="0"/>
          <w:numId w:val="3"/>
        </w:numPr>
        <w:spacing w:after="200" w:line="276" w:lineRule="auto"/>
        <w:jc w:val="both"/>
      </w:pPr>
      <w:r>
        <w:t xml:space="preserve">listen over personer med ansvar for certificeringsarbejdet og deres detaljerede CV'er </w:t>
      </w:r>
    </w:p>
    <w:p w14:paraId="789A0E65" w14:textId="77777777" w:rsidR="00DD75EA" w:rsidRPr="00933EA2" w:rsidRDefault="00DD75EA" w:rsidP="00933EA2">
      <w:pPr>
        <w:pStyle w:val="ListParagraph"/>
        <w:numPr>
          <w:ilvl w:val="0"/>
          <w:numId w:val="3"/>
        </w:numPr>
        <w:spacing w:after="200" w:line="276" w:lineRule="auto"/>
        <w:jc w:val="both"/>
      </w:pPr>
      <w:r>
        <w:t>"typiske" analyserapporter til redegørelse for de anvendte metoder og den detaljeringsgrad, de gennemførte analyser har, hvad angår gældende intrusive revisioner og revisioner af hostingplatformens konfiguration.</w:t>
      </w:r>
    </w:p>
    <w:p w14:paraId="49273D50" w14:textId="77777777" w:rsidR="00DD75EA" w:rsidRPr="00933EA2" w:rsidRDefault="00DD75EA" w:rsidP="00933EA2">
      <w:pPr>
        <w:jc w:val="both"/>
      </w:pPr>
      <w:r>
        <w:t xml:space="preserve">Er ansøgningen ufuldstændig, modtager ansøgeren et brev, hvori vedkommende anmodes om inden for mindst 14 dage at fremlægge det/de manglende dokument(er). </w:t>
      </w:r>
    </w:p>
    <w:p w14:paraId="01681363" w14:textId="77777777" w:rsidR="00DD75EA" w:rsidRPr="00933EA2" w:rsidRDefault="00DD75EA" w:rsidP="00933EA2">
      <w:pPr>
        <w:jc w:val="both"/>
      </w:pPr>
      <w:r>
        <w:t>Behandlingen af registreringsansøgningen indstilles i denne periode. En ansøgning, der fortsat er ufuldstændig efter den fastlagte periode, medfører, at den franske spillemyndighed træffer en afgørelse om, at registreringsansøgningen er ugyldig.</w:t>
      </w:r>
    </w:p>
    <w:p w14:paraId="10BC70F8" w14:textId="77777777" w:rsidR="00DD75EA" w:rsidRPr="00933EA2" w:rsidRDefault="00DD75EA" w:rsidP="00933EA2">
      <w:pPr>
        <w:jc w:val="both"/>
      </w:pPr>
      <w:r>
        <w:t xml:space="preserve">Under behandlingen er ansøgeren forpligtet til efter den franske spillemyndigheds anmodning at afgive alle oplysninger, som bidrager til belysningen af elementerne i den indsendte ansøgning for myndigheden. Derudover vil ansøgeren også kunne blive afhørt af den franske spillemyndighed. </w:t>
      </w:r>
    </w:p>
    <w:p w14:paraId="28468FD2" w14:textId="77777777" w:rsidR="00DD75EA" w:rsidRPr="00933EA2" w:rsidRDefault="00DD75EA" w:rsidP="00933EA2">
      <w:pPr>
        <w:jc w:val="both"/>
      </w:pPr>
    </w:p>
    <w:p w14:paraId="36083355" w14:textId="77777777" w:rsidR="00DD75EA" w:rsidRPr="00933EA2" w:rsidRDefault="00DD75EA" w:rsidP="00933EA2">
      <w:pPr>
        <w:keepNext/>
        <w:keepLines/>
        <w:jc w:val="center"/>
        <w:rPr>
          <w:b/>
        </w:rPr>
      </w:pPr>
      <w:r>
        <w:rPr>
          <w:b/>
        </w:rPr>
        <w:t>Artikel 15</w:t>
      </w:r>
    </w:p>
    <w:p w14:paraId="73A6235F" w14:textId="77777777" w:rsidR="00DD75EA" w:rsidRPr="00933EA2" w:rsidRDefault="00DD75EA" w:rsidP="00933EA2">
      <w:pPr>
        <w:keepNext/>
        <w:keepLines/>
        <w:rPr>
          <w:b/>
        </w:rPr>
      </w:pPr>
    </w:p>
    <w:p w14:paraId="47A7F3CA" w14:textId="77777777" w:rsidR="00DD75EA" w:rsidRPr="00933EA2" w:rsidRDefault="00DD75EA" w:rsidP="00933EA2">
      <w:pPr>
        <w:jc w:val="both"/>
      </w:pPr>
      <w:r>
        <w:t xml:space="preserve">Registreringen på listen over certificeringsorganer gælder i fem år. Den kan forlænges. </w:t>
      </w:r>
    </w:p>
    <w:p w14:paraId="11406507" w14:textId="77777777" w:rsidR="00DD75EA" w:rsidRPr="00933EA2" w:rsidRDefault="00DD75EA" w:rsidP="00933EA2">
      <w:pPr>
        <w:jc w:val="both"/>
      </w:pPr>
      <w:r>
        <w:t xml:space="preserve">Afgørelsen om registrering omfatter i givet fald de særlige forpligtelser, certificeringsorganerne er underlagt. </w:t>
      </w:r>
    </w:p>
    <w:p w14:paraId="6E706C72" w14:textId="77777777" w:rsidR="00DD75EA" w:rsidRPr="00933EA2" w:rsidRDefault="00DD75EA" w:rsidP="00933EA2">
      <w:pPr>
        <w:jc w:val="both"/>
      </w:pPr>
      <w:r>
        <w:t xml:space="preserve">En afgørelse om at afvise registreringen begrundes og meddeles interessenten på en måde, som gør det muligt at fastslå datoen for modtagelsen. </w:t>
      </w:r>
    </w:p>
    <w:p w14:paraId="07C8A19F" w14:textId="77777777" w:rsidR="00DD75EA" w:rsidRPr="00933EA2" w:rsidRDefault="00DD75EA" w:rsidP="00933EA2">
      <w:pPr>
        <w:rPr>
          <w:b/>
        </w:rPr>
      </w:pPr>
    </w:p>
    <w:p w14:paraId="36ED0FA1" w14:textId="77777777" w:rsidR="00DD75EA" w:rsidRPr="00933EA2" w:rsidRDefault="00DD75EA" w:rsidP="00933EA2">
      <w:pPr>
        <w:keepNext/>
        <w:keepLines/>
        <w:jc w:val="center"/>
        <w:rPr>
          <w:b/>
        </w:rPr>
      </w:pPr>
      <w:r>
        <w:rPr>
          <w:b/>
        </w:rPr>
        <w:t>KAPITEL 2 – CERTIFICERINGSORGANERNES FORPLIGTELSER</w:t>
      </w:r>
    </w:p>
    <w:p w14:paraId="3F7D562D" w14:textId="77777777" w:rsidR="00DD75EA" w:rsidRPr="00933EA2" w:rsidRDefault="00DD75EA" w:rsidP="00933EA2">
      <w:pPr>
        <w:keepNext/>
        <w:keepLines/>
        <w:rPr>
          <w:b/>
        </w:rPr>
      </w:pPr>
    </w:p>
    <w:p w14:paraId="465FC926" w14:textId="3AC4548B" w:rsidR="00DD75EA" w:rsidRPr="00933EA2" w:rsidRDefault="00DD75EA" w:rsidP="00933EA2">
      <w:pPr>
        <w:keepNext/>
        <w:keepLines/>
        <w:jc w:val="center"/>
        <w:rPr>
          <w:b/>
        </w:rPr>
      </w:pPr>
      <w:r>
        <w:rPr>
          <w:b/>
        </w:rPr>
        <w:t>Artikel 16</w:t>
      </w:r>
    </w:p>
    <w:p w14:paraId="63B4979C" w14:textId="77777777" w:rsidR="00DD75EA" w:rsidRPr="00933EA2" w:rsidRDefault="00DD75EA" w:rsidP="00933EA2">
      <w:pPr>
        <w:keepNext/>
        <w:keepLines/>
        <w:rPr>
          <w:b/>
        </w:rPr>
      </w:pPr>
    </w:p>
    <w:p w14:paraId="22292F97" w14:textId="77777777" w:rsidR="00DD75EA" w:rsidRPr="00933EA2" w:rsidRDefault="00DD75EA" w:rsidP="00933EA2">
      <w:pPr>
        <w:jc w:val="both"/>
      </w:pPr>
      <w:r>
        <w:t xml:space="preserve">De organer, der er registreret på listen over certificeringsorganer, udfører det certificeringsarbejde, der er blevet betroet dem, i henhold til det nuværende tekniske niveau. </w:t>
      </w:r>
    </w:p>
    <w:p w14:paraId="21136742" w14:textId="77777777" w:rsidR="00DD75EA" w:rsidRPr="00933EA2" w:rsidRDefault="00DD75EA" w:rsidP="00933EA2">
      <w:pPr>
        <w:jc w:val="both"/>
      </w:pPr>
      <w:r>
        <w:t>Der fremsendes en kopi af certificeringsaftalen som indgået mellem certificeringsorganet og den udbyder, der er genstand for certificeringen, til den franske spillemyndighed forud for certificeringsarbejdets udførelse.</w:t>
      </w:r>
    </w:p>
    <w:p w14:paraId="006D19AF" w14:textId="77777777" w:rsidR="00DD75EA" w:rsidRPr="00933EA2" w:rsidRDefault="00DD75EA" w:rsidP="00933EA2">
      <w:pPr>
        <w:jc w:val="both"/>
      </w:pPr>
    </w:p>
    <w:p w14:paraId="747F05B8" w14:textId="18EC357C" w:rsidR="00DD75EA" w:rsidRPr="00933EA2" w:rsidRDefault="00DD75EA" w:rsidP="00933EA2">
      <w:pPr>
        <w:keepNext/>
        <w:keepLines/>
        <w:jc w:val="center"/>
        <w:rPr>
          <w:b/>
        </w:rPr>
      </w:pPr>
      <w:r>
        <w:rPr>
          <w:b/>
        </w:rPr>
        <w:lastRenderedPageBreak/>
        <w:t>Artikel 17</w:t>
      </w:r>
    </w:p>
    <w:p w14:paraId="480B580F" w14:textId="77777777" w:rsidR="00DD75EA" w:rsidRPr="00933EA2" w:rsidRDefault="00DD75EA" w:rsidP="00933EA2">
      <w:pPr>
        <w:keepNext/>
        <w:keepLines/>
        <w:rPr>
          <w:b/>
        </w:rPr>
      </w:pPr>
    </w:p>
    <w:p w14:paraId="763E1256" w14:textId="77777777" w:rsidR="00DD75EA" w:rsidRPr="00933EA2" w:rsidRDefault="00DD75EA" w:rsidP="00933EA2">
      <w:pPr>
        <w:jc w:val="both"/>
      </w:pPr>
      <w:r>
        <w:t xml:space="preserve">De organer, der er registreret på listen over certificeringsorganer, er uafhængige af den udbyder, de udfører certificeringsarbejdet for. </w:t>
      </w:r>
    </w:p>
    <w:p w14:paraId="465253BE" w14:textId="77777777" w:rsidR="00DD75EA" w:rsidRPr="00933EA2" w:rsidRDefault="00DD75EA" w:rsidP="00933EA2">
      <w:pPr>
        <w:jc w:val="both"/>
      </w:pPr>
      <w:r>
        <w:t xml:space="preserve">Organet må ikke udføre certificeringsarbejde for en udbyder af spil eller væddemål på nettet eller for den juridiske person som anført i artikel 137 i ovennævnte lov af 22. maj 2019, såfremt organet har fungeret som rådgiver eller tjenesteudbyder for denne inden for de 12 måneder, der ligger forud for underskrivelsen af certificeringsaftalen. </w:t>
      </w:r>
    </w:p>
    <w:p w14:paraId="5F638C71" w14:textId="77777777" w:rsidR="00DD75EA" w:rsidRPr="00933EA2" w:rsidRDefault="00DD75EA" w:rsidP="00933EA2">
      <w:pPr>
        <w:jc w:val="both"/>
      </w:pPr>
      <w:r>
        <w:t>Varigheden af den hvervsuforenelighed, der er omtalt i det foregående stykke, løber fra det tidspunkt, hvor den seneste af følgende to hændelser fandt sted:</w:t>
      </w:r>
    </w:p>
    <w:p w14:paraId="090FC4E3" w14:textId="77777777" w:rsidR="00DD75EA" w:rsidRPr="00933EA2" w:rsidRDefault="00DD75EA" w:rsidP="00933EA2">
      <w:pPr>
        <w:pStyle w:val="ListParagraph"/>
        <w:numPr>
          <w:ilvl w:val="0"/>
          <w:numId w:val="3"/>
        </w:numPr>
        <w:spacing w:after="200" w:line="276" w:lineRule="auto"/>
        <w:jc w:val="both"/>
      </w:pPr>
      <w:r>
        <w:t xml:space="preserve">den seneste tjenesteydelse som tilvejebragt af certificeringsorganet til fordel for den udbyder, der er genstand for certificeringen </w:t>
      </w:r>
    </w:p>
    <w:p w14:paraId="3D00F947" w14:textId="77777777" w:rsidR="00DD75EA" w:rsidRPr="00933EA2" w:rsidRDefault="00DD75EA" w:rsidP="00933EA2">
      <w:pPr>
        <w:pStyle w:val="ListParagraph"/>
        <w:numPr>
          <w:ilvl w:val="0"/>
          <w:numId w:val="3"/>
        </w:numPr>
        <w:spacing w:after="200" w:line="276" w:lineRule="auto"/>
        <w:jc w:val="both"/>
      </w:pPr>
      <w:r>
        <w:t xml:space="preserve">den seneste betaling som tilvejebragt af den udbyder, der er genstand for certificeringen, til certificeringsorganet. </w:t>
      </w:r>
    </w:p>
    <w:p w14:paraId="6967F733" w14:textId="77777777" w:rsidR="00DD75EA" w:rsidRPr="00933EA2" w:rsidRDefault="00DD75EA" w:rsidP="00933EA2">
      <w:pPr>
        <w:jc w:val="both"/>
      </w:pPr>
      <w:r>
        <w:t xml:space="preserve">Hvervsuforeneligheden som omtalt i nærværende artikel gælder under samme betingelser i det tilfælde, hvor certificeringsorganet har fungeret som rådgiver eller tjenesteudbyder for et selskab, der varetager kontrollen af den udbyder, der er genstand for certificeringen, i henhold til artikel L. 233-16 i handelsloven, eller som kontrolleres af denne. </w:t>
      </w:r>
    </w:p>
    <w:p w14:paraId="54835AA2" w14:textId="77777777" w:rsidR="00DD75EA" w:rsidRPr="00933EA2" w:rsidRDefault="00DD75EA" w:rsidP="00933EA2">
      <w:pPr>
        <w:jc w:val="both"/>
      </w:pPr>
      <w:r>
        <w:t>Organet som registreret på listen over certificeringsorganer underretter den franske spillemyndighed om enhver situation, der indebærer en interessekonflikt, hvad angår certificeringsarbejdet.</w:t>
      </w:r>
    </w:p>
    <w:p w14:paraId="4E38E366" w14:textId="77777777" w:rsidR="00DD75EA" w:rsidRPr="00933EA2" w:rsidRDefault="00DD75EA" w:rsidP="00933EA2">
      <w:pPr>
        <w:jc w:val="both"/>
      </w:pPr>
    </w:p>
    <w:p w14:paraId="7778A521" w14:textId="38CC997C" w:rsidR="00DD75EA" w:rsidRPr="00933EA2" w:rsidRDefault="00DD75EA" w:rsidP="00933EA2">
      <w:pPr>
        <w:keepNext/>
        <w:keepLines/>
        <w:jc w:val="center"/>
        <w:rPr>
          <w:b/>
        </w:rPr>
      </w:pPr>
      <w:r>
        <w:rPr>
          <w:b/>
        </w:rPr>
        <w:t>Artikel 18</w:t>
      </w:r>
    </w:p>
    <w:p w14:paraId="6A63E476" w14:textId="77777777" w:rsidR="00DD75EA" w:rsidRPr="00933EA2" w:rsidRDefault="00DD75EA" w:rsidP="00933EA2">
      <w:pPr>
        <w:keepNext/>
        <w:keepLines/>
        <w:rPr>
          <w:b/>
        </w:rPr>
      </w:pPr>
    </w:p>
    <w:p w14:paraId="15407E47" w14:textId="77777777" w:rsidR="00DD75EA" w:rsidRPr="00933EA2" w:rsidRDefault="00DD75EA" w:rsidP="00933EA2">
      <w:pPr>
        <w:jc w:val="both"/>
      </w:pPr>
      <w:r>
        <w:t xml:space="preserve">Den franske spillemyndighed sikrer sig i givet fald ved hjælp af en revision, at certificeringsorganet fortsat opfylder forpligtelserne knyttet til registreringen på listen over certificeringsorganer, navnlig hvad angår kvaliteten af de udførte certificeringer. </w:t>
      </w:r>
    </w:p>
    <w:p w14:paraId="6639237C" w14:textId="77777777" w:rsidR="00DD75EA" w:rsidRPr="00933EA2" w:rsidRDefault="00DD75EA" w:rsidP="00933EA2">
      <w:pPr>
        <w:jc w:val="both"/>
      </w:pPr>
    </w:p>
    <w:p w14:paraId="39134701" w14:textId="1C28EFCF" w:rsidR="00DD75EA" w:rsidRPr="00933EA2" w:rsidRDefault="00DD75EA" w:rsidP="00933EA2">
      <w:pPr>
        <w:keepNext/>
        <w:keepLines/>
        <w:jc w:val="center"/>
        <w:rPr>
          <w:b/>
        </w:rPr>
      </w:pPr>
      <w:r>
        <w:rPr>
          <w:b/>
        </w:rPr>
        <w:t>Artikel 19</w:t>
      </w:r>
    </w:p>
    <w:p w14:paraId="3397CDFA" w14:textId="77777777" w:rsidR="00DD75EA" w:rsidRPr="00933EA2" w:rsidRDefault="00DD75EA" w:rsidP="00933EA2">
      <w:pPr>
        <w:keepNext/>
        <w:keepLines/>
        <w:rPr>
          <w:b/>
        </w:rPr>
      </w:pPr>
    </w:p>
    <w:p w14:paraId="61C5B6C7" w14:textId="77777777" w:rsidR="00DD75EA" w:rsidRPr="00933EA2" w:rsidRDefault="00DD75EA" w:rsidP="00933EA2">
      <w:pPr>
        <w:jc w:val="both"/>
      </w:pPr>
      <w:r>
        <w:t xml:space="preserve">Organet som registreret på listen over certificeringsorganer oplyser straks den franske spillemyndighed om enhver ændring i de oplysninger, der indgik i registreringsansøgningen. </w:t>
      </w:r>
    </w:p>
    <w:p w14:paraId="7901CAA7" w14:textId="77777777" w:rsidR="00DD75EA" w:rsidRPr="00933EA2" w:rsidRDefault="00DD75EA" w:rsidP="00933EA2">
      <w:pPr>
        <w:jc w:val="both"/>
      </w:pPr>
      <w:r>
        <w:t xml:space="preserve">Såfremt organet ikke længere opfylder de betingelser, der er knyttet til vedkommendes registrering på listen over certificeringsorganer, eller de forpligtelser, der er knyttet til registreringen, kan den franske spillemyndighed fjerne organet fra listen. </w:t>
      </w:r>
    </w:p>
    <w:p w14:paraId="54C86B1E" w14:textId="77777777" w:rsidR="00DD75EA" w:rsidRPr="00933EA2" w:rsidRDefault="00DD75EA" w:rsidP="00933EA2">
      <w:pPr>
        <w:jc w:val="both"/>
      </w:pPr>
      <w:r>
        <w:t>Den franske spillemyndighed meddeler forud for fjernelsen interessenten på en måde, som gør det muligt at fastslå datoen for modtagelsen af denne meddelelse, om, at den agter at fjerne organet fra listen over certificeringsorganer, og opfordrer vedkommende til at fremsende sine skriftlige bemærkninger inden for mindst 14 dage.</w:t>
      </w:r>
    </w:p>
    <w:p w14:paraId="27C240E1" w14:textId="77777777" w:rsidR="00DD75EA" w:rsidRPr="00933EA2" w:rsidRDefault="00DD75EA" w:rsidP="00933EA2">
      <w:pPr>
        <w:jc w:val="both"/>
      </w:pPr>
      <w:r>
        <w:t xml:space="preserve">Beslutningen om fjernelse begrundes og meddeles interessenten på en måde, som gør det muligt at fastslå datoen for modtagelsen. </w:t>
      </w:r>
    </w:p>
    <w:p w14:paraId="623FCF8D" w14:textId="77777777" w:rsidR="00DD75EA" w:rsidRPr="00933EA2" w:rsidRDefault="00DD75EA" w:rsidP="00933EA2">
      <w:pPr>
        <w:jc w:val="both"/>
      </w:pPr>
      <w:r>
        <w:t>Listen over certificeringsorganer opdateres herefter.</w:t>
      </w:r>
    </w:p>
    <w:p w14:paraId="450A4FEE" w14:textId="77777777" w:rsidR="00DD75EA" w:rsidRPr="00933EA2" w:rsidRDefault="00DD75EA" w:rsidP="00933EA2">
      <w:pPr>
        <w:jc w:val="both"/>
      </w:pPr>
      <w:r>
        <w:t xml:space="preserve"> </w:t>
      </w:r>
    </w:p>
    <w:p w14:paraId="37A93308" w14:textId="77777777" w:rsidR="00DD75EA" w:rsidRPr="00933EA2" w:rsidRDefault="00DD75EA" w:rsidP="00933EA2">
      <w:pPr>
        <w:keepNext/>
        <w:keepLines/>
        <w:jc w:val="center"/>
        <w:rPr>
          <w:b/>
        </w:rPr>
      </w:pPr>
      <w:r>
        <w:rPr>
          <w:b/>
        </w:rPr>
        <w:t>KAPITEL 3 – CERTIFICERINGSARBEJDE</w:t>
      </w:r>
    </w:p>
    <w:p w14:paraId="71177E03" w14:textId="77777777" w:rsidR="00DD75EA" w:rsidRPr="00933EA2" w:rsidRDefault="00DD75EA" w:rsidP="00933EA2">
      <w:pPr>
        <w:keepNext/>
        <w:keepLines/>
        <w:rPr>
          <w:b/>
        </w:rPr>
      </w:pPr>
    </w:p>
    <w:p w14:paraId="2D4A3D91" w14:textId="69848FCB" w:rsidR="00DD75EA" w:rsidRPr="00933EA2" w:rsidRDefault="00DD75EA" w:rsidP="00933EA2">
      <w:pPr>
        <w:keepNext/>
        <w:keepLines/>
        <w:jc w:val="center"/>
        <w:rPr>
          <w:b/>
        </w:rPr>
      </w:pPr>
      <w:r>
        <w:rPr>
          <w:b/>
        </w:rPr>
        <w:t>Artikel 20</w:t>
      </w:r>
    </w:p>
    <w:p w14:paraId="14289C8D" w14:textId="77777777" w:rsidR="00DD75EA" w:rsidRPr="00933EA2" w:rsidRDefault="00DD75EA" w:rsidP="00933EA2">
      <w:pPr>
        <w:keepNext/>
        <w:keepLines/>
        <w:rPr>
          <w:b/>
        </w:rPr>
      </w:pPr>
    </w:p>
    <w:p w14:paraId="750A7B87" w14:textId="77777777" w:rsidR="00DD75EA" w:rsidRPr="00933EA2" w:rsidRDefault="00DD75EA" w:rsidP="00933EA2">
      <w:pPr>
        <w:jc w:val="both"/>
      </w:pPr>
      <w:r>
        <w:t xml:space="preserve">I henhold til bestemmelserne i artikel 23 i ovennævnte lov af 12. maj 2010 vedrører certificeringsarbejdet udbyderens opfyldelse af alle de tekniske forpligtelser, der finder anvendelse på arbejdet. </w:t>
      </w:r>
    </w:p>
    <w:p w14:paraId="2E31CDA0" w14:textId="77777777" w:rsidR="00DD75EA" w:rsidRPr="00933EA2" w:rsidRDefault="00DD75EA" w:rsidP="00933EA2">
      <w:pPr>
        <w:jc w:val="both"/>
      </w:pPr>
      <w:r>
        <w:lastRenderedPageBreak/>
        <w:t xml:space="preserve">Den franske spillemyndighed fastlægger metoden for, arten og omfanget af certificeringsorganets udførte kontrol. </w:t>
      </w:r>
    </w:p>
    <w:p w14:paraId="47AA3609" w14:textId="77777777" w:rsidR="00DD75EA" w:rsidRPr="00933EA2" w:rsidRDefault="00DD75EA" w:rsidP="00933EA2">
      <w:pPr>
        <w:jc w:val="both"/>
      </w:pPr>
    </w:p>
    <w:p w14:paraId="67E7D8F9" w14:textId="1D8D5669" w:rsidR="00DD75EA" w:rsidRPr="00933EA2" w:rsidRDefault="00DD75EA" w:rsidP="00933EA2">
      <w:pPr>
        <w:keepNext/>
        <w:keepLines/>
        <w:jc w:val="center"/>
        <w:rPr>
          <w:b/>
        </w:rPr>
      </w:pPr>
      <w:r>
        <w:rPr>
          <w:b/>
        </w:rPr>
        <w:t>Artikel 21</w:t>
      </w:r>
    </w:p>
    <w:p w14:paraId="447BC344" w14:textId="77777777" w:rsidR="00DD75EA" w:rsidRPr="00933EA2" w:rsidRDefault="00DD75EA" w:rsidP="00933EA2">
      <w:pPr>
        <w:keepNext/>
        <w:keepLines/>
        <w:rPr>
          <w:b/>
        </w:rPr>
      </w:pPr>
    </w:p>
    <w:p w14:paraId="5AFED660" w14:textId="77777777" w:rsidR="00DD75EA" w:rsidRPr="00933EA2" w:rsidRDefault="00DD75EA" w:rsidP="00933EA2">
      <w:pPr>
        <w:jc w:val="both"/>
      </w:pPr>
      <w:r>
        <w:t xml:space="preserve">Analysearbejdet, som udføres af certificeringsorganet, skal ikke gentages i løbet af den enkelte certificering: Hvert enkelt kontrolleret krav er genstand for en enkelt foranstaltning. </w:t>
      </w:r>
    </w:p>
    <w:p w14:paraId="7D73166F" w14:textId="77777777" w:rsidR="00DD75EA" w:rsidRPr="00933EA2" w:rsidRDefault="00DD75EA" w:rsidP="00933EA2">
      <w:pPr>
        <w:jc w:val="both"/>
      </w:pPr>
      <w:r>
        <w:t xml:space="preserve">Der kan på tidspunktet for foranstaltningen finde en udveksling sted mellem certificeringsorganet og udbyderen, som førstnævnte varetager certificeringen af. Så snart foranstaltningen er blevet gennemført, vil en sådan udveksling dog under ingen omstændigheder kunne medføre, at certificeringsorganet træffer endnu en foranstaltning. </w:t>
      </w:r>
    </w:p>
    <w:p w14:paraId="4330A04D" w14:textId="696746BE" w:rsidR="00DD75EA" w:rsidRPr="00933EA2" w:rsidRDefault="00DD75EA" w:rsidP="00933EA2">
      <w:pPr>
        <w:jc w:val="both"/>
      </w:pPr>
      <w:r>
        <w:t xml:space="preserve">De ændringer, der i givet fald måtte været indført af en udbyder under certificeringen i forbindelse med et allerede behandlet kontrolpunkt, kan navnlig ikke resultere i ændringer i de oprindelige konstateringer, der fremgår af certificeringsrapporten. </w:t>
      </w:r>
    </w:p>
    <w:p w14:paraId="3B828D1A" w14:textId="77777777" w:rsidR="00DD75EA" w:rsidRPr="00933EA2" w:rsidRDefault="00DD75EA" w:rsidP="00933EA2">
      <w:pPr>
        <w:jc w:val="both"/>
      </w:pPr>
    </w:p>
    <w:p w14:paraId="1A6C0433" w14:textId="5238B0B1" w:rsidR="00DD75EA" w:rsidRPr="00933EA2" w:rsidRDefault="00DD75EA" w:rsidP="00933EA2">
      <w:pPr>
        <w:keepNext/>
        <w:keepLines/>
        <w:jc w:val="center"/>
        <w:rPr>
          <w:b/>
        </w:rPr>
      </w:pPr>
      <w:r>
        <w:rPr>
          <w:b/>
        </w:rPr>
        <w:t>Artikel 22</w:t>
      </w:r>
    </w:p>
    <w:p w14:paraId="3CE9E5A1" w14:textId="77777777" w:rsidR="00DD75EA" w:rsidRPr="00933EA2" w:rsidRDefault="00DD75EA" w:rsidP="00933EA2">
      <w:pPr>
        <w:keepNext/>
        <w:keepLines/>
        <w:rPr>
          <w:b/>
        </w:rPr>
      </w:pPr>
    </w:p>
    <w:p w14:paraId="741B27CE" w14:textId="63DF5921" w:rsidR="00DD75EA" w:rsidRPr="00933EA2" w:rsidRDefault="00DD75EA" w:rsidP="00933EA2">
      <w:pPr>
        <w:jc w:val="both"/>
      </w:pPr>
      <w:r>
        <w:t xml:space="preserve">Ved arbejdets afslutning udarbejder certificeringsorganet en rapport, der redegør for de forhold, der er blevet konstateret. Rapporten omfatter en liste over alle de konstaterede uregelmæssigheder – uagtet deres alvorlighedsgrad. </w:t>
      </w:r>
    </w:p>
    <w:p w14:paraId="50D2ED44" w14:textId="77777777" w:rsidR="00DD75EA" w:rsidRPr="00933EA2" w:rsidRDefault="00DD75EA" w:rsidP="00933EA2">
      <w:pPr>
        <w:jc w:val="both"/>
      </w:pPr>
      <w:r>
        <w:t xml:space="preserve">Rapporten munder enten ud i en certificering uden forbehold eller en certificering med forbehold. </w:t>
      </w:r>
    </w:p>
    <w:p w14:paraId="46E5250A" w14:textId="77777777" w:rsidR="00DD75EA" w:rsidRPr="00933EA2" w:rsidRDefault="00DD75EA" w:rsidP="00933EA2">
      <w:pPr>
        <w:jc w:val="both"/>
      </w:pPr>
      <w:r>
        <w:t xml:space="preserve">Certificeringen følger med forbehold, når et eller flere af de tekniske krav, der er forbundet med en alvorlighedsgrad som fastlagt i den tekniske referenceramme, ikke er opfyldt. </w:t>
      </w:r>
    </w:p>
    <w:p w14:paraId="5FCADA94" w14:textId="77777777" w:rsidR="00DD75EA" w:rsidRPr="00933EA2" w:rsidRDefault="00DD75EA" w:rsidP="00933EA2">
      <w:pPr>
        <w:jc w:val="both"/>
      </w:pPr>
      <w:r>
        <w:t xml:space="preserve">Certificeringsorganet fremsender certificeringsdokumentationen i henhold til artikel 23 i ovenstående lov af 12. maj 2010 til den pågældende udbyder, således at førnævnte sikrer overdragelsen som fastsat i denne artikel. Det fremgår af dokumentationen, hvorvidt certificeringen følger med eller uden forbehold, og der redegøres i givet fald for de(t) pågældende forbehold. </w:t>
      </w:r>
    </w:p>
    <w:p w14:paraId="043059D4" w14:textId="77777777" w:rsidR="00DD75EA" w:rsidRPr="00933EA2" w:rsidRDefault="00DD75EA" w:rsidP="00933EA2">
      <w:pPr>
        <w:jc w:val="both"/>
      </w:pPr>
    </w:p>
    <w:p w14:paraId="4DF2C95F" w14:textId="0A6B373C" w:rsidR="00DD75EA" w:rsidRPr="00933EA2" w:rsidRDefault="00DD75EA" w:rsidP="00933EA2">
      <w:pPr>
        <w:keepNext/>
        <w:keepLines/>
        <w:jc w:val="center"/>
        <w:rPr>
          <w:b/>
        </w:rPr>
      </w:pPr>
      <w:r>
        <w:rPr>
          <w:b/>
        </w:rPr>
        <w:t>Artikel 23</w:t>
      </w:r>
    </w:p>
    <w:p w14:paraId="7624138E" w14:textId="77777777" w:rsidR="00DD75EA" w:rsidRPr="00933EA2" w:rsidRDefault="00DD75EA" w:rsidP="00933EA2">
      <w:pPr>
        <w:keepNext/>
        <w:keepLines/>
        <w:rPr>
          <w:b/>
        </w:rPr>
      </w:pPr>
    </w:p>
    <w:p w14:paraId="610F2AD1" w14:textId="77777777" w:rsidR="00DD75EA" w:rsidRPr="00933EA2" w:rsidRDefault="00DD75EA" w:rsidP="00933EA2">
      <w:pPr>
        <w:jc w:val="both"/>
      </w:pPr>
      <w:r>
        <w:t xml:space="preserve">Efter at certificeringsrapporten er blevet indgivet, udarbejder udbyderen – hvis relevant – dokumentation for uregelmæssigheder, som vedkommende fremsender til den franske spillemyndighed inden for en måned fra rapportens indgivelse. Denne dokumentation for uregelmæssigheder sendes til certificeringsorganet til informationsformål. </w:t>
      </w:r>
    </w:p>
    <w:p w14:paraId="1DEA7410" w14:textId="77777777" w:rsidR="00DD75EA" w:rsidRPr="00933EA2" w:rsidRDefault="00DD75EA" w:rsidP="00933EA2">
      <w:pPr>
        <w:jc w:val="both"/>
      </w:pPr>
      <w:r>
        <w:t xml:space="preserve">Dokumentationen for uregelmæssigheder adskiller sig fra certificeringsrapporten, </w:t>
      </w:r>
    </w:p>
    <w:p w14:paraId="46733F03" w14:textId="77777777" w:rsidR="00DD75EA" w:rsidRPr="00933EA2" w:rsidRDefault="00DD75EA" w:rsidP="00933EA2">
      <w:pPr>
        <w:jc w:val="both"/>
      </w:pPr>
      <w:r>
        <w:t xml:space="preserve">idet den omfatter en liste over alle de registrerede uregelmæssigheder i certificeringsrapporten – uagtet deres alvorlighedsgrad. </w:t>
      </w:r>
    </w:p>
    <w:p w14:paraId="4E452E94" w14:textId="77777777" w:rsidR="00DD75EA" w:rsidRPr="00933EA2" w:rsidRDefault="00DD75EA" w:rsidP="00933EA2">
      <w:pPr>
        <w:jc w:val="both"/>
      </w:pPr>
      <w:r>
        <w:t xml:space="preserve">Udbyderen foreslår i givet fald afhjælpende foranstaltninger til den enkelte uregelmæssighed samt en gennemførelsesplan herfor. </w:t>
      </w:r>
    </w:p>
    <w:p w14:paraId="4F18D176" w14:textId="77777777" w:rsidR="00DD75EA" w:rsidRPr="00933EA2" w:rsidRDefault="00DD75EA" w:rsidP="00933EA2">
      <w:pPr>
        <w:jc w:val="both"/>
      </w:pPr>
      <w:r>
        <w:t xml:space="preserve">Dokumentationen for uregelmæssigheder giver endvidere udbyderen mulighed for at videregive nyttige oplysninger eller observationer til den franske spillemyndighed, hvad angår certificeringsarbejdets afvikling, og heri redegøres der for en eventuel uenighed med konklusionerne i rapporten eller den anvendte metode. Udbyderen kan i givet fald træffe en ny foranstaltning og fremlægge resultatet af denne foranstaltning i dokumentationen for uregelmæssigheder. </w:t>
      </w:r>
    </w:p>
    <w:p w14:paraId="062872B7" w14:textId="77777777" w:rsidR="00DD75EA" w:rsidRPr="00933EA2" w:rsidRDefault="00DD75EA" w:rsidP="00933EA2">
      <w:pPr>
        <w:rPr>
          <w:b/>
        </w:rPr>
      </w:pPr>
    </w:p>
    <w:p w14:paraId="58C57799" w14:textId="4E32B005" w:rsidR="00DD75EA" w:rsidRPr="00933EA2" w:rsidRDefault="00DD75EA" w:rsidP="00933EA2">
      <w:pPr>
        <w:keepNext/>
        <w:keepLines/>
        <w:jc w:val="center"/>
        <w:rPr>
          <w:b/>
        </w:rPr>
      </w:pPr>
      <w:r>
        <w:rPr>
          <w:b/>
        </w:rPr>
        <w:lastRenderedPageBreak/>
        <w:t>Artikel 24</w:t>
      </w:r>
    </w:p>
    <w:p w14:paraId="2A8A0D5D" w14:textId="77777777" w:rsidR="00DD75EA" w:rsidRPr="00933EA2" w:rsidRDefault="00DD75EA" w:rsidP="00933EA2">
      <w:pPr>
        <w:keepNext/>
        <w:keepLines/>
        <w:rPr>
          <w:b/>
        </w:rPr>
      </w:pPr>
    </w:p>
    <w:p w14:paraId="0D2F6807" w14:textId="77777777" w:rsidR="00DD75EA" w:rsidRPr="00933EA2" w:rsidRDefault="00DD75EA" w:rsidP="00933EA2">
      <w:pPr>
        <w:jc w:val="both"/>
      </w:pPr>
      <w:r>
        <w:t xml:space="preserve">De organer, der er registreret på listen over certificeringsorganer som følge af deres tekniske kompetencer forud for nærværende dekrets offentliggørelsesdato, forbliver registreret på listen indtil udløbet af den periode, der er angivet i de gældende bestemmelser på registreringstidspunktet. </w:t>
      </w:r>
    </w:p>
    <w:p w14:paraId="6EB693B4" w14:textId="77777777" w:rsidR="00D13FBA" w:rsidRPr="00933EA2" w:rsidRDefault="00DD75EA" w:rsidP="00933EA2">
      <w:pPr>
        <w:jc w:val="both"/>
      </w:pPr>
      <w:r>
        <w:t xml:space="preserve">De organer, der er registreret på listen over certificeringsorganer som følge af deres tekniske kompetencer i deres egenskab af underleverandør forud for nærværende dekrets offentliggørelsesdato, forbliver registreret på listen indtil udløbet af den periode, der er angivet i de gældende bestemmelser på registreringstidspunktet. De kan hovedsagelig tilbyde certificeringsarbejde inden for rammerne af bestemmelserne i nærværende dekret fra offentliggørelsestidspunktet. </w:t>
      </w:r>
    </w:p>
    <w:p w14:paraId="6D4D6550" w14:textId="77777777" w:rsidR="001441BB" w:rsidRPr="00933EA2" w:rsidRDefault="001441BB" w:rsidP="00933EA2">
      <w:pPr>
        <w:jc w:val="both"/>
      </w:pPr>
    </w:p>
    <w:p w14:paraId="4D3490E4" w14:textId="77777777" w:rsidR="008701C9" w:rsidRPr="00933EA2" w:rsidRDefault="008701C9" w:rsidP="00933EA2">
      <w:pPr>
        <w:jc w:val="both"/>
      </w:pPr>
    </w:p>
    <w:p w14:paraId="74A76B25" w14:textId="0F312A14" w:rsidR="008701C9" w:rsidRPr="00933EA2" w:rsidRDefault="008701C9" w:rsidP="00933EA2">
      <w:pPr>
        <w:keepNext/>
        <w:keepLines/>
        <w:jc w:val="center"/>
        <w:rPr>
          <w:b/>
        </w:rPr>
      </w:pPr>
      <w:r>
        <w:rPr>
          <w:b/>
        </w:rPr>
        <w:t>KAPITEL IV: MAKSIMAL GEVINSTPROCENT, SOM DE GODKENDTE UDBYDERE AF HESTEVÆDDEMÅL OG SPORTSVÆDDEMÅL PÅ NETTET I GENNEMSNIT UDBETALER TIL SPILLERNE</w:t>
      </w:r>
    </w:p>
    <w:p w14:paraId="55C64EFF" w14:textId="77777777" w:rsidR="00DD75EA" w:rsidRPr="00933EA2" w:rsidRDefault="00DD75EA" w:rsidP="00933EA2">
      <w:pPr>
        <w:pStyle w:val="BodyText"/>
        <w:keepNext/>
        <w:keepLines/>
      </w:pPr>
    </w:p>
    <w:p w14:paraId="33D15D7C" w14:textId="099784A4" w:rsidR="008701C9" w:rsidRPr="00933EA2" w:rsidRDefault="008701C9" w:rsidP="00933EA2">
      <w:pPr>
        <w:pStyle w:val="BodyText"/>
        <w:keepNext/>
        <w:keepLines/>
        <w:jc w:val="center"/>
        <w:rPr>
          <w:b/>
        </w:rPr>
      </w:pPr>
      <w:r>
        <w:rPr>
          <w:b/>
        </w:rPr>
        <w:t>Artikel 25</w:t>
      </w:r>
    </w:p>
    <w:p w14:paraId="01FC3784" w14:textId="77777777" w:rsidR="008701C9" w:rsidRPr="00933EA2" w:rsidRDefault="008701C9" w:rsidP="00933EA2">
      <w:pPr>
        <w:pStyle w:val="BodyText"/>
        <w:keepNext/>
        <w:keepLines/>
      </w:pPr>
    </w:p>
    <w:p w14:paraId="43EA71C9" w14:textId="77777777" w:rsidR="008701C9" w:rsidRPr="00933EA2" w:rsidRDefault="008701C9" w:rsidP="00933EA2">
      <w:pPr>
        <w:pStyle w:val="BodyText"/>
        <w:jc w:val="both"/>
      </w:pPr>
      <w:r>
        <w:t>Den maksimale gevinstprocent, som spiludbyderne i gennemsnit udbetaler til spillerne, nævnt i artikel 13, afsnit II, i ovennævnte lov af 12. maj 2010, defineres som forholdet mellem de beløb, som udbyderne af væddemål udbetaler til spillerne, og disse spilleres indsatser.</w:t>
      </w:r>
    </w:p>
    <w:p w14:paraId="141BF3A8" w14:textId="77777777" w:rsidR="008701C9" w:rsidRPr="00933EA2" w:rsidRDefault="008701C9" w:rsidP="00933EA2">
      <w:pPr>
        <w:pStyle w:val="BodyText"/>
        <w:jc w:val="both"/>
      </w:pPr>
    </w:p>
    <w:p w14:paraId="0F5F3107" w14:textId="14C82C5F" w:rsidR="008701C9" w:rsidRPr="00933EA2" w:rsidRDefault="008701C9" w:rsidP="00933EA2">
      <w:pPr>
        <w:pStyle w:val="BodyText"/>
        <w:keepNext/>
        <w:keepLines/>
        <w:jc w:val="center"/>
        <w:rPr>
          <w:b/>
        </w:rPr>
      </w:pPr>
      <w:r>
        <w:rPr>
          <w:b/>
        </w:rPr>
        <w:t>Artikel 26</w:t>
      </w:r>
    </w:p>
    <w:p w14:paraId="51E88779" w14:textId="77777777" w:rsidR="008701C9" w:rsidRPr="00933EA2" w:rsidRDefault="008701C9" w:rsidP="00933EA2">
      <w:pPr>
        <w:keepNext/>
        <w:keepLines/>
        <w:jc w:val="both"/>
        <w:rPr>
          <w:strike/>
        </w:rPr>
      </w:pPr>
    </w:p>
    <w:p w14:paraId="60A2140F" w14:textId="5E5AF31B" w:rsidR="008701C9" w:rsidRPr="00933EA2" w:rsidRDefault="008701C9" w:rsidP="00933EA2">
      <w:pPr>
        <w:jc w:val="both"/>
      </w:pPr>
      <w:r>
        <w:t>De beløb, der udbetales til spillerne, udgøres af de samlede gevinster i kontanter eller naturalier, som forfalder, når begivenheden(-erne) har fundet sted, idet spillet er baseret på denne/disse begivenhed(er), herunder de beløb, som udbyderen tilvejebringer, på betingelse af at spilleren kan kræve dette beløb udbetalt på sin betalingskonto.</w:t>
      </w:r>
    </w:p>
    <w:p w14:paraId="44E85AE4" w14:textId="77777777" w:rsidR="008701C9" w:rsidRPr="00933EA2" w:rsidRDefault="008701C9" w:rsidP="00933EA2">
      <w:pPr>
        <w:jc w:val="both"/>
      </w:pPr>
    </w:p>
    <w:p w14:paraId="20F3B5B2" w14:textId="77777777" w:rsidR="008701C9" w:rsidRPr="00933EA2" w:rsidRDefault="008701C9" w:rsidP="00933EA2">
      <w:pPr>
        <w:jc w:val="both"/>
      </w:pPr>
      <w:r>
        <w:t xml:space="preserve">Spillernes indsatser udgøres af de beløb i kontanter, som spillerne skyder ind, og konteres, når begivenheden(-erne) har fundet sted, idet spillet er baseret på denne/disse begivenhed(er). </w:t>
      </w:r>
    </w:p>
    <w:p w14:paraId="408E3179" w14:textId="7A55EB21" w:rsidR="008701C9" w:rsidRDefault="008701C9" w:rsidP="00933EA2">
      <w:pPr>
        <w:pStyle w:val="BodyText"/>
        <w:keepNext/>
        <w:keepLines/>
        <w:jc w:val="center"/>
        <w:rPr>
          <w:b/>
        </w:rPr>
      </w:pPr>
      <w:r>
        <w:rPr>
          <w:b/>
        </w:rPr>
        <w:t>Artikel 27</w:t>
      </w:r>
    </w:p>
    <w:p w14:paraId="2795718B" w14:textId="77777777" w:rsidR="00933EA2" w:rsidRPr="00933EA2" w:rsidRDefault="00933EA2" w:rsidP="00933EA2">
      <w:pPr>
        <w:keepNext/>
        <w:keepLines/>
        <w:jc w:val="both"/>
        <w:rPr>
          <w:strike/>
        </w:rPr>
      </w:pPr>
    </w:p>
    <w:p w14:paraId="2A0CD78F" w14:textId="77777777" w:rsidR="008701C9" w:rsidRPr="00933EA2" w:rsidRDefault="008701C9" w:rsidP="00933EA2">
      <w:pPr>
        <w:jc w:val="both"/>
      </w:pPr>
      <w:r>
        <w:t>Den gevinstprocent, som i gennemsnit udbetales til spillerne inden for rammerne af væddemålsvirksomhed på nettet er på 85 %.</w:t>
      </w:r>
    </w:p>
    <w:p w14:paraId="49B6524E" w14:textId="4D2A42CE" w:rsidR="008701C9" w:rsidRPr="00933EA2" w:rsidRDefault="008701C9" w:rsidP="00933EA2">
      <w:pPr>
        <w:pStyle w:val="BodyText"/>
        <w:keepNext/>
        <w:keepLines/>
        <w:jc w:val="center"/>
        <w:rPr>
          <w:b/>
        </w:rPr>
      </w:pPr>
      <w:r>
        <w:rPr>
          <w:b/>
        </w:rPr>
        <w:t>Artikel 28</w:t>
      </w:r>
    </w:p>
    <w:p w14:paraId="72804D81" w14:textId="77777777" w:rsidR="008701C9" w:rsidRPr="00933EA2" w:rsidRDefault="008701C9" w:rsidP="00933EA2">
      <w:pPr>
        <w:keepNext/>
        <w:keepLines/>
        <w:jc w:val="both"/>
        <w:rPr>
          <w:strike/>
        </w:rPr>
      </w:pPr>
    </w:p>
    <w:p w14:paraId="52D40D03" w14:textId="77777777" w:rsidR="008701C9" w:rsidRPr="00933EA2" w:rsidRDefault="008701C9" w:rsidP="00933EA2">
      <w:pPr>
        <w:jc w:val="both"/>
      </w:pPr>
      <w:r>
        <w:t>Det maksimale beløb, som i gennemsnit udbetales til spillerne i henhold til artikel 28:</w:t>
      </w:r>
    </w:p>
    <w:p w14:paraId="2C04064E" w14:textId="77777777" w:rsidR="008701C9" w:rsidRPr="00933EA2" w:rsidRDefault="008701C9" w:rsidP="00933EA2">
      <w:pPr>
        <w:ind w:left="708"/>
        <w:jc w:val="both"/>
      </w:pPr>
      <w:r>
        <w:t>1° skal vurderes fra godkendelse til godkendelse</w:t>
      </w:r>
    </w:p>
    <w:p w14:paraId="3172AC7D" w14:textId="77777777" w:rsidR="008701C9" w:rsidRPr="00933EA2" w:rsidRDefault="008701C9" w:rsidP="00933EA2">
      <w:pPr>
        <w:ind w:left="708"/>
        <w:jc w:val="both"/>
      </w:pPr>
      <w:r>
        <w:t>2° skal vurderes årligt baseret på kalenderåret.</w:t>
      </w:r>
    </w:p>
    <w:p w14:paraId="174FFC32" w14:textId="77777777" w:rsidR="008701C9" w:rsidRPr="00933EA2" w:rsidRDefault="008701C9" w:rsidP="00933EA2">
      <w:pPr>
        <w:ind w:left="708"/>
        <w:jc w:val="both"/>
      </w:pPr>
    </w:p>
    <w:p w14:paraId="728ADA42" w14:textId="77777777" w:rsidR="008701C9" w:rsidRPr="00933EA2" w:rsidRDefault="008701C9" w:rsidP="00933EA2">
      <w:pPr>
        <w:rPr>
          <w:b/>
        </w:rPr>
      </w:pPr>
    </w:p>
    <w:p w14:paraId="53E41CD9" w14:textId="6951AF60" w:rsidR="008701C9" w:rsidRDefault="008701C9" w:rsidP="00933EA2">
      <w:pPr>
        <w:pStyle w:val="BodyText"/>
        <w:keepNext/>
        <w:keepLines/>
        <w:jc w:val="center"/>
        <w:rPr>
          <w:b/>
        </w:rPr>
      </w:pPr>
      <w:r>
        <w:rPr>
          <w:b/>
        </w:rPr>
        <w:lastRenderedPageBreak/>
        <w:t>Artikel 29</w:t>
      </w:r>
    </w:p>
    <w:p w14:paraId="253ED52E" w14:textId="77777777" w:rsidR="00933EA2" w:rsidRPr="00933EA2" w:rsidRDefault="00933EA2" w:rsidP="00933EA2">
      <w:pPr>
        <w:keepNext/>
        <w:keepLines/>
        <w:rPr>
          <w:b/>
        </w:rPr>
      </w:pPr>
    </w:p>
    <w:p w14:paraId="713388DF" w14:textId="77777777" w:rsidR="008701C9" w:rsidRPr="00933EA2" w:rsidRDefault="008701C9" w:rsidP="00933EA2">
      <w:pPr>
        <w:spacing w:before="100" w:beforeAutospacing="1" w:after="100" w:afterAutospacing="1"/>
        <w:jc w:val="both"/>
      </w:pPr>
      <w:r>
        <w:t>I. ― Hvert kvartal skal udbyderen, i medfør af sine aktiviteter inden for hver af de godkendelser til spiludbydere på nettet, som vedkommende er i besiddelse af, indsende et dokument til den franske spillemyndighed, som gør rede for de samlede beløb, som er udbetalt eller skal udbetales til spillerne, og disses samlede indsatser.</w:t>
      </w:r>
    </w:p>
    <w:p w14:paraId="6116BD42" w14:textId="559F7A3D" w:rsidR="008701C9" w:rsidRPr="00933EA2" w:rsidRDefault="008701C9" w:rsidP="00933EA2">
      <w:pPr>
        <w:spacing w:before="100" w:beforeAutospacing="1" w:after="100" w:afterAutospacing="1"/>
        <w:jc w:val="both"/>
      </w:pPr>
      <w:r>
        <w:t>II. ― Udbyderen opgør gevinsterne i naturalier, således at de indgår i beregningen af det beløb, vedkommende har udbetalt til spillerne. Udbyderen underretter den franske spillemyndighed om de elementer, opgørelsen tog udgangspunkt i.</w:t>
      </w:r>
    </w:p>
    <w:p w14:paraId="40677CB2" w14:textId="77777777" w:rsidR="008701C9" w:rsidRPr="00933EA2" w:rsidRDefault="008701C9" w:rsidP="00933EA2">
      <w:pPr>
        <w:spacing w:before="100" w:beforeAutospacing="1" w:after="100" w:afterAutospacing="1"/>
        <w:jc w:val="both"/>
      </w:pPr>
      <w:r>
        <w:t>III. ― Dette dokument indsendes:</w:t>
      </w:r>
    </w:p>
    <w:p w14:paraId="5D278BD5" w14:textId="77777777" w:rsidR="008701C9" w:rsidRPr="00933EA2" w:rsidRDefault="008701C9" w:rsidP="00933EA2">
      <w:pPr>
        <w:spacing w:before="100" w:beforeAutospacing="1" w:after="100" w:afterAutospacing="1"/>
        <w:jc w:val="both"/>
      </w:pPr>
      <w:r>
        <w:t>1° senest den 15. april vedrørende væddemålsaktiviteter, som er gennemført i løbet af første kvartal af det indeværende år</w:t>
      </w:r>
    </w:p>
    <w:p w14:paraId="512C5C0B" w14:textId="77777777" w:rsidR="008701C9" w:rsidRPr="00933EA2" w:rsidRDefault="008701C9" w:rsidP="00933EA2">
      <w:pPr>
        <w:spacing w:before="100" w:beforeAutospacing="1" w:after="100" w:afterAutospacing="1"/>
        <w:jc w:val="both"/>
      </w:pPr>
      <w:r>
        <w:t>2° senest den 15. juli vedrørende væddemålsaktiviteter, som er gennemført i løbet af andet kvartal af det indeværende år</w:t>
      </w:r>
    </w:p>
    <w:p w14:paraId="2DD400E4" w14:textId="77777777" w:rsidR="008701C9" w:rsidRPr="00933EA2" w:rsidRDefault="008701C9" w:rsidP="00933EA2">
      <w:pPr>
        <w:spacing w:before="100" w:beforeAutospacing="1" w:after="100" w:afterAutospacing="1"/>
        <w:jc w:val="both"/>
      </w:pPr>
      <w:r>
        <w:t>3° senest den 15. oktober vedrørende væddemålsaktiviteter, som er gennemført i løbet af tredje kvartal af det indeværende år</w:t>
      </w:r>
    </w:p>
    <w:p w14:paraId="3932FE13" w14:textId="77777777" w:rsidR="008701C9" w:rsidRPr="00933EA2" w:rsidRDefault="008701C9" w:rsidP="00933EA2">
      <w:pPr>
        <w:spacing w:before="100" w:beforeAutospacing="1" w:after="100" w:afterAutospacing="1"/>
        <w:jc w:val="both"/>
      </w:pPr>
      <w:r>
        <w:t>4° senest den 15. januar vedrørende væddemålsaktiviteter, som er gennemført i løbet af fjerde kvartal af det foregående år.</w:t>
      </w:r>
    </w:p>
    <w:p w14:paraId="53B60FC2" w14:textId="77777777" w:rsidR="008701C9" w:rsidRPr="00933EA2" w:rsidRDefault="008701C9" w:rsidP="00933EA2">
      <w:pPr>
        <w:jc w:val="both"/>
        <w:rPr>
          <w:u w:val="single"/>
        </w:rPr>
      </w:pPr>
    </w:p>
    <w:p w14:paraId="0A87592D" w14:textId="07D61823" w:rsidR="008701C9" w:rsidRDefault="008701C9" w:rsidP="00933EA2">
      <w:pPr>
        <w:pStyle w:val="BodyText"/>
        <w:keepNext/>
        <w:keepLines/>
        <w:jc w:val="center"/>
        <w:rPr>
          <w:b/>
        </w:rPr>
      </w:pPr>
      <w:r>
        <w:rPr>
          <w:b/>
        </w:rPr>
        <w:t>Artikel 30</w:t>
      </w:r>
    </w:p>
    <w:p w14:paraId="76851D86" w14:textId="77777777" w:rsidR="00933EA2" w:rsidRPr="00933EA2" w:rsidRDefault="00933EA2" w:rsidP="00933EA2">
      <w:pPr>
        <w:keepNext/>
        <w:keepLines/>
        <w:rPr>
          <w:b/>
        </w:rPr>
      </w:pPr>
    </w:p>
    <w:p w14:paraId="0574C2B5" w14:textId="77777777" w:rsidR="008701C9" w:rsidRPr="00933EA2" w:rsidRDefault="008701C9" w:rsidP="00933EA2">
      <w:pPr>
        <w:spacing w:before="100" w:beforeAutospacing="1" w:after="100" w:afterAutospacing="1"/>
        <w:jc w:val="both"/>
      </w:pPr>
      <w:r>
        <w:t xml:space="preserve">Udbydere, som er i besiddelse af godkendelsen omhandlet i </w:t>
      </w:r>
      <w:hyperlink r:id="rId6" w:history="1">
        <w:r>
          <w:t>artikel 21 i ovennævnte lov af 12. maj 2010</w:t>
        </w:r>
      </w:hyperlink>
      <w:r>
        <w:t>, og som beslutter at sammenlægge deres egne spilleres indsatser i en fælles pulje, indgår en skriftlig aftale herom.</w:t>
      </w:r>
    </w:p>
    <w:p w14:paraId="6B5E456F" w14:textId="77777777" w:rsidR="008701C9" w:rsidRPr="00452EF3" w:rsidRDefault="008701C9" w:rsidP="00933EA2">
      <w:pPr>
        <w:spacing w:after="240"/>
        <w:jc w:val="both"/>
      </w:pPr>
      <w:r>
        <w:t xml:space="preserve">Et eksemplar af aftalen om sammenlægning af indsatser i en fælles pulje fremsendes til den franske spillemyndighed efter aftalens underskrivelse. </w:t>
      </w:r>
    </w:p>
    <w:p w14:paraId="1A9AAF8F" w14:textId="77777777" w:rsidR="008701C9" w:rsidRPr="00933EA2" w:rsidRDefault="008701C9" w:rsidP="00933EA2">
      <w:pPr>
        <w:spacing w:after="240"/>
        <w:jc w:val="both"/>
      </w:pPr>
      <w:r>
        <w:t>I aftalen fastlægges rettigheder og forpligtelser for de godkendte udbydere, som er part i aftalen, og navnlig:</w:t>
      </w:r>
    </w:p>
    <w:p w14:paraId="3B4DBAB8" w14:textId="77777777" w:rsidR="008701C9" w:rsidRPr="00933EA2" w:rsidRDefault="008701C9" w:rsidP="00933EA2">
      <w:pPr>
        <w:spacing w:after="240"/>
        <w:jc w:val="both"/>
      </w:pPr>
      <w:r>
        <w:t>1° den person, som skal forvalte puljen således, at de godkendte udbydere overholder den maksimale gevinstprocent, som i gennemsnit udbetales til spillerne og er nærmere fastsat i artikel 3</w:t>
      </w:r>
    </w:p>
    <w:p w14:paraId="30010068" w14:textId="77777777" w:rsidR="008701C9" w:rsidRPr="00933EA2" w:rsidRDefault="008701C9" w:rsidP="00933EA2">
      <w:pPr>
        <w:spacing w:after="240"/>
        <w:jc w:val="both"/>
      </w:pPr>
      <w:r>
        <w:t>2° med hensyn til hestevæddemål, hvilket væddeløb eller hvilke væddeløbsrækker samt hvilken resultattype der er genstand for sammenlægningen af indsatser i en fælles pulje</w:t>
      </w:r>
    </w:p>
    <w:p w14:paraId="31796E46" w14:textId="77777777" w:rsidR="008701C9" w:rsidRPr="00933EA2" w:rsidRDefault="008701C9" w:rsidP="00933EA2">
      <w:pPr>
        <w:spacing w:after="240"/>
        <w:jc w:val="both"/>
      </w:pPr>
      <w:r>
        <w:t>3° med hensyn til sportsvæddemål, hvilken konkurrence eller sportsbegivenhed samt hvilken resultattype der er genstand for sammenlægningen af indsatser i en fælles pulje</w:t>
      </w:r>
    </w:p>
    <w:p w14:paraId="1A883AC4" w14:textId="00104EDC" w:rsidR="008701C9" w:rsidRPr="00933EA2" w:rsidRDefault="008701C9" w:rsidP="00933EA2">
      <w:pPr>
        <w:spacing w:after="240"/>
        <w:jc w:val="both"/>
      </w:pPr>
      <w:r>
        <w:lastRenderedPageBreak/>
        <w:t>4</w:t>
      </w:r>
      <w:r w:rsidR="00CC2943">
        <w:t>°</w:t>
      </w:r>
      <w:r>
        <w:t xml:space="preserve"> reglerne for forvaltning af bonus, overskud af indsatser og gevinster, som udbyderne har fastlagt med henblik på at overholde procenten i artikel 27</w:t>
      </w:r>
    </w:p>
    <w:p w14:paraId="774321AE" w14:textId="0C69C15C" w:rsidR="008701C9" w:rsidRPr="00933EA2" w:rsidRDefault="008701C9" w:rsidP="00933EA2">
      <w:pPr>
        <w:spacing w:after="240"/>
        <w:jc w:val="both"/>
      </w:pPr>
      <w:r>
        <w:t>5</w:t>
      </w:r>
      <w:r w:rsidR="00CC2943">
        <w:t>°</w:t>
      </w:r>
      <w:r>
        <w:t xml:space="preserve"> de tekniske regler for, hvordan indsatserne sammenlægges i en fælles pulje.</w:t>
      </w:r>
    </w:p>
    <w:p w14:paraId="656FFE0E" w14:textId="77777777" w:rsidR="008701C9" w:rsidRPr="00933EA2" w:rsidRDefault="008701C9" w:rsidP="00933EA2">
      <w:pPr>
        <w:jc w:val="both"/>
        <w:rPr>
          <w:u w:val="single"/>
        </w:rPr>
      </w:pPr>
    </w:p>
    <w:p w14:paraId="14724404" w14:textId="387E552C" w:rsidR="008701C9" w:rsidRPr="00933EA2" w:rsidRDefault="00B705CF" w:rsidP="00933EA2">
      <w:pPr>
        <w:pStyle w:val="BodyText"/>
        <w:keepNext/>
        <w:keepLines/>
        <w:jc w:val="center"/>
        <w:rPr>
          <w:b/>
        </w:rPr>
      </w:pPr>
      <w:r>
        <w:rPr>
          <w:b/>
        </w:rPr>
        <w:t>Artikel 31</w:t>
      </w:r>
    </w:p>
    <w:p w14:paraId="7EA81AA0" w14:textId="77777777" w:rsidR="008701C9" w:rsidRPr="00933EA2" w:rsidRDefault="008701C9" w:rsidP="00933EA2">
      <w:pPr>
        <w:keepNext/>
        <w:keepLines/>
        <w:rPr>
          <w:b/>
        </w:rPr>
      </w:pPr>
    </w:p>
    <w:p w14:paraId="12126FC7" w14:textId="77777777" w:rsidR="008701C9" w:rsidRPr="00933EA2" w:rsidRDefault="008701C9" w:rsidP="00933EA2">
      <w:pPr>
        <w:jc w:val="both"/>
      </w:pPr>
      <w:r>
        <w:t>Den gevinstprocent (TRJ), som i gennemsnit udbetales til spillerne, bestemmes for hver godkendt udbyder, som er part i en aftale om sammenlægning af indsatser i en fælles pulje, ved hjælp af følgende formel:</w:t>
      </w:r>
    </w:p>
    <w:p w14:paraId="6856DE50" w14:textId="5415CC7F" w:rsidR="008701C9" w:rsidRPr="00933EA2" w:rsidRDefault="008701C9" w:rsidP="00933EA2">
      <w:pPr>
        <w:spacing w:before="100" w:beforeAutospacing="1" w:after="100" w:afterAutospacing="1"/>
        <w:jc w:val="both"/>
      </w:pPr>
      <w:r>
        <w:t xml:space="preserve">Se formlen i kopien af den franske statstidende nr. 0244 af 21/10/2015, tekst nr. 6, på nedenstående adresse: </w:t>
      </w:r>
    </w:p>
    <w:p w14:paraId="679B85AB" w14:textId="77777777" w:rsidR="008701C9" w:rsidRPr="00933EA2" w:rsidRDefault="00B71874" w:rsidP="00933EA2">
      <w:pPr>
        <w:spacing w:before="100" w:beforeAutospacing="1" w:after="100" w:afterAutospacing="1"/>
        <w:jc w:val="both"/>
      </w:pPr>
      <w:hyperlink r:id="rId7" w:history="1">
        <w:r w:rsidR="006F137F">
          <w:rPr>
            <w:color w:val="0000FF"/>
            <w:u w:val="single"/>
          </w:rPr>
          <w:t>http://www.legifrance.gouv.fr/jopdf/common/jo_pdf.jsp?numJO=0&amp;dateJO=20151021&amp;numTexte=6&amp;pageDebut=19518&amp;pageFin=19519</w:t>
        </w:r>
      </w:hyperlink>
      <w:r w:rsidR="006F137F">
        <w:t xml:space="preserve"> </w:t>
      </w:r>
    </w:p>
    <w:p w14:paraId="5463CC75" w14:textId="77777777" w:rsidR="008701C9" w:rsidRPr="00933EA2" w:rsidRDefault="008701C9" w:rsidP="00933EA2">
      <w:pPr>
        <w:spacing w:before="100" w:beforeAutospacing="1" w:after="100" w:afterAutospacing="1"/>
        <w:jc w:val="both"/>
      </w:pPr>
      <w:r>
        <w:t>Mises(Mi) svarer til spillernes samlede indsatser hos den godkendte udbyder i puljen Mi.</w:t>
      </w:r>
    </w:p>
    <w:p w14:paraId="13A78E75" w14:textId="77777777" w:rsidR="008701C9" w:rsidRPr="00933EA2" w:rsidRDefault="008701C9" w:rsidP="00933EA2">
      <w:pPr>
        <w:spacing w:before="100" w:beforeAutospacing="1" w:after="100" w:afterAutospacing="1"/>
        <w:jc w:val="both"/>
      </w:pPr>
      <w:r>
        <w:t>M0 svarer til indsatser, der ikke er sammenlagt i en pulje fælles med andre godkendte udbydere. Disse samlede indsatser svarer alt efter forholdene til den godkendte udbyders egne samlede indsatser eller de indsatser, som den pågældende udbyder har sammenlagt i en pulje fælles med udbydere, der ikke er i besiddelse af godkendelsen i artikel 21 i ovennævnte lov af 12. maj 2010.</w:t>
      </w:r>
    </w:p>
    <w:p w14:paraId="1E10CBD7" w14:textId="77777777" w:rsidR="008701C9" w:rsidRPr="00933EA2" w:rsidRDefault="008701C9" w:rsidP="00933EA2">
      <w:pPr>
        <w:spacing w:before="100" w:beforeAutospacing="1" w:after="100" w:afterAutospacing="1"/>
        <w:jc w:val="both"/>
      </w:pPr>
      <w:r>
        <w:t>Mi med i≠0 svarer til de indsatser, der er sammenlagt i en pulje fælles med andre godkendte udbydere i henhold til kontrakten i.</w:t>
      </w:r>
    </w:p>
    <w:p w14:paraId="0568A677" w14:textId="77777777" w:rsidR="008701C9" w:rsidRPr="00933EA2" w:rsidRDefault="008701C9" w:rsidP="00933EA2">
      <w:pPr>
        <w:spacing w:before="100" w:beforeAutospacing="1" w:after="100" w:afterAutospacing="1"/>
        <w:jc w:val="both"/>
      </w:pPr>
      <w:r>
        <w:t>∑nj = 0 Indsatser (Mj) svarer til de samlede indsatser, som den godkendte udbyders spillere har foretaget.</w:t>
      </w:r>
    </w:p>
    <w:p w14:paraId="1AC6CEEB" w14:textId="77777777" w:rsidR="008701C9" w:rsidRPr="00933EA2" w:rsidRDefault="008701C9" w:rsidP="00933EA2">
      <w:pPr>
        <w:spacing w:before="100" w:beforeAutospacing="1" w:after="100" w:afterAutospacing="1"/>
        <w:jc w:val="both"/>
      </w:pPr>
      <w:r>
        <w:t>TRJ(M0) svarer til gevinstprocenten (TRJ) af udbyderens samlede indsatser, som ikke er sammenlagt i en pulje fælles med andre godkendte udbydere. TRJ(M0) beregnes efter den generelle fremgangsmåde beskrevet i artikel 1 og 2, hvor der udelukkende medtages elementer tilknyttet transaktioner, som ikke er sammenlagt i en pulje fælles med godkendte udbydere og udelukkende er foretaget af udbyderens spillere.</w:t>
      </w:r>
    </w:p>
    <w:p w14:paraId="57FCBCE0" w14:textId="77777777" w:rsidR="008701C9" w:rsidRPr="00933EA2" w:rsidRDefault="008701C9" w:rsidP="00933EA2">
      <w:pPr>
        <w:spacing w:before="100" w:beforeAutospacing="1" w:after="100" w:afterAutospacing="1"/>
        <w:jc w:val="both"/>
      </w:pPr>
      <w:r>
        <w:t>TRJ(Mi) med i≠0 svarer til gevinstprocenten af de sammenlagte indsatser i den fælles pulje Mi.</w:t>
      </w:r>
    </w:p>
    <w:p w14:paraId="15E6BD5C" w14:textId="77777777" w:rsidR="008701C9" w:rsidRPr="00933EA2" w:rsidRDefault="008701C9" w:rsidP="00933EA2">
      <w:pPr>
        <w:spacing w:before="100" w:beforeAutospacing="1" w:after="100" w:afterAutospacing="1"/>
        <w:jc w:val="both"/>
      </w:pPr>
      <w:r>
        <w:t>TRJ(Mi) beregnes efter den generelle fremgangsmåde beskrevet i artikel 1 og 2, hvor der udelukkende medtages elementer tilknyttet puljekontrakten i, og omfatter alle spillere hos de godkendte udbydere, som er part i denne puljekontrakt.</w:t>
      </w:r>
    </w:p>
    <w:p w14:paraId="74D4ED17" w14:textId="42C1DF07" w:rsidR="008701C9" w:rsidRPr="00933EA2" w:rsidRDefault="00B705CF" w:rsidP="00933EA2">
      <w:pPr>
        <w:pStyle w:val="BodyText"/>
        <w:keepNext/>
        <w:keepLines/>
        <w:jc w:val="center"/>
        <w:rPr>
          <w:b/>
        </w:rPr>
      </w:pPr>
      <w:r>
        <w:rPr>
          <w:b/>
        </w:rPr>
        <w:t>Artikel 32</w:t>
      </w:r>
    </w:p>
    <w:p w14:paraId="2798784E" w14:textId="77777777" w:rsidR="008701C9" w:rsidRPr="00933EA2" w:rsidRDefault="008701C9" w:rsidP="00933EA2">
      <w:pPr>
        <w:keepNext/>
        <w:keepLines/>
        <w:rPr>
          <w:b/>
        </w:rPr>
      </w:pPr>
    </w:p>
    <w:p w14:paraId="1F4C0003" w14:textId="71727D5C" w:rsidR="008701C9" w:rsidRPr="00933EA2" w:rsidRDefault="008701C9" w:rsidP="00933EA2">
      <w:pPr>
        <w:jc w:val="both"/>
      </w:pPr>
      <w:r>
        <w:t xml:space="preserve">Den gevinstprocent, som i gennemsnit udbetales til spillerne af en udbyder, der er i besiddelse af godkendelsen omhandlet i </w:t>
      </w:r>
      <w:hyperlink r:id="rId8" w:history="1">
        <w:r>
          <w:t>artikel 21 i ovennævnte lov af 12. maj 2010</w:t>
        </w:r>
      </w:hyperlink>
      <w:r>
        <w:t xml:space="preserve"> og udelukkende sammenlægger sine spilleres indsatser i en fælles pulje med indsatserne fra spillere hos en udbyder, der ikke er i besiddelse af denne godkendelse, fastlægges i henhold til artikel 25 til 28.</w:t>
      </w:r>
    </w:p>
    <w:p w14:paraId="014ED93E" w14:textId="77777777" w:rsidR="00C342AB" w:rsidRPr="00933EA2" w:rsidRDefault="00C342AB" w:rsidP="00933EA2">
      <w:pPr>
        <w:pStyle w:val="BodyText"/>
        <w:jc w:val="both"/>
      </w:pPr>
    </w:p>
    <w:p w14:paraId="48F0C6DC" w14:textId="02D7A6A2" w:rsidR="00E83532" w:rsidRPr="00933EA2" w:rsidRDefault="00E83532" w:rsidP="007A780D">
      <w:pPr>
        <w:keepNext/>
        <w:keepLines/>
        <w:jc w:val="center"/>
        <w:rPr>
          <w:b/>
        </w:rPr>
      </w:pPr>
      <w:r>
        <w:rPr>
          <w:b/>
        </w:rPr>
        <w:lastRenderedPageBreak/>
        <w:t>DEL V: BETINGELSER FOR MARKEDSFØRING AF RETTIGHEDER TIL ORGANISERING AF VÆDDEMÅL I FORBINDELSE MED EN SPORTSBEGIVENHED ELLER -KONKURRENCE</w:t>
      </w:r>
    </w:p>
    <w:p w14:paraId="5809CD9F" w14:textId="77777777" w:rsidR="00E83532" w:rsidRPr="00933EA2" w:rsidRDefault="00E83532" w:rsidP="007A780D">
      <w:pPr>
        <w:keepNext/>
        <w:keepLines/>
        <w:jc w:val="center"/>
        <w:rPr>
          <w:b/>
        </w:rPr>
      </w:pPr>
    </w:p>
    <w:p w14:paraId="0B22410E" w14:textId="77777777" w:rsidR="00E83532" w:rsidRPr="00933EA2" w:rsidRDefault="00E83532" w:rsidP="007A780D">
      <w:pPr>
        <w:keepNext/>
        <w:keepLines/>
        <w:jc w:val="center"/>
        <w:rPr>
          <w:b/>
        </w:rPr>
      </w:pPr>
    </w:p>
    <w:p w14:paraId="3C2665F7" w14:textId="6BB42B72" w:rsidR="00E83532" w:rsidRPr="00933EA2" w:rsidRDefault="00B705CF" w:rsidP="007A780D">
      <w:pPr>
        <w:pStyle w:val="BodyText"/>
        <w:keepNext/>
        <w:keepLines/>
        <w:jc w:val="center"/>
        <w:rPr>
          <w:b/>
        </w:rPr>
      </w:pPr>
      <w:r>
        <w:rPr>
          <w:b/>
        </w:rPr>
        <w:t>Artikel 33</w:t>
      </w:r>
    </w:p>
    <w:p w14:paraId="28229132" w14:textId="77777777" w:rsidR="00E83532" w:rsidRPr="00933EA2" w:rsidRDefault="00E83532" w:rsidP="007A780D">
      <w:pPr>
        <w:keepNext/>
        <w:keepLines/>
        <w:rPr>
          <w:b/>
        </w:rPr>
      </w:pPr>
    </w:p>
    <w:p w14:paraId="5128E42F" w14:textId="7AD0B049" w:rsidR="001A748C" w:rsidRPr="00933EA2" w:rsidRDefault="001A748C" w:rsidP="00933EA2">
      <w:pPr>
        <w:jc w:val="both"/>
      </w:pPr>
      <w:r>
        <w:t>Sportsforbundene og arrangørerne af sportsbegivenheder markedsfører i samarbejde med det selskab, der råder over eksklusive rettigheder som omtalt i artikel 137 i ovennævnte lov af 22. maj 2019, og ikke-eksklusivt i samarbejde med udbyderne af sportsvæddemål på nettet, der er i besiddelse af godkendelsen som omtalt i artikel 21 i ovennævnte lov af 12. maj 2010, retten til at organisere væddemål i forbindelse med sportsbegivenheder og -konkurrencer, som organiseres under de betingelser, der er fastsat i artikel 34 til 37 i nærværende dekret.</w:t>
      </w:r>
    </w:p>
    <w:p w14:paraId="28C6C1AE" w14:textId="77777777" w:rsidR="00E83532" w:rsidRPr="00933EA2" w:rsidRDefault="00E83532" w:rsidP="00933EA2">
      <w:pPr>
        <w:jc w:val="both"/>
      </w:pPr>
    </w:p>
    <w:p w14:paraId="6C010B8C" w14:textId="79F39930" w:rsidR="00E83532" w:rsidRPr="00933EA2" w:rsidRDefault="00B705CF" w:rsidP="00933EA2">
      <w:pPr>
        <w:pStyle w:val="BodyText"/>
        <w:keepNext/>
        <w:keepLines/>
        <w:jc w:val="center"/>
        <w:rPr>
          <w:b/>
        </w:rPr>
      </w:pPr>
      <w:r>
        <w:rPr>
          <w:b/>
        </w:rPr>
        <w:t>Artikel 34</w:t>
      </w:r>
    </w:p>
    <w:p w14:paraId="7F24E3CE" w14:textId="77777777" w:rsidR="00E83532" w:rsidRPr="00933EA2" w:rsidRDefault="00E83532" w:rsidP="00933EA2">
      <w:pPr>
        <w:keepNext/>
        <w:keepLines/>
        <w:rPr>
          <w:b/>
        </w:rPr>
      </w:pPr>
    </w:p>
    <w:p w14:paraId="4544500B" w14:textId="77777777" w:rsidR="00E83532" w:rsidRPr="00933EA2" w:rsidRDefault="00E83532" w:rsidP="00933EA2">
      <w:pPr>
        <w:jc w:val="both"/>
      </w:pPr>
      <w:r>
        <w:t>Den markedsføring af retten til at organisere væddemål, som varetages af sportsforbundene og arrangørerne af sportsbegivenheder, følger en ikkediskriminerende konsultationsprocedure, der er åben for alle udbydere, som er i besiddelse af en godkendelse som udbyder af sportsvæddemål i henhold til artikel 21 i ovennævnte lov af 12. maj 2010.</w:t>
      </w:r>
    </w:p>
    <w:p w14:paraId="68BF99B9" w14:textId="77777777" w:rsidR="00E83532" w:rsidRPr="00933EA2" w:rsidRDefault="00E83532" w:rsidP="00933EA2">
      <w:pPr>
        <w:jc w:val="both"/>
      </w:pPr>
      <w:r>
        <w:t>Denne procedure kan ikke inddeles i flere partier.</w:t>
      </w:r>
    </w:p>
    <w:p w14:paraId="19794558" w14:textId="77777777" w:rsidR="00E83532" w:rsidRPr="00933EA2" w:rsidRDefault="00E83532" w:rsidP="00933EA2">
      <w:pPr>
        <w:jc w:val="both"/>
      </w:pPr>
      <w:r>
        <w:t>Sportsforbundet eller arrangøren af sportsbegivenheder udarbejder kravspecifikationerne, som fremsendes til den enkelte godkendte udbyder, der anmoder herom.</w:t>
      </w:r>
    </w:p>
    <w:p w14:paraId="5C661377" w14:textId="77777777" w:rsidR="00E83532" w:rsidRPr="00933EA2" w:rsidRDefault="00E83532" w:rsidP="00933EA2">
      <w:pPr>
        <w:jc w:val="both"/>
      </w:pPr>
      <w:r>
        <w:t>Kravspecifikationerne:</w:t>
      </w:r>
    </w:p>
    <w:p w14:paraId="5305958B" w14:textId="77777777" w:rsidR="00E83532" w:rsidRPr="00933EA2" w:rsidRDefault="00E83532" w:rsidP="00933EA2">
      <w:pPr>
        <w:jc w:val="both"/>
      </w:pPr>
      <w:r>
        <w:t>1° indeholder tildelingsprocedurekalenderen og konsultationsreglerne, navnlig hvad angår fastsættelse af pris under betingelserne som fastsat i artikel 36</w:t>
      </w:r>
    </w:p>
    <w:p w14:paraId="1846E31E" w14:textId="77777777" w:rsidR="00E83532" w:rsidRPr="00933EA2" w:rsidRDefault="00E83532" w:rsidP="00933EA2">
      <w:pPr>
        <w:jc w:val="both"/>
      </w:pPr>
      <w:r>
        <w:t>2° fastlægger genstanden for konsultationen, som kan vedrøre en eller flere sportsbegivenheder eller -konkurrencer, idet de af den franske spillemyndighed fastlagte kategorier af sportsbegivenheder og -konkurrencer overholdes</w:t>
      </w:r>
    </w:p>
    <w:p w14:paraId="7283C5C5" w14:textId="77777777" w:rsidR="00E83532" w:rsidRPr="00933EA2" w:rsidRDefault="00E83532" w:rsidP="00933EA2">
      <w:pPr>
        <w:jc w:val="both"/>
      </w:pPr>
      <w:r>
        <w:t>3° fastsætter varigheden af udnyttelsesretten</w:t>
      </w:r>
    </w:p>
    <w:p w14:paraId="44470888" w14:textId="77777777" w:rsidR="00E83532" w:rsidRPr="00933EA2" w:rsidRDefault="00E83532" w:rsidP="00933EA2">
      <w:pPr>
        <w:jc w:val="both"/>
      </w:pPr>
      <w:r>
        <w:t>4° fastlægger tilsyns- og detekteringsforanstaltningerne, som sportsforbundet eller arrangøren af sportsbegivenheder agter at træffe for at forebygge risici for integriteten af de sportskonkurrencer eller -begivenheder, der er genstand for konsultationen</w:t>
      </w:r>
    </w:p>
    <w:p w14:paraId="741F2DE2" w14:textId="77777777" w:rsidR="00E83532" w:rsidRPr="00933EA2" w:rsidRDefault="00E83532" w:rsidP="00933EA2">
      <w:pPr>
        <w:jc w:val="both"/>
      </w:pPr>
      <w:r>
        <w:t>5° fastsætter de oplysnings- og gennemsigtighedsforpligtelser, den godkendte udbyder er underlagt, hvad angår detekteringen af svig og forebyggelsen af risici for sportsbegivenhedernes og -konkurrencernes integritet.</w:t>
      </w:r>
    </w:p>
    <w:p w14:paraId="6B302731" w14:textId="77777777" w:rsidR="00E83532" w:rsidRPr="00933EA2" w:rsidRDefault="00E83532" w:rsidP="00933EA2">
      <w:pPr>
        <w:jc w:val="both"/>
      </w:pPr>
    </w:p>
    <w:p w14:paraId="315C78D0" w14:textId="1148D27B" w:rsidR="00E83532" w:rsidRPr="00933EA2" w:rsidRDefault="00B705CF" w:rsidP="00933EA2">
      <w:pPr>
        <w:pStyle w:val="BodyText"/>
        <w:keepNext/>
        <w:keepLines/>
        <w:jc w:val="center"/>
        <w:rPr>
          <w:b/>
        </w:rPr>
      </w:pPr>
      <w:r>
        <w:rPr>
          <w:b/>
        </w:rPr>
        <w:t>Artikel 35</w:t>
      </w:r>
    </w:p>
    <w:p w14:paraId="4393A0B3" w14:textId="77777777" w:rsidR="00E83532" w:rsidRPr="00933EA2" w:rsidRDefault="00E83532" w:rsidP="00933EA2">
      <w:pPr>
        <w:keepNext/>
        <w:keepLines/>
        <w:rPr>
          <w:b/>
        </w:rPr>
      </w:pPr>
    </w:p>
    <w:p w14:paraId="1188C467" w14:textId="3F4FD285" w:rsidR="00116832" w:rsidRPr="00933EA2" w:rsidRDefault="00E83532" w:rsidP="00933EA2">
      <w:pPr>
        <w:jc w:val="both"/>
      </w:pPr>
      <w:r>
        <w:t>Den indgåede aftale om organisering af væddemål i henhold til artikel L. 333-1-2 i lov om sport mellem et sportsforbund eller en arrangør af sportsbegivenheder og det selskab, der er i besiddelse af eksklusive rettigheder til at organisere og udbyde sportsvæddemålsspil på baggrund af bestemmelserne i artikel 137, afsnit I, i ovennævnte lov af 22. maj 2019, fastsætter navnlig:</w:t>
      </w:r>
    </w:p>
    <w:p w14:paraId="46E360EF" w14:textId="77777777" w:rsidR="00E83532" w:rsidRPr="00933EA2" w:rsidRDefault="00E83532" w:rsidP="00933EA2">
      <w:pPr>
        <w:jc w:val="both"/>
      </w:pPr>
      <w:r>
        <w:t>1° de tilsyns- og detekteringsforanstaltninger, som sportsforbundet eller arrangøren af sportsbegivenheder agter at træffe for at forebygge risici for integriteten af de sportskonkurrencer eller -begivenheder, der er genstand for aftalen</w:t>
      </w:r>
    </w:p>
    <w:p w14:paraId="1C0A8F89" w14:textId="77777777" w:rsidR="00E83532" w:rsidRPr="00933EA2" w:rsidRDefault="00E83532" w:rsidP="00933EA2">
      <w:pPr>
        <w:jc w:val="both"/>
      </w:pPr>
      <w:r>
        <w:t>2° de oplysnings- og gennemsigtighedsforpligtelser, selskabet med eksklusive rettigheder er underlagt, hvad angår detekteringen af svig og forebyggelsen af risici for sportsbegivenhedernes og -konkurrencernes integritet.</w:t>
      </w:r>
    </w:p>
    <w:p w14:paraId="5C314506" w14:textId="77777777" w:rsidR="00E83532" w:rsidRPr="00933EA2" w:rsidRDefault="00E83532" w:rsidP="00933EA2">
      <w:pPr>
        <w:jc w:val="both"/>
        <w:rPr>
          <w:b/>
        </w:rPr>
      </w:pPr>
    </w:p>
    <w:p w14:paraId="6931D13E" w14:textId="31BF7EE5" w:rsidR="00E83532" w:rsidRPr="00933EA2" w:rsidRDefault="00B705CF" w:rsidP="00933EA2">
      <w:pPr>
        <w:pStyle w:val="BodyText"/>
        <w:keepNext/>
        <w:keepLines/>
        <w:jc w:val="center"/>
        <w:rPr>
          <w:b/>
        </w:rPr>
      </w:pPr>
      <w:r>
        <w:rPr>
          <w:b/>
        </w:rPr>
        <w:lastRenderedPageBreak/>
        <w:t>Artikel 36</w:t>
      </w:r>
    </w:p>
    <w:p w14:paraId="37351E1A" w14:textId="77777777" w:rsidR="00E83532" w:rsidRPr="00933EA2" w:rsidRDefault="00E83532" w:rsidP="00933EA2">
      <w:pPr>
        <w:keepNext/>
        <w:keepLines/>
        <w:rPr>
          <w:b/>
        </w:rPr>
      </w:pPr>
    </w:p>
    <w:p w14:paraId="0BD0987A" w14:textId="77777777" w:rsidR="00E83532" w:rsidRPr="00933EA2" w:rsidRDefault="00E83532" w:rsidP="00933EA2">
      <w:r>
        <w:t>Den pris, der betales for den tildelte ret til at organisere væddemål, angives som en procentdel af indsatserne.</w:t>
      </w:r>
    </w:p>
    <w:p w14:paraId="5C76294E" w14:textId="77777777" w:rsidR="00E83532" w:rsidRPr="00933EA2" w:rsidRDefault="00E83532" w:rsidP="00933EA2">
      <w:pPr>
        <w:jc w:val="both"/>
        <w:rPr>
          <w:b/>
        </w:rPr>
      </w:pPr>
    </w:p>
    <w:p w14:paraId="3C1B7CE3" w14:textId="1A73D23D" w:rsidR="00E83532" w:rsidRPr="00933EA2" w:rsidRDefault="00E83532" w:rsidP="00933EA2">
      <w:pPr>
        <w:pStyle w:val="BodyText"/>
        <w:keepNext/>
        <w:keepLines/>
        <w:jc w:val="center"/>
        <w:rPr>
          <w:b/>
        </w:rPr>
      </w:pPr>
      <w:r>
        <w:rPr>
          <w:b/>
        </w:rPr>
        <w:t>Artikel 37</w:t>
      </w:r>
    </w:p>
    <w:p w14:paraId="0592EB5B" w14:textId="77777777" w:rsidR="00E83532" w:rsidRPr="00933EA2" w:rsidRDefault="00E83532" w:rsidP="00933EA2">
      <w:pPr>
        <w:keepNext/>
        <w:keepLines/>
        <w:rPr>
          <w:b/>
        </w:rPr>
      </w:pPr>
    </w:p>
    <w:p w14:paraId="705BC232" w14:textId="6647C347" w:rsidR="00E83532" w:rsidRPr="00933EA2" w:rsidRDefault="00E83532" w:rsidP="00933EA2">
      <w:pPr>
        <w:jc w:val="both"/>
      </w:pPr>
      <w:r>
        <w:t>Retten til at organisere væddemål kan tildeles enhver godkendt udbyder, der har anmodet herom i løbet af udnyttelsesperioden som omtalt i artikel 34, 3°, og den resterende del af perioden, forudsat at udbyderen opfylder alle de betingelser, der fremgår af kravspecifikationerne, og accepterer konsultationsprisen som fastsat i artikel 34.</w:t>
      </w:r>
    </w:p>
    <w:p w14:paraId="0B35E497" w14:textId="77777777" w:rsidR="00E83532" w:rsidRPr="00933EA2" w:rsidRDefault="00E83532" w:rsidP="00933EA2">
      <w:pPr>
        <w:jc w:val="both"/>
      </w:pPr>
    </w:p>
    <w:p w14:paraId="2D8F220A" w14:textId="685526BB" w:rsidR="00E83532" w:rsidRPr="00933EA2" w:rsidRDefault="000546D5" w:rsidP="00933EA2">
      <w:pPr>
        <w:pStyle w:val="BodyText"/>
        <w:keepNext/>
        <w:keepLines/>
        <w:jc w:val="center"/>
        <w:rPr>
          <w:b/>
        </w:rPr>
      </w:pPr>
      <w:r>
        <w:rPr>
          <w:b/>
        </w:rPr>
        <w:t>Artikel 38</w:t>
      </w:r>
    </w:p>
    <w:p w14:paraId="6719A169" w14:textId="77777777" w:rsidR="00E83532" w:rsidRPr="00933EA2" w:rsidRDefault="00E83532" w:rsidP="00933EA2">
      <w:pPr>
        <w:keepNext/>
        <w:keepLines/>
        <w:rPr>
          <w:b/>
        </w:rPr>
      </w:pPr>
    </w:p>
    <w:p w14:paraId="5D5239CC" w14:textId="77777777" w:rsidR="00E83532" w:rsidRPr="00933EA2" w:rsidRDefault="00E83532" w:rsidP="00933EA2">
      <w:pPr>
        <w:jc w:val="both"/>
      </w:pPr>
      <w:r>
        <w:t>Den indgåede aftale om organisering af væddemål i henhold til artikel L. 333-1-2 i lov om sport mellem et sportsforbund eller en arrangør af sportsbegivenheder og en godkendt udbyder træder automatisk ud af kraft, hvis sidstnævnte mister sin godkendelse i henhold til artikel 21 i ovennævnte lov af 12. maj 2010.</w:t>
      </w:r>
    </w:p>
    <w:p w14:paraId="36801C3B" w14:textId="77777777" w:rsidR="00757561" w:rsidRPr="00933EA2" w:rsidRDefault="00757561" w:rsidP="00933EA2">
      <w:pPr>
        <w:jc w:val="both"/>
      </w:pPr>
    </w:p>
    <w:p w14:paraId="6BC7C418" w14:textId="22A119E4" w:rsidR="00E83532" w:rsidRPr="00933EA2" w:rsidRDefault="00E83532" w:rsidP="00933EA2">
      <w:pPr>
        <w:jc w:val="center"/>
        <w:rPr>
          <w:b/>
        </w:rPr>
      </w:pPr>
      <w:r>
        <w:rPr>
          <w:b/>
        </w:rPr>
        <w:t>DEL VI: SPORTSKONKURRENCER OG TYPER AF SPORTSRESULTATER SOM DEFINERET AF DEN FRANSKE SPILLEMYNDIGHED</w:t>
      </w:r>
    </w:p>
    <w:p w14:paraId="69BAC38E" w14:textId="77777777" w:rsidR="00E83532" w:rsidRPr="00933EA2" w:rsidRDefault="00E83532" w:rsidP="00933EA2">
      <w:pPr>
        <w:jc w:val="center"/>
        <w:rPr>
          <w:b/>
        </w:rPr>
      </w:pPr>
    </w:p>
    <w:p w14:paraId="3CECFBB9" w14:textId="25BBB318" w:rsidR="00E83532" w:rsidRPr="00933EA2" w:rsidRDefault="000546D5" w:rsidP="00933EA2">
      <w:pPr>
        <w:pStyle w:val="BodyText"/>
        <w:keepNext/>
        <w:keepLines/>
        <w:jc w:val="center"/>
        <w:rPr>
          <w:b/>
        </w:rPr>
      </w:pPr>
      <w:r>
        <w:rPr>
          <w:b/>
        </w:rPr>
        <w:t>Artikel 39</w:t>
      </w:r>
    </w:p>
    <w:p w14:paraId="6A81B994" w14:textId="77777777" w:rsidR="00E83532" w:rsidRPr="00933EA2" w:rsidRDefault="00E83532" w:rsidP="00933EA2">
      <w:pPr>
        <w:keepNext/>
        <w:keepLines/>
        <w:rPr>
          <w:b/>
        </w:rPr>
      </w:pPr>
    </w:p>
    <w:p w14:paraId="0DB946A6" w14:textId="77777777" w:rsidR="00E83532" w:rsidRPr="00933EA2" w:rsidRDefault="00E83532" w:rsidP="00933EA2">
      <w:pPr>
        <w:jc w:val="both"/>
      </w:pPr>
      <w:r>
        <w:t>Enhver udbyder af sportsvæddemål, som er i besiddelse af en godkendelse som nævnt i artikel 21 i ovennævnte lov af 12. maj 2010, eller det selskab, der råder over eksklusive rettigheder som omtalt i artikel 137 i ovennævnte lov af 22. maj 2019, kan organisere modtagelsen af sportsvæddemål, når disse drejer sig om:</w:t>
      </w:r>
    </w:p>
    <w:p w14:paraId="17D806A7" w14:textId="10AEBFC3" w:rsidR="00E83532" w:rsidRPr="00933EA2" w:rsidRDefault="001D2F2A" w:rsidP="00933EA2">
      <w:pPr>
        <w:jc w:val="both"/>
      </w:pPr>
      <w:r>
        <w:t>1° en af de sportskonkurrencer eller -begivenheder, som er defineret af den franske spillemyndighed i henhold til metoderne defineret i artikel 40 i nærværende dekret</w:t>
      </w:r>
    </w:p>
    <w:p w14:paraId="5583FEEC" w14:textId="31F4AAB1" w:rsidR="00E83532" w:rsidRPr="00933EA2" w:rsidRDefault="001D2F2A" w:rsidP="00933EA2">
      <w:pPr>
        <w:jc w:val="both"/>
      </w:pPr>
      <w:r>
        <w:t>2° de typer af resultater, som er defineret af den franske spillemyndighed i henhold til metoderne defineret i artikel 41 i nærværende dekret.</w:t>
      </w:r>
    </w:p>
    <w:p w14:paraId="43D77DCC" w14:textId="77777777" w:rsidR="00E83532" w:rsidRPr="00933EA2" w:rsidRDefault="00E83532" w:rsidP="00933EA2">
      <w:pPr>
        <w:jc w:val="both"/>
      </w:pPr>
    </w:p>
    <w:p w14:paraId="3D01E1B0" w14:textId="2CD26D6C" w:rsidR="00E83532" w:rsidRPr="00933EA2" w:rsidRDefault="000546D5" w:rsidP="00933EA2">
      <w:pPr>
        <w:pStyle w:val="BodyText"/>
        <w:keepNext/>
        <w:keepLines/>
        <w:jc w:val="center"/>
        <w:rPr>
          <w:b/>
        </w:rPr>
      </w:pPr>
      <w:r>
        <w:rPr>
          <w:b/>
        </w:rPr>
        <w:t>Artikel 40</w:t>
      </w:r>
    </w:p>
    <w:p w14:paraId="0C3BE9F8" w14:textId="77777777" w:rsidR="00E83532" w:rsidRPr="00933EA2" w:rsidRDefault="00E83532" w:rsidP="00933EA2">
      <w:pPr>
        <w:keepNext/>
        <w:keepLines/>
        <w:rPr>
          <w:b/>
        </w:rPr>
      </w:pPr>
    </w:p>
    <w:p w14:paraId="718B7814" w14:textId="77777777" w:rsidR="00E83532" w:rsidRPr="00933EA2" w:rsidRDefault="00E83532" w:rsidP="00933EA2">
      <w:pPr>
        <w:jc w:val="both"/>
      </w:pPr>
      <w:r>
        <w:t>I. ― Den franske spillemyndighed definerer de sportskonkurrencer eller -begivenheder, som kan danne grundlag for organiseringen af sportsvæddemål, for den enkelte sportsgren, idet der i givet fald skelnes mellem væddemål underlagt eksklusive rettigheder og væddemål på nettet.</w:t>
      </w:r>
    </w:p>
    <w:p w14:paraId="0E8A7ED2" w14:textId="77777777" w:rsidR="00E83532" w:rsidRPr="00933EA2" w:rsidRDefault="000546D5" w:rsidP="00933EA2">
      <w:pPr>
        <w:jc w:val="both"/>
      </w:pPr>
      <w:r>
        <w:t>II. ― De sportskonkurrencer og -begivenheder, der er genstand for væddemålene, defineres efter udtalelse fra det kompetente delegerede forbund i samarbejde med den professionelle liga – såfremt der er oprettet en sådan – eller evt. fra ministeren med ansvar for sport, på baggrund af især:</w:t>
      </w:r>
    </w:p>
    <w:p w14:paraId="722FF2F6" w14:textId="5172B280" w:rsidR="00E83532" w:rsidRPr="00933EA2" w:rsidRDefault="00E83532" w:rsidP="00933EA2">
      <w:pPr>
        <w:jc w:val="both"/>
      </w:pPr>
      <w:r>
        <w:t>1° typen af arrangør af sportskonkurrencer eller -begivenheder, som enten skal være:</w:t>
      </w:r>
    </w:p>
    <w:p w14:paraId="3488BBCF" w14:textId="25AC620C" w:rsidR="00E83532" w:rsidRPr="00933EA2" w:rsidRDefault="001D2F2A" w:rsidP="00933EA2">
      <w:pPr>
        <w:jc w:val="both"/>
      </w:pPr>
      <w:r>
        <w:t>a) et sportsforbund nævnt i artikel L. 131-1 i lov om sport</w:t>
      </w:r>
    </w:p>
    <w:p w14:paraId="7C99B229" w14:textId="0EBB845F" w:rsidR="00E83532" w:rsidRPr="00933EA2" w:rsidRDefault="001D2F2A" w:rsidP="00933EA2">
      <w:pPr>
        <w:jc w:val="both"/>
      </w:pPr>
      <w:r>
        <w:t>b) et internationalt sportsforbund</w:t>
      </w:r>
    </w:p>
    <w:p w14:paraId="2F54D76A" w14:textId="73157C35" w:rsidR="00E83532" w:rsidRPr="00933EA2" w:rsidRDefault="001D2F2A" w:rsidP="00933EA2">
      <w:pPr>
        <w:jc w:val="both"/>
      </w:pPr>
      <w:r>
        <w:t>c) et internationalt sportsorgan</w:t>
      </w:r>
    </w:p>
    <w:p w14:paraId="64D8D58C" w14:textId="467D8AC5" w:rsidR="00E83532" w:rsidRPr="00933EA2" w:rsidRDefault="001D2F2A" w:rsidP="00933EA2">
      <w:pPr>
        <w:jc w:val="both"/>
      </w:pPr>
      <w:r>
        <w:t>d) en arrangør af sportsbegivenheder nævnt i artikel L. 331-5 eller R 331-4-1 i lov om sport</w:t>
      </w:r>
    </w:p>
    <w:p w14:paraId="6D85461B" w14:textId="41B7DCD3" w:rsidR="00E83532" w:rsidRPr="00933EA2" w:rsidRDefault="001D2F2A" w:rsidP="00933EA2">
      <w:pPr>
        <w:jc w:val="both"/>
      </w:pPr>
      <w:r>
        <w:t>e) en arrangør af sportsbegivenheder, som er juridisk organiseret i udlandet</w:t>
      </w:r>
    </w:p>
    <w:p w14:paraId="2CDF6961" w14:textId="38CAF493" w:rsidR="00E83532" w:rsidRPr="00933EA2" w:rsidRDefault="001D2F2A" w:rsidP="00933EA2">
      <w:pPr>
        <w:jc w:val="both"/>
      </w:pPr>
      <w:r>
        <w:t xml:space="preserve">2° de gældende bestemmelser for sådanne sportskonkurrencer og -begivenheder </w:t>
      </w:r>
    </w:p>
    <w:p w14:paraId="11DA738D" w14:textId="1DBC6C2A" w:rsidR="00E83532" w:rsidRPr="00933EA2" w:rsidRDefault="001D2F2A" w:rsidP="00933EA2">
      <w:pPr>
        <w:jc w:val="both"/>
      </w:pPr>
      <w:r>
        <w:lastRenderedPageBreak/>
        <w:t>3° adgangen til resultaterne af sportskonkurrencen eller -begivenheden</w:t>
      </w:r>
    </w:p>
    <w:p w14:paraId="048F9C60" w14:textId="0FBEA33A" w:rsidR="00E83532" w:rsidRPr="00933EA2" w:rsidRDefault="001D2F2A" w:rsidP="00933EA2">
      <w:pPr>
        <w:jc w:val="both"/>
      </w:pPr>
      <w:r>
        <w:t>4</w:t>
      </w:r>
      <w:bookmarkStart w:id="0" w:name="_GoBack"/>
      <w:bookmarkEnd w:id="0"/>
      <w:r>
        <w:t>° alderen på de sportsdeltagere, som deltager i disse sportskonkurrencer eller -begivenheder</w:t>
      </w:r>
    </w:p>
    <w:p w14:paraId="146ED28A" w14:textId="4C2DC76F" w:rsidR="00E83532" w:rsidRPr="00933EA2" w:rsidRDefault="001D2F2A" w:rsidP="00933EA2">
      <w:pPr>
        <w:jc w:val="both"/>
      </w:pPr>
      <w:r>
        <w:t xml:space="preserve">5° anseelsen og vigtigheden af sportskonkurrencen eller -begivenheden </w:t>
      </w:r>
    </w:p>
    <w:p w14:paraId="7A8FAC6E" w14:textId="6EB98374" w:rsidR="00E83532" w:rsidRPr="00933EA2" w:rsidRDefault="001D2F2A" w:rsidP="00933EA2">
      <w:pPr>
        <w:jc w:val="both"/>
      </w:pPr>
      <w:r>
        <w:t>6° de manipulationsrisici, der er forbundet med sportskonkurrencerne og -begivenhederne.</w:t>
      </w:r>
    </w:p>
    <w:p w14:paraId="74D6EFEB" w14:textId="77777777" w:rsidR="00E83532" w:rsidRPr="00933EA2" w:rsidRDefault="00E83532" w:rsidP="00933EA2">
      <w:pPr>
        <w:jc w:val="both"/>
      </w:pPr>
    </w:p>
    <w:p w14:paraId="74BF033A" w14:textId="1A8A113B" w:rsidR="00E83532" w:rsidRPr="00933EA2" w:rsidRDefault="000546D5" w:rsidP="00933EA2">
      <w:pPr>
        <w:jc w:val="both"/>
      </w:pPr>
      <w:r>
        <w:t>III. ― Den franske spillemyndighed kan i henhold til kriterierne som fastsat i denne artikels afsnit II udelukkende angive en del af sportskonkurrencen eller -begivenheden på listen.</w:t>
      </w:r>
    </w:p>
    <w:p w14:paraId="165DB7F5" w14:textId="77777777" w:rsidR="00E83532" w:rsidRPr="00933EA2" w:rsidRDefault="00E83532" w:rsidP="00933EA2">
      <w:pPr>
        <w:jc w:val="both"/>
      </w:pPr>
    </w:p>
    <w:p w14:paraId="2466DE5D" w14:textId="1FBC8993" w:rsidR="00E83532" w:rsidRPr="00933EA2" w:rsidRDefault="000546D5" w:rsidP="00933EA2">
      <w:pPr>
        <w:jc w:val="center"/>
        <w:rPr>
          <w:b/>
        </w:rPr>
      </w:pPr>
      <w:r>
        <w:rPr>
          <w:b/>
        </w:rPr>
        <w:t>Artikel 41</w:t>
      </w:r>
    </w:p>
    <w:p w14:paraId="196D5DA5" w14:textId="77777777" w:rsidR="00E83532" w:rsidRPr="00933EA2" w:rsidRDefault="00E83532" w:rsidP="00933EA2">
      <w:pPr>
        <w:keepNext/>
        <w:keepLines/>
        <w:rPr>
          <w:b/>
        </w:rPr>
      </w:pPr>
    </w:p>
    <w:p w14:paraId="13AE3DD7" w14:textId="2172B9F8" w:rsidR="00E83532" w:rsidRPr="00933EA2" w:rsidRDefault="00E83532" w:rsidP="00933EA2">
      <w:pPr>
        <w:jc w:val="both"/>
      </w:pPr>
      <w:r>
        <w:t>I.― Den franske spillemyndighed fastsætter efter udtalelse fra det kompetente delegerede forbund i samarbejde med den professionelle liga – såfremt der er oprettet en sådan – eller evt. fra ministeren med ansvar for sport typerne af resultater og de pågældende spillefaser, der kan være genstand for sportsvæddemål, for hver sportsgren og i givet fald for hver sportskonkurrence eller -begivenhed i henhold til metoderne defineret i artikel 40, idet der i givet fald skelnes mellem væddemål underlagt eksklusive rettigheder og væddemål på nettet.</w:t>
      </w:r>
    </w:p>
    <w:p w14:paraId="52F1E19B" w14:textId="77777777" w:rsidR="00933EA2" w:rsidRDefault="00933EA2" w:rsidP="00933EA2">
      <w:pPr>
        <w:jc w:val="both"/>
      </w:pPr>
    </w:p>
    <w:p w14:paraId="1E870BBE" w14:textId="69770689" w:rsidR="00E83532" w:rsidRPr="00933EA2" w:rsidRDefault="000546D5" w:rsidP="00933EA2">
      <w:pPr>
        <w:jc w:val="both"/>
      </w:pPr>
      <w:r>
        <w:t>II.― Typerne af resultater defineres, idet der tages højde for risiciene for, at de pågældende resultater manipuleres, og kendetegnene for den pågældende sportsgren.</w:t>
      </w:r>
    </w:p>
    <w:p w14:paraId="3DDA3910" w14:textId="77777777" w:rsidR="00E83532" w:rsidRPr="00933EA2" w:rsidRDefault="00E83532" w:rsidP="00933EA2">
      <w:pPr>
        <w:jc w:val="both"/>
      </w:pPr>
    </w:p>
    <w:p w14:paraId="77CBE7C3" w14:textId="77777777" w:rsidR="00E83532" w:rsidRPr="00933EA2" w:rsidRDefault="00E83532" w:rsidP="00933EA2">
      <w:pPr>
        <w:jc w:val="both"/>
      </w:pPr>
      <w:r>
        <w:t xml:space="preserve">Disse typer af resultater kan være: </w:t>
      </w:r>
    </w:p>
    <w:p w14:paraId="64871295" w14:textId="77777777" w:rsidR="00E83532" w:rsidRPr="00933EA2" w:rsidRDefault="00E83532" w:rsidP="00933EA2">
      <w:pPr>
        <w:jc w:val="both"/>
      </w:pPr>
    </w:p>
    <w:p w14:paraId="46B057BA" w14:textId="767E0100" w:rsidR="00E83532" w:rsidRPr="00933EA2" w:rsidRDefault="001D2F2A" w:rsidP="00933EA2">
      <w:pPr>
        <w:jc w:val="both"/>
      </w:pPr>
      <w:r>
        <w:t>1° endelige resultater af sportskonkurrencer eller -begivenheder</w:t>
      </w:r>
    </w:p>
    <w:p w14:paraId="76225C59" w14:textId="499CFFB9" w:rsidR="00E83532" w:rsidRPr="00933EA2" w:rsidRDefault="001D2F2A" w:rsidP="00933EA2">
      <w:pPr>
        <w:jc w:val="both"/>
      </w:pPr>
      <w:r>
        <w:t>2° delresultater af sportskonkurrencer eller -begivenheder</w:t>
      </w:r>
    </w:p>
    <w:p w14:paraId="1F3DC41C" w14:textId="4063A425" w:rsidR="00E83532" w:rsidRPr="00933EA2" w:rsidRDefault="001D2F2A" w:rsidP="00933EA2">
      <w:pPr>
        <w:jc w:val="both"/>
      </w:pPr>
      <w:r>
        <w:t>3° enhver sportsrelateret hændelse af en sportsmæssig vigtighed, som finder sted i løbet af en sportskonkurrence eller -begivenhed eller en spilfase.</w:t>
      </w:r>
    </w:p>
    <w:p w14:paraId="1F9930BA" w14:textId="77777777" w:rsidR="00E83532" w:rsidRPr="00933EA2" w:rsidRDefault="00E83532" w:rsidP="00933EA2">
      <w:pPr>
        <w:jc w:val="both"/>
      </w:pPr>
    </w:p>
    <w:p w14:paraId="52EF1F25" w14:textId="77777777" w:rsidR="00E83532" w:rsidRPr="00933EA2" w:rsidRDefault="00E83532" w:rsidP="00933EA2">
      <w:pPr>
        <w:jc w:val="both"/>
      </w:pPr>
      <w:r>
        <w:t xml:space="preserve">Disse typer af resultater er et udtryk for sportskonkurrence- eller -begivenhedsdeltagernes objektive og kvantificerbare sportslige præstationer. </w:t>
      </w:r>
    </w:p>
    <w:p w14:paraId="3A8AA489" w14:textId="77777777" w:rsidR="00E83532" w:rsidRPr="00933EA2" w:rsidRDefault="00E83532" w:rsidP="00933EA2">
      <w:pPr>
        <w:jc w:val="both"/>
      </w:pPr>
    </w:p>
    <w:p w14:paraId="73D6EA4B" w14:textId="77777777" w:rsidR="00E83532" w:rsidRPr="00933EA2" w:rsidRDefault="00E83532" w:rsidP="00933EA2">
      <w:pPr>
        <w:jc w:val="both"/>
      </w:pPr>
      <w:r>
        <w:t>Den franske spillemyndighed kan træffe beslutning om, at en resultattype kun kan være genstand for væddemål for en del af sportskonkurrencen eller -begivenheden i forhold til de manipulationsrisici, denne indebærer.</w:t>
      </w:r>
    </w:p>
    <w:p w14:paraId="16E726E0" w14:textId="19901B18" w:rsidR="00E83532" w:rsidRDefault="00E83532" w:rsidP="00933EA2">
      <w:pPr>
        <w:jc w:val="both"/>
      </w:pPr>
    </w:p>
    <w:p w14:paraId="486C3665" w14:textId="77777777" w:rsidR="00933EA2" w:rsidRPr="00933EA2" w:rsidRDefault="00933EA2" w:rsidP="00933EA2">
      <w:pPr>
        <w:jc w:val="both"/>
      </w:pPr>
    </w:p>
    <w:p w14:paraId="3CCB1AF2" w14:textId="77777777" w:rsidR="00E83532" w:rsidRPr="00933EA2" w:rsidRDefault="00E83532" w:rsidP="00933EA2">
      <w:pPr>
        <w:jc w:val="both"/>
      </w:pPr>
      <w:r>
        <w:t>III. ― Væddemålene gennemføres på baggrund af resultaterne af sportskonkurrencen eller -begivenheden, således som de annonceres af arrangøren af sportskonkurrencen.</w:t>
      </w:r>
    </w:p>
    <w:p w14:paraId="24EFF772" w14:textId="77777777" w:rsidR="00933EA2" w:rsidRDefault="00933EA2" w:rsidP="00933EA2">
      <w:pPr>
        <w:jc w:val="both"/>
      </w:pPr>
    </w:p>
    <w:p w14:paraId="56D578E6" w14:textId="7A6F8FE3" w:rsidR="00E83532" w:rsidRPr="00933EA2" w:rsidRDefault="00E83532" w:rsidP="00933EA2">
      <w:pPr>
        <w:jc w:val="both"/>
      </w:pPr>
      <w:r>
        <w:t>Gennemførslen af væddemål er definitiv fra den første annoncering af resultater fra arrangøren af sportskonkurrencen eller -begivenheden, også selv om disse efterfølgende skulle blive genstand for ændringer i overensstemmelse med de gældende bestemmelser for denne konkurrence.</w:t>
      </w:r>
    </w:p>
    <w:p w14:paraId="52BEBFC2" w14:textId="77777777" w:rsidR="00E83532" w:rsidRPr="00933EA2" w:rsidRDefault="00E83532" w:rsidP="00933EA2">
      <w:pPr>
        <w:jc w:val="both"/>
      </w:pPr>
    </w:p>
    <w:p w14:paraId="7ACF4486" w14:textId="1EF68EDE" w:rsidR="00E83532" w:rsidRPr="00933EA2" w:rsidRDefault="000546D5" w:rsidP="00933EA2">
      <w:pPr>
        <w:pStyle w:val="BodyText"/>
        <w:keepNext/>
        <w:keepLines/>
        <w:jc w:val="center"/>
        <w:rPr>
          <w:b/>
        </w:rPr>
      </w:pPr>
      <w:r>
        <w:rPr>
          <w:b/>
        </w:rPr>
        <w:t>Artikel 42</w:t>
      </w:r>
    </w:p>
    <w:p w14:paraId="7C84BAB8" w14:textId="77777777" w:rsidR="00E83532" w:rsidRPr="00933EA2" w:rsidRDefault="00E83532" w:rsidP="00933EA2">
      <w:pPr>
        <w:keepNext/>
        <w:keepLines/>
        <w:rPr>
          <w:b/>
        </w:rPr>
      </w:pPr>
    </w:p>
    <w:p w14:paraId="030CB2CE" w14:textId="5AF94B71" w:rsidR="00E83532" w:rsidRPr="00933EA2" w:rsidRDefault="00E83532" w:rsidP="00933EA2">
      <w:pPr>
        <w:jc w:val="both"/>
      </w:pPr>
      <w:r>
        <w:t>I.― Enhver udbyder af sportsvæddemål, som er i besiddelse af en godkendelse som nævnt i artikel 21 i ovennævnte lov af 12. maj 2010, eller det selskab, der råder over eksklusive rettigheder som omtalt i artikel 137 i ovennævnte lov af 22. maj 2019, kan anmode den franske spillemyndighed:</w:t>
      </w:r>
    </w:p>
    <w:p w14:paraId="19343559" w14:textId="35AB4324" w:rsidR="00E83532" w:rsidRPr="00933EA2" w:rsidRDefault="001D2F2A" w:rsidP="00933EA2">
      <w:pPr>
        <w:jc w:val="both"/>
      </w:pPr>
      <w:r>
        <w:t>1° om at få en sportskonkurrence eller -begivenhed optaget på listen over konkurrencer, som kan være genstand for sportsvæddemål</w:t>
      </w:r>
    </w:p>
    <w:p w14:paraId="02EF46C5" w14:textId="143E50B7" w:rsidR="00E83532" w:rsidRPr="00933EA2" w:rsidRDefault="001D2F2A" w:rsidP="00933EA2">
      <w:pPr>
        <w:jc w:val="both"/>
      </w:pPr>
      <w:r>
        <w:lastRenderedPageBreak/>
        <w:t>2° om at få en resultattype optaget på listen over resultattyper, som kan være genstand for sportsvæddemål.</w:t>
      </w:r>
    </w:p>
    <w:p w14:paraId="307A96DC" w14:textId="130F35FA" w:rsidR="00E83532" w:rsidRPr="00933EA2" w:rsidRDefault="001D2F2A" w:rsidP="00933EA2">
      <w:pPr>
        <w:jc w:val="both"/>
      </w:pPr>
      <w:r>
        <w:t>II. ― Denne anmodning begrundes og indsendes til den franske spillemyndighed vedlagt en sagsmappe, der præsenterer karakteristikaene for de sportskonkurrencer eller -begivenheder og resultattyper, som er genstand for anmodningen.</w:t>
      </w:r>
    </w:p>
    <w:p w14:paraId="69FA3E9A" w14:textId="217460B5" w:rsidR="00E83532" w:rsidRPr="00933EA2" w:rsidRDefault="001D2F2A" w:rsidP="00933EA2">
      <w:pPr>
        <w:jc w:val="both"/>
      </w:pPr>
      <w:r>
        <w:t>III. ― Efter modtagelse af dokumenterne nævnt i afsnit II udtaler den franske spillemyndighed sig inden for en frist på tre måneder om anmodningen nævnt i afsnit I.</w:t>
      </w:r>
    </w:p>
    <w:p w14:paraId="40409221" w14:textId="77777777" w:rsidR="00E83532" w:rsidRPr="00933EA2" w:rsidRDefault="00E83532" w:rsidP="00933EA2">
      <w:pPr>
        <w:jc w:val="both"/>
      </w:pPr>
      <w:r>
        <w:t>Den franske spillemyndighed tager fat i det kompetente delegerede forbund, som har en måned til at afgive en udtalelse vedrørende anmodningen som omtalt i afsnit I. Ministeren med ansvar for sport får tilsendt en kopi af denne udtalelse.</w:t>
      </w:r>
    </w:p>
    <w:p w14:paraId="0832E351" w14:textId="77777777" w:rsidR="00E83532" w:rsidRPr="00933EA2" w:rsidRDefault="00E83532" w:rsidP="00933EA2">
      <w:pPr>
        <w:jc w:val="both"/>
      </w:pPr>
      <w:r>
        <w:t>Såfremt forbundet ikke fremlægger en udtalelse, tager myndigheden kontakt til ministeren med ansvar for sport, som fremlægger en udtalelse inden for en måned.</w:t>
      </w:r>
    </w:p>
    <w:p w14:paraId="23476069" w14:textId="77777777" w:rsidR="00E83532" w:rsidRPr="00933EA2" w:rsidRDefault="00E83532" w:rsidP="00933EA2">
      <w:pPr>
        <w:jc w:val="both"/>
      </w:pPr>
    </w:p>
    <w:p w14:paraId="044A68A6" w14:textId="73D3928B" w:rsidR="00E83532" w:rsidRPr="00933EA2" w:rsidRDefault="000546D5" w:rsidP="00933EA2">
      <w:pPr>
        <w:pStyle w:val="BodyText"/>
        <w:keepNext/>
        <w:keepLines/>
        <w:jc w:val="center"/>
        <w:rPr>
          <w:b/>
        </w:rPr>
      </w:pPr>
      <w:r>
        <w:rPr>
          <w:b/>
        </w:rPr>
        <w:t>Artikel 43</w:t>
      </w:r>
    </w:p>
    <w:p w14:paraId="359D6D3D" w14:textId="77777777" w:rsidR="00E83532" w:rsidRPr="00933EA2" w:rsidRDefault="00E83532" w:rsidP="00933EA2">
      <w:pPr>
        <w:keepNext/>
        <w:keepLines/>
        <w:rPr>
          <w:b/>
        </w:rPr>
      </w:pPr>
    </w:p>
    <w:p w14:paraId="73749B31" w14:textId="538D2E7B" w:rsidR="00E83532" w:rsidRPr="00933EA2" w:rsidRDefault="00E83532" w:rsidP="00933EA2">
      <w:pPr>
        <w:jc w:val="both"/>
      </w:pPr>
      <w:r>
        <w:t>I. ― Et delegeret forbund kan i samarbejde med den professionelle liga – såfremt der er oprettet en sådan – anmode den franske spillemyndighed:</w:t>
      </w:r>
    </w:p>
    <w:p w14:paraId="5B72A56E" w14:textId="77777777" w:rsidR="00E83532" w:rsidRPr="00933EA2" w:rsidRDefault="00E83532" w:rsidP="00933EA2">
      <w:pPr>
        <w:jc w:val="both"/>
      </w:pPr>
    </w:p>
    <w:p w14:paraId="584145E6" w14:textId="77777777" w:rsidR="00E83532" w:rsidRPr="00933EA2" w:rsidRDefault="00E83532" w:rsidP="00933EA2">
      <w:pPr>
        <w:jc w:val="both"/>
      </w:pPr>
      <w:r>
        <w:t>1° om at få en sportskonkurrence eller -begivenhed optaget på eller slettet fra listen over konkurrencer, som kan være genstand for sportsvæddemål</w:t>
      </w:r>
    </w:p>
    <w:p w14:paraId="5B2379B2" w14:textId="77777777" w:rsidR="00E83532" w:rsidRPr="00933EA2" w:rsidRDefault="00E83532" w:rsidP="00933EA2">
      <w:pPr>
        <w:jc w:val="both"/>
      </w:pPr>
      <w:r>
        <w:t>2° om at få typer af resultater registreret eller slettet for sportskonkurrencer eller -begivenheder, som førnævnte organiserer, eller udelukkende en del af disse konkurrencer.</w:t>
      </w:r>
    </w:p>
    <w:p w14:paraId="7B008624" w14:textId="77777777" w:rsidR="00E83532" w:rsidRPr="00933EA2" w:rsidRDefault="00E83532" w:rsidP="00933EA2">
      <w:pPr>
        <w:jc w:val="both"/>
      </w:pPr>
    </w:p>
    <w:p w14:paraId="5E27032B" w14:textId="6C334152" w:rsidR="00E83532" w:rsidRPr="00933EA2" w:rsidRDefault="00E83532" w:rsidP="00933EA2">
      <w:pPr>
        <w:jc w:val="both"/>
      </w:pPr>
      <w:r>
        <w:t>II. ― Denne anmodning begrundes og indsendes til den franske spillemyndighed vedlagt en sagsmappe, der præsenterer karakteristikaene for den konkurrence og de resultattyper, som er genstand for anmodningen.</w:t>
      </w:r>
    </w:p>
    <w:p w14:paraId="19B17EA3" w14:textId="77777777" w:rsidR="00E83532" w:rsidRPr="00933EA2" w:rsidRDefault="00E83532" w:rsidP="00933EA2">
      <w:pPr>
        <w:jc w:val="both"/>
      </w:pPr>
    </w:p>
    <w:p w14:paraId="4953E9EA" w14:textId="734C9153" w:rsidR="00E83532" w:rsidRPr="00933EA2" w:rsidRDefault="00E83532" w:rsidP="00933EA2">
      <w:pPr>
        <w:jc w:val="both"/>
      </w:pPr>
      <w:r>
        <w:t>III. ― Efter modtagelse af dokumenterne nævnt i afsnit II udtaler den franske spillemyndighed sig inden for en frist på en måned om anmodningen nævnt i afsnit I.</w:t>
      </w:r>
    </w:p>
    <w:p w14:paraId="3341806A" w14:textId="77777777" w:rsidR="00834E0B" w:rsidRPr="00933EA2" w:rsidRDefault="00834E0B" w:rsidP="00933EA2">
      <w:pPr>
        <w:jc w:val="both"/>
      </w:pPr>
    </w:p>
    <w:p w14:paraId="72E82424" w14:textId="16A9CBAB" w:rsidR="00834E0B" w:rsidRPr="00933EA2" w:rsidRDefault="000546D5" w:rsidP="00933EA2">
      <w:pPr>
        <w:pStyle w:val="BodyText"/>
        <w:keepNext/>
        <w:keepLines/>
        <w:jc w:val="center"/>
        <w:rPr>
          <w:b/>
        </w:rPr>
      </w:pPr>
      <w:r>
        <w:rPr>
          <w:b/>
        </w:rPr>
        <w:t>Artikel 44</w:t>
      </w:r>
    </w:p>
    <w:p w14:paraId="4EBF7DC7" w14:textId="77777777" w:rsidR="00834E0B" w:rsidRPr="00933EA2" w:rsidRDefault="00834E0B" w:rsidP="00933EA2">
      <w:pPr>
        <w:keepNext/>
        <w:keepLines/>
        <w:rPr>
          <w:b/>
        </w:rPr>
      </w:pPr>
    </w:p>
    <w:p w14:paraId="23490925" w14:textId="3CD7655A" w:rsidR="00834E0B" w:rsidRPr="00933EA2" w:rsidRDefault="00834E0B" w:rsidP="00933EA2">
      <w:r>
        <w:t xml:space="preserve">1° I artikel D. 561-53, 2°, i finans- og valutaloven erstattes ordlyden "generaldirektøren for reguleringsmyndigheden for spil på nettet eller dennes repræsentant" af "generaldirektøren for den franske spillemyndighed". </w:t>
      </w:r>
    </w:p>
    <w:p w14:paraId="43F09FB7" w14:textId="77777777" w:rsidR="00E83532" w:rsidRPr="00933EA2" w:rsidRDefault="00E83532" w:rsidP="00933EA2">
      <w:pPr>
        <w:jc w:val="both"/>
        <w:rPr>
          <w:b/>
        </w:rPr>
      </w:pPr>
    </w:p>
    <w:p w14:paraId="012C1011" w14:textId="0AF72BA0" w:rsidR="00BD5FA1" w:rsidRPr="00933EA2" w:rsidRDefault="000546D5" w:rsidP="00933EA2">
      <w:pPr>
        <w:pStyle w:val="BodyText"/>
        <w:keepNext/>
        <w:keepLines/>
        <w:jc w:val="center"/>
        <w:rPr>
          <w:b/>
        </w:rPr>
      </w:pPr>
      <w:r>
        <w:rPr>
          <w:b/>
        </w:rPr>
        <w:t>Artikel 45</w:t>
      </w:r>
    </w:p>
    <w:p w14:paraId="1738A26C" w14:textId="77777777" w:rsidR="008701C9" w:rsidRPr="00933EA2" w:rsidRDefault="008701C9" w:rsidP="00933EA2">
      <w:pPr>
        <w:keepNext/>
        <w:keepLines/>
        <w:rPr>
          <w:b/>
        </w:rPr>
      </w:pPr>
    </w:p>
    <w:p w14:paraId="72BBB7F3" w14:textId="02F1FBE2" w:rsidR="008701C9" w:rsidRPr="00933EA2" w:rsidRDefault="00BC35EB" w:rsidP="00933EA2">
      <w:pPr>
        <w:pStyle w:val="BodyText"/>
        <w:jc w:val="both"/>
      </w:pPr>
      <w:r>
        <w:t>1° I artikel 8, sidste stykke, i ovennævnte dekret nr. 2019-1061 af 17.oktober 2019 erstattes ordlyden "ovennævnte dekret af 12. maj 2010" af " dekret nr. XXXX-XXXX af XXXXX om den franske spillemyndigheds reguleringsregler (CPAB1930945D)".</w:t>
      </w:r>
    </w:p>
    <w:p w14:paraId="3D08313E" w14:textId="77777777" w:rsidR="00C342AB" w:rsidRPr="00933EA2" w:rsidRDefault="00C342AB" w:rsidP="00933EA2">
      <w:pPr>
        <w:pStyle w:val="BodyText"/>
        <w:jc w:val="both"/>
      </w:pPr>
    </w:p>
    <w:p w14:paraId="7E55EF43" w14:textId="77777777" w:rsidR="00142531" w:rsidRPr="00933EA2" w:rsidRDefault="00834E0B" w:rsidP="00933EA2">
      <w:pPr>
        <w:keepNext/>
        <w:keepLines/>
        <w:spacing w:after="200" w:line="276" w:lineRule="auto"/>
        <w:jc w:val="center"/>
        <w:rPr>
          <w:rFonts w:eastAsiaTheme="minorHAnsi"/>
          <w:b/>
        </w:rPr>
      </w:pPr>
      <w:r>
        <w:rPr>
          <w:b/>
        </w:rPr>
        <w:lastRenderedPageBreak/>
        <w:t>DEL VII: BESTEMMELSER OM KOMMERCIEL KOMMUNIKATION TIL FORDEL FOR UDBYDERE AF SPIL- OG HASARDSPILVIRKSOMHED SAMT SPILLERINFORMATION, HVAD ANGÅR RISICIENE FORBUNDET MED SPILAKTIVITETERNE</w:t>
      </w:r>
    </w:p>
    <w:p w14:paraId="41C8D214" w14:textId="47515E0F" w:rsidR="00142531" w:rsidRDefault="00C342AB" w:rsidP="00933EA2">
      <w:pPr>
        <w:pStyle w:val="BodyText"/>
        <w:keepNext/>
        <w:keepLines/>
        <w:jc w:val="center"/>
        <w:rPr>
          <w:b/>
        </w:rPr>
      </w:pPr>
      <w:r>
        <w:rPr>
          <w:b/>
        </w:rPr>
        <w:t>Artikel 46</w:t>
      </w:r>
    </w:p>
    <w:p w14:paraId="4DE26176" w14:textId="77777777" w:rsidR="00933EA2" w:rsidRPr="00933EA2" w:rsidRDefault="00933EA2" w:rsidP="00933EA2">
      <w:pPr>
        <w:keepNext/>
        <w:keepLines/>
        <w:rPr>
          <w:b/>
        </w:rPr>
      </w:pPr>
    </w:p>
    <w:p w14:paraId="5030231B" w14:textId="20E653AC" w:rsidR="00142531" w:rsidRPr="00933EA2" w:rsidRDefault="00142531" w:rsidP="00933EA2">
      <w:pPr>
        <w:pStyle w:val="BodyText"/>
        <w:jc w:val="both"/>
      </w:pPr>
      <w:r>
        <w:t xml:space="preserve">I begyndelsen af afsnit II i bind III i lov om indre sikkerhed indsættes et indledende kapitel med følgende ordlyd: </w:t>
      </w:r>
    </w:p>
    <w:p w14:paraId="61BF947B" w14:textId="7FEB993C" w:rsidR="00142531" w:rsidRPr="00933EA2" w:rsidRDefault="00142531" w:rsidP="00933EA2">
      <w:pPr>
        <w:pStyle w:val="BodyText"/>
      </w:pPr>
      <w:r>
        <w:t>"</w:t>
      </w:r>
      <w:r>
        <w:rPr>
          <w:i/>
        </w:rPr>
        <w:t xml:space="preserve">Indledende kapitel </w:t>
      </w:r>
    </w:p>
    <w:p w14:paraId="0DB00C14" w14:textId="3E68E4D5" w:rsidR="00142531" w:rsidRPr="00933EA2" w:rsidRDefault="00142531" w:rsidP="00933EA2">
      <w:pPr>
        <w:pStyle w:val="BodyText"/>
      </w:pPr>
      <w:r>
        <w:rPr>
          <w:i/>
        </w:rPr>
        <w:t>Fælles bestemmelser</w:t>
      </w:r>
      <w:r>
        <w:t xml:space="preserve"> </w:t>
      </w:r>
    </w:p>
    <w:p w14:paraId="35CC0321" w14:textId="2A20C3B8" w:rsidR="00142531" w:rsidRPr="00933EA2" w:rsidRDefault="00142531" w:rsidP="00933EA2">
      <w:pPr>
        <w:pStyle w:val="BodyText"/>
        <w:tabs>
          <w:tab w:val="left" w:pos="1659"/>
        </w:tabs>
      </w:pPr>
      <w:r>
        <w:rPr>
          <w:i/>
        </w:rPr>
        <w:t>Afsnit 1</w:t>
      </w:r>
      <w:r>
        <w:rPr>
          <w:i/>
        </w:rPr>
        <w:tab/>
      </w:r>
    </w:p>
    <w:p w14:paraId="6EA0D4BD" w14:textId="36B722F7" w:rsidR="00142531" w:rsidRPr="00933EA2" w:rsidRDefault="00142531" w:rsidP="00933EA2">
      <w:pPr>
        <w:pStyle w:val="BodyText"/>
      </w:pPr>
      <w:r>
        <w:rPr>
          <w:i/>
        </w:rPr>
        <w:t>Forbud mod salg af spil og hasardspil til mindreårige</w:t>
      </w:r>
    </w:p>
    <w:p w14:paraId="2B0E4901" w14:textId="6BE602B7" w:rsidR="00142531" w:rsidRPr="00933EA2" w:rsidRDefault="00142531" w:rsidP="00933EA2">
      <w:pPr>
        <w:pStyle w:val="BodyText"/>
        <w:jc w:val="both"/>
      </w:pPr>
      <w:r>
        <w:rPr>
          <w:i/>
        </w:rPr>
        <w:t xml:space="preserve">Artikel D. 320-1. - </w:t>
      </w:r>
      <w:r>
        <w:t>Der anbringes et skilt med bestemmelserne i artikel L. 320-8 og L. 320-9 et synligt sted på anordningerne til registrering af lotterispil, sportsvæddemål eller hestevæddemål. En bekendtgørelse fra sundhedsministeren omhandler modeller og steder for anbringelse af førnævnte skilte.</w:t>
      </w:r>
    </w:p>
    <w:p w14:paraId="5E136608" w14:textId="7D1E02AF" w:rsidR="00142531" w:rsidRPr="00933EA2" w:rsidRDefault="00142531" w:rsidP="00933EA2">
      <w:pPr>
        <w:pStyle w:val="BodyText"/>
        <w:spacing w:before="120"/>
      </w:pPr>
      <w:r>
        <w:rPr>
          <w:i/>
        </w:rPr>
        <w:t xml:space="preserve">Afsnit 2 </w:t>
      </w:r>
    </w:p>
    <w:p w14:paraId="293E235D" w14:textId="2BF2B62A" w:rsidR="00142531" w:rsidRPr="00933EA2" w:rsidRDefault="00142531" w:rsidP="00933EA2">
      <w:pPr>
        <w:pStyle w:val="BodyText"/>
        <w:spacing w:before="120"/>
      </w:pPr>
      <w:r>
        <w:rPr>
          <w:i/>
        </w:rPr>
        <w:t>Kommerciel kommunikation til fordel for en udbyder af spil- og hasardspilvirksomhed</w:t>
      </w:r>
    </w:p>
    <w:p w14:paraId="4FDF742F" w14:textId="733125A6" w:rsidR="00142531" w:rsidRPr="00933EA2" w:rsidRDefault="00142531" w:rsidP="00933EA2">
      <w:pPr>
        <w:spacing w:before="120" w:after="120"/>
        <w:jc w:val="both"/>
      </w:pPr>
      <w:r>
        <w:rPr>
          <w:i/>
        </w:rPr>
        <w:t>Artikel D. 320-2.</w:t>
      </w:r>
      <w:r>
        <w:t xml:space="preserve"> - Enhver kommerciel kommunikation til fordel for en udbyder af spil- og hasardspilvirksomhed ledsages af en advarsel vedrørende de risici, der er forbundet med spilaktiviteterne. Denne advarsel, der skal fremgå af alle reklame- og salgsfremmende materialer, omfatter navnlig nummeret på onlinekommunikationstjenesten for den offentlige hjælpeinstans for spillere, der er oprettet under det nationale folkesundhedsagenturs kompetence. </w:t>
      </w:r>
    </w:p>
    <w:p w14:paraId="4A792144" w14:textId="68DC3E7F" w:rsidR="00142531" w:rsidRPr="00933EA2" w:rsidRDefault="00142531" w:rsidP="00933EA2">
      <w:pPr>
        <w:spacing w:before="120" w:after="120"/>
        <w:jc w:val="both"/>
      </w:pPr>
      <w:r>
        <w:t>Advarslen skal være let tilgængelig og let læselig og skal opfylde formålet om folkesundhed og klart kunne adskilles fra ledsagende reklame- eller salgsfremmende indslag.</w:t>
      </w:r>
    </w:p>
    <w:p w14:paraId="23FE00A7" w14:textId="641BB9C1" w:rsidR="00142531" w:rsidRPr="00933EA2" w:rsidRDefault="00142531" w:rsidP="00933EA2">
      <w:pPr>
        <w:spacing w:before="120" w:after="120"/>
        <w:jc w:val="both"/>
      </w:pPr>
      <w:r>
        <w:t>En bekendtgørelse fra sundhedsministeren angiver advarslens indhold, anbringelses- og udsendelsesvilkår.</w:t>
      </w:r>
    </w:p>
    <w:p w14:paraId="626BBD10" w14:textId="4878EBD5" w:rsidR="00142531" w:rsidRPr="00933EA2" w:rsidRDefault="00142531" w:rsidP="00933EA2">
      <w:pPr>
        <w:spacing w:before="120" w:after="120"/>
        <w:jc w:val="both"/>
      </w:pPr>
      <w:r>
        <w:rPr>
          <w:i/>
        </w:rPr>
        <w:t>Artikel D. 320-3.</w:t>
      </w:r>
      <w:r>
        <w:t xml:space="preserve"> - Hvis der vises reklame-, sponsorerings- eller salgsfremmende indslag i biografsale eller af audiovisuelle kommunikationstjenester, bliver advarslerne som omtalt i artikel D. 320-2:</w:t>
      </w:r>
    </w:p>
    <w:p w14:paraId="5A410A11" w14:textId="231FD1D5" w:rsidR="00142531" w:rsidRPr="00933EA2" w:rsidRDefault="001D2F2A" w:rsidP="00933EA2">
      <w:pPr>
        <w:spacing w:before="120" w:after="120"/>
        <w:jc w:val="both"/>
      </w:pPr>
      <w:r>
        <w:t>1° enten vist på et fast eller rullende reklamebanner, der vises i hele reklameindslagets længde. Banneret skal fylde mindst 7 % af skærmhøjden</w:t>
      </w:r>
    </w:p>
    <w:p w14:paraId="0C2C26AA" w14:textId="1F4C469D" w:rsidR="00142531" w:rsidRPr="00933EA2" w:rsidRDefault="001D2F2A" w:rsidP="00933EA2">
      <w:pPr>
        <w:spacing w:before="120" w:after="120"/>
        <w:jc w:val="both"/>
      </w:pPr>
      <w:r>
        <w:t>2° eller vist på et skærmbillede umiddelbart efter reklameindslaget.</w:t>
      </w:r>
    </w:p>
    <w:p w14:paraId="14D3FE3C" w14:textId="77257C5A" w:rsidR="00142531" w:rsidRPr="00933EA2" w:rsidRDefault="00142531" w:rsidP="00933EA2">
      <w:pPr>
        <w:spacing w:before="120" w:after="120"/>
        <w:jc w:val="both"/>
      </w:pPr>
      <w:r>
        <w:rPr>
          <w:i/>
        </w:rPr>
        <w:t>Artikel D. 320-4.</w:t>
      </w:r>
      <w:r>
        <w:t xml:space="preserve"> - Hvis reklameindslagene eller de salgsfremmende indslag udsendes i radioen, udsendes advarslen som omtalt i artikel D. 320-2 umiddelbart efter reklameindslaget.</w:t>
      </w:r>
    </w:p>
    <w:p w14:paraId="23CCF94C" w14:textId="1B3FBE9F" w:rsidR="00142531" w:rsidRPr="00933EA2" w:rsidRDefault="00142531" w:rsidP="00933EA2">
      <w:pPr>
        <w:spacing w:before="120" w:after="120"/>
        <w:jc w:val="both"/>
      </w:pPr>
      <w:r>
        <w:rPr>
          <w:i/>
        </w:rPr>
        <w:t>Artikel D. 320-5.</w:t>
      </w:r>
      <w:r>
        <w:t xml:space="preserve"> - Den måde, advarslen som omtalt i artikel D. 320-2 præsenteres på, overholder principperne som fastsat i artikel D. 320-8 og D. 320-9 samt god praksis som fastlagt af branchen og det audiovisuelle råd.</w:t>
      </w:r>
    </w:p>
    <w:p w14:paraId="0984A69D" w14:textId="1DB680CB" w:rsidR="00142531" w:rsidRPr="00933EA2" w:rsidRDefault="00142531" w:rsidP="00933EA2">
      <w:pPr>
        <w:spacing w:before="120" w:after="120"/>
        <w:jc w:val="both"/>
      </w:pPr>
      <w:r>
        <w:rPr>
          <w:i/>
        </w:rPr>
        <w:t>Artikel D. 320-6.</w:t>
      </w:r>
      <w:r>
        <w:t xml:space="preserve"> - Hvis reklameindslagene eller de salgsfremmende indslag er vist i tryksager, vises advarslen som omtalt i artikel D. 320-2 i en vandret boks til netop denne tekst, som fylder mindst 7 % af reklamefladen. </w:t>
      </w:r>
    </w:p>
    <w:p w14:paraId="40F88BE2" w14:textId="11C28D40" w:rsidR="00142531" w:rsidRPr="00933EA2" w:rsidRDefault="00142531" w:rsidP="00933EA2">
      <w:pPr>
        <w:spacing w:before="120" w:after="120"/>
        <w:jc w:val="both"/>
      </w:pPr>
      <w:r>
        <w:lastRenderedPageBreak/>
        <w:t xml:space="preserve">Hvis det samme medium indeholder flere reklameindslag eller de salgsfremmende indslag til fordel for samme spiludbyder, vises advarslen som omtalt i artikel D. 320-2 kun en enkelt gang på banneret, som fylder mindst 7 % af mediefladen. </w:t>
      </w:r>
    </w:p>
    <w:p w14:paraId="1A1B3572" w14:textId="77777777" w:rsidR="00142531" w:rsidRPr="00933EA2" w:rsidRDefault="00142531" w:rsidP="00933EA2">
      <w:pPr>
        <w:spacing w:before="120" w:after="120"/>
        <w:jc w:val="both"/>
      </w:pPr>
      <w:r>
        <w:t xml:space="preserve"> </w:t>
      </w:r>
      <w:r>
        <w:rPr>
          <w:i/>
        </w:rPr>
        <w:t>Artikel D. 320-7.</w:t>
      </w:r>
      <w:r>
        <w:t xml:space="preserve"> – Bestemmelserne i artikel D. 320-6 finder ikke anvendelse på sportsartikler, der markedsføres eller stilles til rådighed af sportsforbundene, arrangørerne af sportsbegivenheder som omtalt i artikel L. 331-5, stk. 1, i lov om sport eller de sportsforeninger eller -selskaber, der er omtalt i artikel L. 122-1 og L. 122-2 i førnævnte lov.</w:t>
      </w:r>
    </w:p>
    <w:p w14:paraId="20DE0FD0" w14:textId="06A478EE" w:rsidR="00142531" w:rsidRPr="00933EA2" w:rsidRDefault="00142531" w:rsidP="00933EA2">
      <w:pPr>
        <w:spacing w:before="120" w:after="120"/>
        <w:jc w:val="both"/>
      </w:pPr>
      <w:r>
        <w:rPr>
          <w:i/>
        </w:rPr>
        <w:t xml:space="preserve">Artikel D. 320-8. </w:t>
      </w:r>
      <w:r>
        <w:t>– Hvis reklame- eller sponsoreringsindslagene eller de salgsfremmende indslag udsendes via offentlige onlinekommunikationsmedier, vises advarslen som omtalt i artikel D. 320-2 samtidig med det ledsagende reklame- eller salgsfremmende indslag. Denne advarsel vises, således at spilleren – når vedkommende klikker på advarslen – ledes hen på onlinekommunikationstjenesten for den offentlige hjælpeinstans for spillere, der er oprettet under det nationale folkesundhedsagenturs kompetence.</w:t>
      </w:r>
    </w:p>
    <w:p w14:paraId="0211574A" w14:textId="6BA01978" w:rsidR="00142531" w:rsidRPr="00933EA2" w:rsidRDefault="00142531" w:rsidP="00933EA2">
      <w:pPr>
        <w:spacing w:before="120" w:after="120"/>
        <w:jc w:val="both"/>
      </w:pPr>
      <w:r>
        <w:t>Advarslen skal være let tilgængelig og let læselig og skal opfylde formålet om folkesundhed og klart kunne adskilles fra ledsagende reklameindslag.</w:t>
      </w:r>
    </w:p>
    <w:p w14:paraId="20AB5999" w14:textId="77777777" w:rsidR="001D2F2A" w:rsidRPr="00933EA2" w:rsidRDefault="001D2F2A" w:rsidP="00933EA2">
      <w:pPr>
        <w:spacing w:before="120" w:after="120"/>
        <w:jc w:val="both"/>
        <w:rPr>
          <w:i/>
        </w:rPr>
      </w:pPr>
    </w:p>
    <w:p w14:paraId="6E4E5240" w14:textId="67A68190" w:rsidR="00142531" w:rsidRPr="00933EA2" w:rsidRDefault="00142531" w:rsidP="00933EA2">
      <w:pPr>
        <w:spacing w:before="120" w:after="120"/>
        <w:jc w:val="both"/>
      </w:pPr>
      <w:r>
        <w:rPr>
          <w:i/>
        </w:rPr>
        <w:t>Afsnit 3</w:t>
      </w:r>
    </w:p>
    <w:p w14:paraId="4DB64D13" w14:textId="241703DB" w:rsidR="00142531" w:rsidRPr="00933EA2" w:rsidRDefault="00142531" w:rsidP="00933EA2">
      <w:pPr>
        <w:spacing w:before="120" w:after="120"/>
        <w:jc w:val="both"/>
      </w:pPr>
      <w:r>
        <w:rPr>
          <w:i/>
        </w:rPr>
        <w:t>Forbud mod kommerciel kommunikation til fordel for udbydere af spil- og hasardspilvirksomhed på visse medier</w:t>
      </w:r>
    </w:p>
    <w:p w14:paraId="65B7AAFD" w14:textId="4E24C55A" w:rsidR="00142531" w:rsidRPr="00933EA2" w:rsidRDefault="00142531" w:rsidP="00933EA2">
      <w:pPr>
        <w:spacing w:before="120" w:after="120"/>
        <w:jc w:val="both"/>
      </w:pPr>
      <w:r>
        <w:rPr>
          <w:i/>
        </w:rPr>
        <w:t xml:space="preserve">Artikel D. 320-9. </w:t>
      </w:r>
      <w:r>
        <w:t>- Enhver kommerciel kommunikation til fordel for en udbyder af spil- og hasardspilvirksomhed er forbudt:</w:t>
      </w:r>
    </w:p>
    <w:p w14:paraId="5227AAFD" w14:textId="59F3EB5A" w:rsidR="00142531" w:rsidRPr="00933EA2" w:rsidRDefault="001D2F2A" w:rsidP="00933EA2">
      <w:pPr>
        <w:spacing w:before="120" w:after="120"/>
        <w:jc w:val="both"/>
      </w:pPr>
      <w:r>
        <w:t>1° når den tilskynder til overdrevne spilaktiviteter, banaliserer eller skønmaler denne aktivitetstype</w:t>
      </w:r>
    </w:p>
    <w:p w14:paraId="56D78825" w14:textId="6753909C" w:rsidR="00142531" w:rsidRPr="00933EA2" w:rsidRDefault="001D2F2A" w:rsidP="00933EA2">
      <w:pPr>
        <w:spacing w:before="120" w:after="120"/>
        <w:jc w:val="both"/>
      </w:pPr>
      <w:r>
        <w:t>2° når den antyder, at spilleren opnår social succes</w:t>
      </w:r>
    </w:p>
    <w:p w14:paraId="258EE449" w14:textId="1E8E9EB0" w:rsidR="00142531" w:rsidRPr="00933EA2" w:rsidRDefault="001D2F2A" w:rsidP="00933EA2">
      <w:pPr>
        <w:spacing w:before="120" w:after="120"/>
        <w:jc w:val="both"/>
      </w:pPr>
      <w:r>
        <w:t xml:space="preserve">3° når den indeholder uberettigede påstande om de chancer, spillerne har for at vinde, eller de gevinster, de kan vinde </w:t>
      </w:r>
    </w:p>
    <w:p w14:paraId="75D88D1F" w14:textId="45A3AEE0" w:rsidR="00142531" w:rsidRPr="00933EA2" w:rsidRDefault="001D2F2A" w:rsidP="00933EA2">
      <w:pPr>
        <w:spacing w:before="120" w:after="120"/>
        <w:jc w:val="both"/>
      </w:pPr>
      <w:r>
        <w:t>4° når den antyder, at spilleren får adgang til en løsning på personlige, professionelle, sociale eller psykologiske problemer</w:t>
      </w:r>
    </w:p>
    <w:p w14:paraId="0FAADED8" w14:textId="35A26E98" w:rsidR="0096792E" w:rsidRPr="00933EA2" w:rsidRDefault="001D2F2A" w:rsidP="00933EA2">
      <w:pPr>
        <w:spacing w:before="120" w:after="120"/>
        <w:jc w:val="both"/>
      </w:pPr>
      <w:r>
        <w:t xml:space="preserve">5° når den præsenterer spillet som en aktivitet, der giver mulighed for at tjene til livets ophold, eller fungerer som alternativ til lønarbejde. </w:t>
      </w:r>
    </w:p>
    <w:p w14:paraId="2933AC42" w14:textId="5857A6A2" w:rsidR="00142531" w:rsidRPr="00933EA2" w:rsidRDefault="00142531" w:rsidP="00933EA2">
      <w:pPr>
        <w:spacing w:before="120" w:after="120"/>
        <w:jc w:val="both"/>
      </w:pPr>
      <w:r>
        <w:rPr>
          <w:i/>
        </w:rPr>
        <w:t>Artikel D. 320-10.</w:t>
      </w:r>
      <w:r>
        <w:t>- Følgende forbud gælder i forbindelse med kommerciel kommunikation til fordel for spil- og hasardspilvirksomhed:</w:t>
      </w:r>
    </w:p>
    <w:p w14:paraId="3E6424C3" w14:textId="1E87439B" w:rsidR="00142531" w:rsidRPr="00933EA2" w:rsidRDefault="001D2F2A" w:rsidP="00933EA2">
      <w:pPr>
        <w:spacing w:before="120" w:after="120"/>
        <w:jc w:val="both"/>
      </w:pPr>
      <w:r>
        <w:t>1° enhver iscenesættelse af mindreårige eller enhver repræsentation af mindreårige i en købssituation</w:t>
      </w:r>
    </w:p>
    <w:p w14:paraId="22E31CF1" w14:textId="21F617D1" w:rsidR="00142531" w:rsidRPr="00933EA2" w:rsidRDefault="001D2F2A" w:rsidP="00933EA2">
      <w:pPr>
        <w:spacing w:before="120" w:after="120"/>
        <w:jc w:val="both"/>
      </w:pPr>
      <w:r>
        <w:t>2° enhver reklame, der tilskynder mindreårige til at anse spil og hasardspil som en naturlig del af deres fritid</w:t>
      </w:r>
    </w:p>
    <w:p w14:paraId="7DDA03B1" w14:textId="092451E4" w:rsidR="00142531" w:rsidRPr="00933EA2" w:rsidRDefault="001D2F2A" w:rsidP="00933EA2">
      <w:pPr>
        <w:spacing w:before="120" w:after="120"/>
        <w:jc w:val="both"/>
      </w:pPr>
      <w:r>
        <w:t>3° enhver iscenesættelse af personligheder eller personer, der hører til inden for mindreåriges univers</w:t>
      </w:r>
    </w:p>
    <w:p w14:paraId="2FCC9BB5" w14:textId="66D1AD53" w:rsidR="00142531" w:rsidRPr="00933EA2" w:rsidRDefault="001D2F2A" w:rsidP="00933EA2">
      <w:pPr>
        <w:spacing w:before="120" w:after="120"/>
        <w:jc w:val="both"/>
      </w:pPr>
      <w:r>
        <w:t xml:space="preserve">4° enhver reklame, der henvender sig til børn eller unge, eller som er særligt attraktiv for disse grupper på baggrund af navnlig de visuelle elementer, lydelementerne, taleelementerne eller tekstelementerne.". </w:t>
      </w:r>
    </w:p>
    <w:p w14:paraId="577E32B6" w14:textId="77777777" w:rsidR="00142531" w:rsidRPr="00933EA2" w:rsidRDefault="00142531" w:rsidP="00933EA2">
      <w:pPr>
        <w:spacing w:after="200" w:line="276" w:lineRule="auto"/>
        <w:jc w:val="both"/>
        <w:rPr>
          <w:rFonts w:eastAsiaTheme="minorHAnsi"/>
          <w:b/>
          <w:lang w:eastAsia="en-US"/>
        </w:rPr>
      </w:pPr>
    </w:p>
    <w:p w14:paraId="1F6C66A8" w14:textId="512A3E12" w:rsidR="00142531" w:rsidRPr="00933EA2" w:rsidRDefault="00142531" w:rsidP="00933EA2">
      <w:pPr>
        <w:keepNext/>
        <w:keepLines/>
        <w:spacing w:after="200" w:line="276" w:lineRule="auto"/>
        <w:jc w:val="center"/>
        <w:rPr>
          <w:rFonts w:eastAsiaTheme="minorHAnsi"/>
          <w:b/>
        </w:rPr>
      </w:pPr>
      <w:r>
        <w:rPr>
          <w:b/>
        </w:rPr>
        <w:lastRenderedPageBreak/>
        <w:t>DEL VIII: BESTEMMELSER VEDRØRENDE RAMMERNE FOR UDBUDDET AF LOTTERISPIL OG SPORTSVÆDDEMÅL PÅ FYSISKE DISTRIBUTIONSNET</w:t>
      </w:r>
    </w:p>
    <w:p w14:paraId="1CAAFC25" w14:textId="1792437D" w:rsidR="00142531" w:rsidRDefault="00C342AB" w:rsidP="00933EA2">
      <w:pPr>
        <w:pStyle w:val="BodyText"/>
        <w:keepNext/>
        <w:keepLines/>
        <w:jc w:val="center"/>
        <w:rPr>
          <w:b/>
        </w:rPr>
      </w:pPr>
      <w:r>
        <w:rPr>
          <w:b/>
        </w:rPr>
        <w:t>Artikel 47</w:t>
      </w:r>
    </w:p>
    <w:p w14:paraId="3659547E" w14:textId="77777777" w:rsidR="00933EA2" w:rsidRPr="00933EA2" w:rsidRDefault="00933EA2" w:rsidP="00933EA2">
      <w:pPr>
        <w:keepNext/>
        <w:keepLines/>
        <w:rPr>
          <w:b/>
        </w:rPr>
      </w:pPr>
    </w:p>
    <w:p w14:paraId="6697EB5C" w14:textId="77777777" w:rsidR="00142531" w:rsidRPr="00933EA2" w:rsidRDefault="00142531" w:rsidP="00933EA2">
      <w:pPr>
        <w:spacing w:after="200" w:line="276" w:lineRule="auto"/>
        <w:jc w:val="both"/>
        <w:rPr>
          <w:rFonts w:eastAsiaTheme="minorHAnsi"/>
        </w:rPr>
      </w:pPr>
      <w:r>
        <w:t xml:space="preserve">Efter kapitel II i del II i bind III i førnævnte lov indsættes et kapitel II </w:t>
      </w:r>
      <w:r>
        <w:rPr>
          <w:i/>
        </w:rPr>
        <w:t>b</w:t>
      </w:r>
      <w:r>
        <w:t xml:space="preserve"> og II </w:t>
      </w:r>
      <w:r>
        <w:rPr>
          <w:i/>
        </w:rPr>
        <w:t>c</w:t>
      </w:r>
      <w:r>
        <w:t xml:space="preserve"> med følgende ordlyd: </w:t>
      </w:r>
    </w:p>
    <w:p w14:paraId="6D2D130B" w14:textId="77777777" w:rsidR="00142531" w:rsidRPr="00933EA2" w:rsidRDefault="00142531" w:rsidP="00933EA2">
      <w:pPr>
        <w:spacing w:after="200" w:line="276" w:lineRule="auto"/>
        <w:jc w:val="both"/>
        <w:rPr>
          <w:rFonts w:eastAsiaTheme="minorHAnsi"/>
        </w:rPr>
      </w:pPr>
      <w:r>
        <w:t>"</w:t>
      </w:r>
      <w:r>
        <w:rPr>
          <w:i/>
        </w:rPr>
        <w:t>Kapitel II</w:t>
      </w:r>
      <w:r>
        <w:t xml:space="preserve"> b </w:t>
      </w:r>
    </w:p>
    <w:p w14:paraId="7540790A" w14:textId="77777777" w:rsidR="00142531" w:rsidRPr="00933EA2" w:rsidRDefault="00142531" w:rsidP="00933EA2">
      <w:pPr>
        <w:spacing w:after="200" w:line="276" w:lineRule="auto"/>
        <w:jc w:val="both"/>
        <w:rPr>
          <w:rFonts w:eastAsiaTheme="minorHAnsi"/>
        </w:rPr>
      </w:pPr>
      <w:r>
        <w:rPr>
          <w:i/>
        </w:rPr>
        <w:t>Lotterispil, der er underlagt ordningen med eksklusive rettigheder</w:t>
      </w:r>
      <w:r>
        <w:t xml:space="preserve"> </w:t>
      </w:r>
    </w:p>
    <w:p w14:paraId="45707223" w14:textId="77777777" w:rsidR="00142531" w:rsidRPr="00933EA2" w:rsidRDefault="00142531" w:rsidP="00933EA2">
      <w:pPr>
        <w:spacing w:after="200" w:line="276" w:lineRule="auto"/>
        <w:jc w:val="both"/>
        <w:rPr>
          <w:rFonts w:eastAsiaTheme="minorHAnsi"/>
        </w:rPr>
      </w:pPr>
      <w:r>
        <w:rPr>
          <w:i/>
        </w:rPr>
        <w:t>Artikel D. 322-9.</w:t>
      </w:r>
      <w:r>
        <w:t xml:space="preserve"> – Indsatserne svarer til de beløb, der betales af spillerne til selskabet La Française des jeux, og som påvirkes direkte af spillet.</w:t>
      </w:r>
    </w:p>
    <w:p w14:paraId="05D78C26" w14:textId="77777777" w:rsidR="00142531" w:rsidRPr="00933EA2" w:rsidRDefault="00142531" w:rsidP="00933EA2">
      <w:pPr>
        <w:spacing w:after="200" w:line="276" w:lineRule="auto"/>
        <w:jc w:val="both"/>
        <w:rPr>
          <w:rFonts w:eastAsiaTheme="minorHAnsi"/>
        </w:rPr>
      </w:pPr>
      <w:r>
        <w:rPr>
          <w:i/>
        </w:rPr>
        <w:t>Artikel D. 322-10.</w:t>
      </w:r>
      <w:r>
        <w:t xml:space="preserve"> – Gældende for alle lotterispil og for det enkelte spil skal den gennemsnitlige matematiske forventning om gevinst for spillerne ligge mellem 45 % og 75 % af de samlede indsatser.</w:t>
      </w:r>
    </w:p>
    <w:p w14:paraId="392842B4" w14:textId="77777777" w:rsidR="00142531" w:rsidRPr="00933EA2" w:rsidRDefault="00142531" w:rsidP="00933EA2">
      <w:pPr>
        <w:spacing w:after="200" w:line="276" w:lineRule="auto"/>
        <w:jc w:val="both"/>
        <w:rPr>
          <w:rFonts w:eastAsiaTheme="minorHAnsi"/>
        </w:rPr>
      </w:pPr>
      <w:r>
        <w:t>Gevinstprocenten af de indsatser, der skydes ind i forbindelse med lotterispil, er følgende:</w:t>
      </w:r>
    </w:p>
    <w:p w14:paraId="5893D65F" w14:textId="1FE88D6B" w:rsidR="00142531" w:rsidRPr="00933EA2" w:rsidRDefault="001D2F2A" w:rsidP="00933EA2">
      <w:pPr>
        <w:spacing w:after="200" w:line="276" w:lineRule="auto"/>
        <w:jc w:val="both"/>
        <w:rPr>
          <w:rFonts w:eastAsiaTheme="minorHAnsi"/>
        </w:rPr>
      </w:pPr>
      <w:r>
        <w:t>1° I forbindelse med lodtrækningsspil ligger gevinstprocenten på mellem 50 % og 60 % for hver traditionel lodtrækning, på mellem 59 % og 70 % for hver tillægslodtrækning og på mellem 65 % og 72 % for hver efterfølgende lodtrækning.</w:t>
      </w:r>
    </w:p>
    <w:p w14:paraId="3A93D254" w14:textId="28A3AEB2" w:rsidR="00142531" w:rsidRPr="00933EA2" w:rsidRDefault="001D2F2A" w:rsidP="00933EA2">
      <w:pPr>
        <w:spacing w:after="200" w:line="276" w:lineRule="auto"/>
        <w:jc w:val="both"/>
        <w:rPr>
          <w:rFonts w:eastAsiaTheme="minorHAnsi"/>
        </w:rPr>
      </w:pPr>
      <w:r>
        <w:t>2° I forbindelse med spil med øjeblikkelig gevinstchance ligger gevinstprocenten på mellem 62 % og 75 % for hvert skrabespil, på mellem 65 % og 75 % for hvert tilfældighedsspil med øjeblikkelig gevinstchance og på mellem 60 % og 70 % for hvert yderligere spil med øjeblikkelig gevinstchance.</w:t>
      </w:r>
    </w:p>
    <w:p w14:paraId="53F8B5DC" w14:textId="66B5C56A" w:rsidR="00142531" w:rsidRPr="00933EA2" w:rsidRDefault="001D2F2A" w:rsidP="00933EA2">
      <w:pPr>
        <w:spacing w:after="200" w:line="276" w:lineRule="auto"/>
        <w:jc w:val="both"/>
        <w:rPr>
          <w:rFonts w:eastAsiaTheme="minorHAnsi"/>
        </w:rPr>
      </w:pPr>
      <w:r>
        <w:t>3° I forbindelse med alle skrabespil – både på nettet og på fysiske distributionsnet – og i forbindelse med et betydeligt antal af de udstedte lodder ligger den gennemsnitlige gevinstprocent på mindst 50 % og højst 70,5 % af den nominelle værdi af de udstedte lodder.</w:t>
      </w:r>
    </w:p>
    <w:p w14:paraId="07658E7E" w14:textId="77777777" w:rsidR="00142531" w:rsidRPr="00933EA2" w:rsidRDefault="00142531" w:rsidP="00933EA2">
      <w:pPr>
        <w:spacing w:after="200" w:line="276" w:lineRule="auto"/>
        <w:jc w:val="both"/>
        <w:rPr>
          <w:rFonts w:eastAsiaTheme="minorHAnsi"/>
        </w:rPr>
      </w:pPr>
      <w:r>
        <w:rPr>
          <w:i/>
        </w:rPr>
        <w:t xml:space="preserve">Artikel D. 322-11. </w:t>
      </w:r>
      <w:r>
        <w:t>– Tilfældighedsspillene med øjeblikkelig gevinstchance som defineret i artikel L. 322-9-2, 2°, må ikke udbydes på terminaler, der ikke er knyttet til en menneskelig indgriben, og som stilles til rådighed for spillere på anordninger til registrering af lotterispil som omtalt i artikel L. 320-5, stk. 2.</w:t>
      </w:r>
    </w:p>
    <w:p w14:paraId="5E183BE2" w14:textId="77777777" w:rsidR="00142531" w:rsidRPr="00933EA2" w:rsidRDefault="00142531" w:rsidP="00933EA2">
      <w:pPr>
        <w:spacing w:after="200" w:line="276" w:lineRule="auto"/>
        <w:jc w:val="both"/>
        <w:rPr>
          <w:rFonts w:eastAsiaTheme="minorHAnsi"/>
        </w:rPr>
      </w:pPr>
      <w:r>
        <w:rPr>
          <w:i/>
        </w:rPr>
        <w:t>Artikel D. 322-12.</w:t>
      </w:r>
      <w:r>
        <w:t xml:space="preserve"> – De lotterispil, som selskabet La Française des jeux har godkendelse til at udbyde, tager udgangspunkt i hændelser, resultater af tilfældighedstjenester eller lodtrækninger, som navnlig kan indbefatte tal, bogstaver, farver, tegn eller symboler eller rækker af tal, bogstaver, farver, tegn eller symboler. Flere spillere kan deltage i disse lotterispil enten enkeltvis eller i grupper. Mekanikken bag betyder, at spilleren kan foretage handlinger eller træffe valg, der kan påvirke spilparametrene, herunder hyppigheden eller gevinststørrelsen, eller den procentdel af indsatsen, der påvirkes heraf.</w:t>
      </w:r>
    </w:p>
    <w:p w14:paraId="62BE2B36" w14:textId="77777777" w:rsidR="00142531" w:rsidRPr="00933EA2" w:rsidRDefault="00142531" w:rsidP="00933EA2">
      <w:pPr>
        <w:spacing w:after="200" w:line="276" w:lineRule="auto"/>
        <w:jc w:val="both"/>
        <w:rPr>
          <w:rFonts w:eastAsiaTheme="minorHAnsi"/>
        </w:rPr>
      </w:pPr>
      <w:r>
        <w:lastRenderedPageBreak/>
        <w:t>Disse spil kan udbydes til flere spillere på én gang, idet flere spillere eller grupper eller sammenslutninger af spillere kan deltage i henhold til de pågældende konfrontations- eller samarbejdsmekanismer eller en kombination af disse to.</w:t>
      </w:r>
    </w:p>
    <w:p w14:paraId="348C95DA" w14:textId="77777777" w:rsidR="00142531" w:rsidRPr="00933EA2" w:rsidRDefault="00142531" w:rsidP="00933EA2">
      <w:pPr>
        <w:spacing w:after="200" w:line="276" w:lineRule="auto"/>
        <w:jc w:val="both"/>
        <w:rPr>
          <w:rFonts w:eastAsiaTheme="minorHAnsi"/>
        </w:rPr>
      </w:pPr>
      <w:r>
        <w:rPr>
          <w:i/>
        </w:rPr>
        <w:t>Artikel D. 322-13.</w:t>
      </w:r>
      <w:r>
        <w:t xml:space="preserve"> – Hvervning til spillene som omtalt i artikel D. 322-12 sker via det fysiske distributionsnet udbudt af selskabet La Française des jeux og personer som godkendt af selskabet under de betingelser, der er fastsat i artikel R. 322-18-1, eller en offentlig onlinekommunikationstjeneste.</w:t>
      </w:r>
    </w:p>
    <w:p w14:paraId="105DA0DE" w14:textId="45720C17" w:rsidR="00142531" w:rsidRPr="00933EA2" w:rsidRDefault="00142531" w:rsidP="00933EA2">
      <w:pPr>
        <w:spacing w:after="200" w:line="276" w:lineRule="auto"/>
        <w:jc w:val="both"/>
        <w:rPr>
          <w:rFonts w:eastAsiaTheme="minorHAnsi"/>
        </w:rPr>
      </w:pPr>
      <w:r>
        <w:rPr>
          <w:i/>
        </w:rPr>
        <w:t>Artikel D. 322-14.</w:t>
      </w:r>
      <w:r>
        <w:t xml:space="preserve"> – Rammerne for lotterispil som udbudt af La Française des jeux er som følger:</w:t>
      </w:r>
    </w:p>
    <w:p w14:paraId="72F121DD" w14:textId="08FFD438" w:rsidR="00142531" w:rsidRPr="00933EA2" w:rsidRDefault="001D2F2A" w:rsidP="00933EA2">
      <w:pPr>
        <w:spacing w:after="200" w:line="276" w:lineRule="auto"/>
        <w:jc w:val="both"/>
        <w:rPr>
          <w:rFonts w:eastAsiaTheme="minorHAnsi"/>
        </w:rPr>
      </w:pPr>
      <w:r>
        <w:t>1° Antallet af lotterispil – som en kombination af alle serier, der udbydes samtidig på fysiske distributionsnet – er begrænset til højst 40 spil.</w:t>
      </w:r>
    </w:p>
    <w:p w14:paraId="27AD047C" w14:textId="2F845A41" w:rsidR="00142531" w:rsidRPr="00933EA2" w:rsidRDefault="001D2F2A" w:rsidP="00933EA2">
      <w:pPr>
        <w:spacing w:after="200" w:line="276" w:lineRule="auto"/>
        <w:jc w:val="both"/>
        <w:rPr>
          <w:rFonts w:eastAsiaTheme="minorHAnsi"/>
        </w:rPr>
      </w:pPr>
      <w:r>
        <w:t>2° Antallet af lotterispil – som en kombination af alle spilkategorier, der udbydes samtidig på nettet – er begrænset til højst 100 spil.</w:t>
      </w:r>
    </w:p>
    <w:p w14:paraId="3391E3C9" w14:textId="7875B4AC" w:rsidR="00142531" w:rsidRPr="00933EA2" w:rsidRDefault="001D2F2A" w:rsidP="00933EA2">
      <w:pPr>
        <w:spacing w:after="200" w:line="276" w:lineRule="auto"/>
        <w:jc w:val="both"/>
        <w:rPr>
          <w:rFonts w:eastAsiaTheme="minorHAnsi"/>
        </w:rPr>
      </w:pPr>
      <w:r>
        <w:t>3° I henhold til spilreguleringen lyder den samlede gevinststørrelse, der reelt udbetales til vinderne efter enhver deltagelse i hasardspil, maksimalt på 250 millioner EUR som førstepræmier i hvert lotterispil og 100 millioner EUR ved lotterispil baseret på princippet om tilstedeværelsen af en modpart.</w:t>
      </w:r>
    </w:p>
    <w:p w14:paraId="7EDC6E95" w14:textId="77777777" w:rsidR="00142531" w:rsidRPr="00933EA2" w:rsidRDefault="00142531" w:rsidP="00933EA2">
      <w:pPr>
        <w:spacing w:after="200" w:line="276" w:lineRule="auto"/>
        <w:jc w:val="both"/>
        <w:rPr>
          <w:rFonts w:eastAsiaTheme="minorHAnsi"/>
        </w:rPr>
      </w:pPr>
      <w:r>
        <w:rPr>
          <w:i/>
        </w:rPr>
        <w:t>Artikel D. 322-15.</w:t>
      </w:r>
      <w:r>
        <w:t xml:space="preserve"> – Tildelingen af gevinster eller dele til vinderne bestemmes tilfældigt eller som følge af en hændelse, herunder spillerens handling. Det enkelte lotterispil kan kombinere flere metoder til bestemmelse af gevinster eller dele og tildelingen heraf til vinderne.</w:t>
      </w:r>
    </w:p>
    <w:p w14:paraId="698B3ECA" w14:textId="77777777" w:rsidR="00142531" w:rsidRPr="00933EA2" w:rsidRDefault="00142531" w:rsidP="00933EA2">
      <w:pPr>
        <w:spacing w:after="200" w:line="276" w:lineRule="auto"/>
        <w:jc w:val="both"/>
        <w:rPr>
          <w:rFonts w:eastAsiaTheme="minorHAnsi"/>
        </w:rPr>
      </w:pPr>
      <w:r>
        <w:rPr>
          <w:i/>
        </w:rPr>
        <w:t>Artikel D. 322-16.</w:t>
      </w:r>
      <w:r>
        <w:t xml:space="preserve"> – Tilfældigheden indtræder på forhånd, når gevinsterne eller delene tildeles tilfældigt til de vindende spilmedier. Dette sker via en skjult registrering, der foregår før tilvejebringelsen til offentligheden.</w:t>
      </w:r>
    </w:p>
    <w:p w14:paraId="1DF4C48B" w14:textId="77777777" w:rsidR="00142531" w:rsidRPr="00933EA2" w:rsidRDefault="00142531" w:rsidP="00933EA2">
      <w:pPr>
        <w:spacing w:after="200" w:line="276" w:lineRule="auto"/>
        <w:jc w:val="both"/>
        <w:rPr>
          <w:rFonts w:eastAsiaTheme="minorHAnsi"/>
        </w:rPr>
      </w:pPr>
      <w:r>
        <w:t>Den indtræder på samme tid, når den udløses af en hændelse såsom spillerens handling på mediet med en tilsvarende anordning eller proces.</w:t>
      </w:r>
    </w:p>
    <w:p w14:paraId="5224D752" w14:textId="77777777" w:rsidR="00142531" w:rsidRPr="00933EA2" w:rsidRDefault="00142531" w:rsidP="00933EA2">
      <w:pPr>
        <w:spacing w:after="200" w:line="276" w:lineRule="auto"/>
        <w:jc w:val="both"/>
        <w:rPr>
          <w:rFonts w:eastAsiaTheme="minorHAnsi"/>
        </w:rPr>
      </w:pPr>
      <w:r>
        <w:t>Den indtræder efterfølgende, når den tager udgangspunkt i resultaterne af en eller flere lodtrækninger eller tilfældighedstjenester, der kan indbefatte tal, bogstaver, farver, tegn eller symboler eller rækker af tal, bogstaver, farver, tegn eller symboler.</w:t>
      </w:r>
    </w:p>
    <w:p w14:paraId="6A6541EC" w14:textId="77777777" w:rsidR="00142531" w:rsidRPr="00933EA2" w:rsidRDefault="00142531" w:rsidP="00933EA2">
      <w:pPr>
        <w:spacing w:after="200" w:line="276" w:lineRule="auto"/>
        <w:jc w:val="both"/>
        <w:rPr>
          <w:rFonts w:eastAsiaTheme="minorHAnsi"/>
        </w:rPr>
      </w:pPr>
      <w:r>
        <w:t xml:space="preserve"> </w:t>
      </w:r>
      <w:r>
        <w:rPr>
          <w:i/>
        </w:rPr>
        <w:t>Artikel D. 322-17.</w:t>
      </w:r>
      <w:r>
        <w:t xml:space="preserve"> – De gevinster eller dele, der udbetales til vinderne, kan være i kontanter eller naturalier. Gevinsterne i naturalier konteres i markedsværdi.</w:t>
      </w:r>
    </w:p>
    <w:p w14:paraId="499EF278" w14:textId="77777777" w:rsidR="00142531" w:rsidRPr="00933EA2" w:rsidRDefault="00142531" w:rsidP="00933EA2">
      <w:pPr>
        <w:spacing w:after="200" w:line="276" w:lineRule="auto"/>
        <w:jc w:val="both"/>
        <w:rPr>
          <w:rFonts w:eastAsiaTheme="minorHAnsi"/>
        </w:rPr>
      </w:pPr>
      <w:r>
        <w:rPr>
          <w:i/>
        </w:rPr>
        <w:t>Artikel D. 322-18.</w:t>
      </w:r>
      <w:r>
        <w:t xml:space="preserve"> – Når et lotterispil både bygger på principperne om fordeling og tilstedeværelsen af en modpart, er de enkelte dele af spillet underlagt førnævnte principper.</w:t>
      </w:r>
    </w:p>
    <w:p w14:paraId="71C8C978" w14:textId="77777777" w:rsidR="00142531" w:rsidRPr="00933EA2" w:rsidRDefault="00142531" w:rsidP="00933EA2">
      <w:pPr>
        <w:spacing w:after="200" w:line="276" w:lineRule="auto"/>
        <w:jc w:val="both"/>
        <w:rPr>
          <w:rFonts w:eastAsiaTheme="minorHAnsi"/>
        </w:rPr>
      </w:pPr>
      <w:r>
        <w:rPr>
          <w:i/>
        </w:rPr>
        <w:t>Kapitel II</w:t>
      </w:r>
      <w:r>
        <w:t xml:space="preserve"> c</w:t>
      </w:r>
    </w:p>
    <w:p w14:paraId="3EE605AB" w14:textId="77777777" w:rsidR="00142531" w:rsidRPr="00933EA2" w:rsidRDefault="00142531" w:rsidP="00933EA2">
      <w:pPr>
        <w:spacing w:after="200" w:line="276" w:lineRule="auto"/>
        <w:jc w:val="both"/>
        <w:rPr>
          <w:rFonts w:eastAsiaTheme="minorHAnsi"/>
        </w:rPr>
      </w:pPr>
      <w:r>
        <w:rPr>
          <w:i/>
        </w:rPr>
        <w:t>Sportsvæddemål og hestevæddemål</w:t>
      </w:r>
    </w:p>
    <w:p w14:paraId="19743B61" w14:textId="77777777" w:rsidR="00142531" w:rsidRPr="00933EA2" w:rsidRDefault="00142531" w:rsidP="00933EA2">
      <w:pPr>
        <w:spacing w:after="200" w:line="276" w:lineRule="auto"/>
        <w:jc w:val="both"/>
        <w:rPr>
          <w:rFonts w:eastAsiaTheme="minorHAnsi"/>
        </w:rPr>
      </w:pPr>
      <w:r>
        <w:rPr>
          <w:i/>
        </w:rPr>
        <w:t>Artikel D. 322-19.</w:t>
      </w:r>
      <w:r>
        <w:t xml:space="preserve"> – For alle de sportsvæddemål, der er omtalt i artikel L. 322-13, som markedsføres på fysiske distributionsnet udbudt af selskabet La Française des jeux, ligger gevinstprocenten gennemsnitligt på højst 76,5 % baseret på kalenderåret.</w:t>
      </w:r>
    </w:p>
    <w:p w14:paraId="1B16ABF1" w14:textId="77777777" w:rsidR="00142531" w:rsidRPr="00933EA2" w:rsidRDefault="00142531" w:rsidP="00933EA2">
      <w:pPr>
        <w:spacing w:after="200" w:line="276" w:lineRule="auto"/>
        <w:jc w:val="both"/>
        <w:rPr>
          <w:rFonts w:eastAsiaTheme="minorHAnsi"/>
        </w:rPr>
      </w:pPr>
      <w:r>
        <w:rPr>
          <w:i/>
        </w:rPr>
        <w:lastRenderedPageBreak/>
        <w:t>Artikel D. 322-20.</w:t>
      </w:r>
      <w:r>
        <w:t xml:space="preserve"> – Tildelingen af gevinster eller dele til vinderne bestemmes ud fra resultaterne af sportsbegivenheder. Det enkelte sportsvæddemål kan kombinere flere metoder til bestemmelse af gevinster eller dele og tildelingen heraf til vinderne.</w:t>
      </w:r>
    </w:p>
    <w:p w14:paraId="4FCEFCC4" w14:textId="77777777" w:rsidR="00142531" w:rsidRPr="00933EA2" w:rsidRDefault="00142531" w:rsidP="00933EA2">
      <w:pPr>
        <w:spacing w:after="200" w:line="276" w:lineRule="auto"/>
        <w:jc w:val="both"/>
        <w:rPr>
          <w:rFonts w:eastAsiaTheme="minorHAnsi"/>
        </w:rPr>
      </w:pPr>
      <w:r>
        <w:rPr>
          <w:i/>
        </w:rPr>
        <w:t>Artikel D. 322-21.</w:t>
      </w:r>
      <w:r>
        <w:t xml:space="preserve"> – De gevinster eller dele, der udbetales til vinderne, kan være i kontanter eller naturalier. Gevinsterne i naturalier konteres i markedsværdi.</w:t>
      </w:r>
    </w:p>
    <w:p w14:paraId="52C3B83B" w14:textId="77777777" w:rsidR="00142531" w:rsidRPr="00933EA2" w:rsidRDefault="00142531" w:rsidP="00933EA2">
      <w:pPr>
        <w:spacing w:after="200" w:line="276" w:lineRule="auto"/>
        <w:jc w:val="both"/>
        <w:rPr>
          <w:rFonts w:eastAsiaTheme="minorHAnsi"/>
        </w:rPr>
      </w:pPr>
      <w:r>
        <w:rPr>
          <w:i/>
        </w:rPr>
        <w:t>Artikel D. 322-22.</w:t>
      </w:r>
      <w:r>
        <w:t xml:space="preserve"> – Når et sportsvæddemål både bygger på principperne om fordeling og tilstedeværelsen af en modpart, er de enkelte dele af spillet underlagt førnævnte principper.".</w:t>
      </w:r>
    </w:p>
    <w:p w14:paraId="397F7EC9" w14:textId="6B79B966" w:rsidR="00142531" w:rsidRPr="00933EA2" w:rsidRDefault="00142531" w:rsidP="00933EA2">
      <w:pPr>
        <w:keepNext/>
        <w:keepLines/>
        <w:spacing w:after="200" w:line="276" w:lineRule="auto"/>
        <w:jc w:val="center"/>
        <w:rPr>
          <w:rFonts w:eastAsiaTheme="minorHAnsi"/>
          <w:b/>
        </w:rPr>
      </w:pPr>
      <w:r>
        <w:rPr>
          <w:b/>
        </w:rPr>
        <w:t>DEL IX: DIVERSE BESTEMMELSER</w:t>
      </w:r>
    </w:p>
    <w:p w14:paraId="6B2FA634" w14:textId="6133C450" w:rsidR="00142531" w:rsidRPr="00933EA2" w:rsidRDefault="00142531" w:rsidP="00933EA2">
      <w:pPr>
        <w:pStyle w:val="BodyText"/>
        <w:keepNext/>
        <w:keepLines/>
        <w:jc w:val="center"/>
        <w:rPr>
          <w:b/>
        </w:rPr>
      </w:pPr>
      <w:r>
        <w:rPr>
          <w:b/>
        </w:rPr>
        <w:t>Artikel 48</w:t>
      </w:r>
    </w:p>
    <w:p w14:paraId="1E081A25" w14:textId="77777777" w:rsidR="00142531" w:rsidRPr="00933EA2" w:rsidRDefault="00142531" w:rsidP="00933EA2">
      <w:pPr>
        <w:keepNext/>
        <w:keepLines/>
        <w:rPr>
          <w:b/>
        </w:rPr>
      </w:pPr>
    </w:p>
    <w:p w14:paraId="37DFBDA8" w14:textId="6B10418A" w:rsidR="00142531" w:rsidRPr="00933EA2" w:rsidRDefault="00142531" w:rsidP="00933EA2">
      <w:pPr>
        <w:pStyle w:val="BodyText"/>
        <w:jc w:val="both"/>
      </w:pPr>
      <w:r>
        <w:t>Dekret nr. 2019-1061 af 17. oktober 2019 ændres som følger:</w:t>
      </w:r>
    </w:p>
    <w:p w14:paraId="1D7BA30F" w14:textId="01D3777C" w:rsidR="00142531" w:rsidRPr="00933EA2" w:rsidRDefault="00B84182" w:rsidP="00933EA2">
      <w:pPr>
        <w:pStyle w:val="BodyText"/>
        <w:jc w:val="both"/>
        <w:rPr>
          <w:rFonts w:eastAsia="Calibri"/>
        </w:rPr>
      </w:pPr>
      <w:r>
        <w:t xml:space="preserve">1° Artikel 8 ændres som følger: </w:t>
      </w:r>
    </w:p>
    <w:p w14:paraId="2B2B45CD" w14:textId="6E5CBC85" w:rsidR="00142531" w:rsidRPr="00933EA2" w:rsidRDefault="00F77C81" w:rsidP="00933EA2">
      <w:pPr>
        <w:pStyle w:val="BodyText"/>
        <w:jc w:val="both"/>
      </w:pPr>
      <w:r>
        <w:t>a) Stk. 1, 3 til 7, 9 til 16, samt afsnit II, stk. 1, slettes.</w:t>
      </w:r>
    </w:p>
    <w:p w14:paraId="36218AA9" w14:textId="7EC300FB" w:rsidR="00142531" w:rsidRPr="00933EA2" w:rsidRDefault="00F77C81" w:rsidP="00933EA2">
      <w:pPr>
        <w:pStyle w:val="BodyText"/>
        <w:jc w:val="both"/>
      </w:pPr>
      <w:r>
        <w:t>b) Stk. 2 suppleres med ordlyden: "som omtalt i artikel L. 322-9-1 og L. 322-9-2 i lov om indre sikkerhed".</w:t>
      </w:r>
    </w:p>
    <w:p w14:paraId="3FD15048" w14:textId="5FCE4042" w:rsidR="00142531" w:rsidRPr="00933EA2" w:rsidRDefault="00F77C81" w:rsidP="00933EA2">
      <w:pPr>
        <w:pStyle w:val="BodyText"/>
        <w:jc w:val="both"/>
      </w:pPr>
      <w:r>
        <w:t xml:space="preserve">c) I stk. 8 erstattes ordlyden: "i nærværende artikel" af: "i artikel D. 322-10 og D. 322-19 i lov om indre sikkerhed". </w:t>
      </w:r>
    </w:p>
    <w:p w14:paraId="5C01C0A8" w14:textId="08EE0C3D" w:rsidR="00142531" w:rsidRPr="00933EA2" w:rsidRDefault="00F77C81" w:rsidP="00933EA2">
      <w:pPr>
        <w:pStyle w:val="BodyText"/>
        <w:jc w:val="both"/>
      </w:pPr>
      <w:r>
        <w:t>d) I stk. 17 erstattes ordlyden: "i afsnit I, 2°" af: "i artikel D. 322-14".</w:t>
      </w:r>
    </w:p>
    <w:p w14:paraId="4A48D974" w14:textId="6905EA5C" w:rsidR="00142531" w:rsidRPr="00933EA2" w:rsidRDefault="003A7FAA" w:rsidP="00933EA2">
      <w:pPr>
        <w:pStyle w:val="BodyText"/>
        <w:jc w:val="both"/>
      </w:pPr>
      <w:r>
        <w:t>2</w:t>
      </w:r>
      <w:r w:rsidR="00CC2943">
        <w:t xml:space="preserve">° </w:t>
      </w:r>
      <w:r>
        <w:t xml:space="preserve">Artikel 9 ændres som følger: </w:t>
      </w:r>
    </w:p>
    <w:p w14:paraId="67CB0A9C" w14:textId="0B61CF64" w:rsidR="00142531" w:rsidRPr="00933EA2" w:rsidRDefault="00F77C81" w:rsidP="00933EA2">
      <w:pPr>
        <w:pStyle w:val="BodyText"/>
        <w:jc w:val="both"/>
      </w:pPr>
      <w:r>
        <w:t>a) I stk. 1 slettes: "I. –".</w:t>
      </w:r>
    </w:p>
    <w:p w14:paraId="7362E9D8" w14:textId="26A4CC94" w:rsidR="00142531" w:rsidRPr="00933EA2" w:rsidRDefault="00F77C81" w:rsidP="00933EA2">
      <w:pPr>
        <w:pStyle w:val="BodyText"/>
        <w:jc w:val="both"/>
      </w:pPr>
      <w:r>
        <w:t>b) Afsnit II ophæves.</w:t>
      </w:r>
    </w:p>
    <w:p w14:paraId="34B2083E" w14:textId="5E389661" w:rsidR="00142531" w:rsidRPr="00933EA2" w:rsidRDefault="003A7FAA" w:rsidP="00933EA2">
      <w:pPr>
        <w:pStyle w:val="BodyText"/>
        <w:jc w:val="both"/>
      </w:pPr>
      <w:r>
        <w:t>3° Artikel 11, stk. 1, slettes.</w:t>
      </w:r>
    </w:p>
    <w:p w14:paraId="2CF30745" w14:textId="77777777" w:rsidR="00142531" w:rsidRPr="00933EA2" w:rsidRDefault="003A7FAA" w:rsidP="00933EA2">
      <w:pPr>
        <w:pStyle w:val="BodyText"/>
        <w:jc w:val="both"/>
      </w:pPr>
      <w:r>
        <w:t>4° Artikel 10 og 16 ophæves.</w:t>
      </w:r>
    </w:p>
    <w:p w14:paraId="026AA641" w14:textId="19FF09DB" w:rsidR="00142531" w:rsidRDefault="00C342AB" w:rsidP="00933EA2">
      <w:pPr>
        <w:pStyle w:val="BodyText"/>
        <w:jc w:val="center"/>
        <w:rPr>
          <w:b/>
        </w:rPr>
      </w:pPr>
      <w:r>
        <w:rPr>
          <w:b/>
        </w:rPr>
        <w:t>Artikel 49</w:t>
      </w:r>
    </w:p>
    <w:p w14:paraId="20CC2A42" w14:textId="77777777" w:rsidR="00933EA2" w:rsidRPr="00933EA2" w:rsidRDefault="00933EA2" w:rsidP="00933EA2">
      <w:pPr>
        <w:keepNext/>
        <w:keepLines/>
        <w:rPr>
          <w:b/>
        </w:rPr>
      </w:pPr>
    </w:p>
    <w:p w14:paraId="5078CA54" w14:textId="77777777" w:rsidR="003A46B9" w:rsidRPr="00933EA2" w:rsidRDefault="00142531" w:rsidP="00933EA2">
      <w:pPr>
        <w:pStyle w:val="BodyText"/>
        <w:jc w:val="both"/>
      </w:pPr>
      <w:r>
        <w:t>Dekret nr. 2010-624 af 8. juni 2010 om bestemmelser om kommerciel kommunikation til fordel for udbydere af spil- og hasardspilvirksomhed samt spillerinformation, hvad angår risiciene forbundet med spilaktiviteterne, ophæves med undtagelse af artikel 1.</w:t>
      </w:r>
    </w:p>
    <w:p w14:paraId="44F6D3A1" w14:textId="77777777" w:rsidR="003A46B9" w:rsidRPr="00933EA2" w:rsidRDefault="003A46B9" w:rsidP="00933EA2">
      <w:pPr>
        <w:pStyle w:val="BodyText"/>
        <w:jc w:val="both"/>
      </w:pPr>
      <w:r>
        <w:t>Artikel 1 i førnævnte dekret af 8. juni 2010 ophæves på ikrafttrædelsesdatoen for bekendtgørelsen som omtalt i artikel D. 320-2 i lov om indre sikkerhed.</w:t>
      </w:r>
    </w:p>
    <w:p w14:paraId="43F165C3" w14:textId="77777777" w:rsidR="00142531" w:rsidRPr="00933EA2" w:rsidRDefault="00142531" w:rsidP="00933EA2">
      <w:pPr>
        <w:pStyle w:val="BodyText"/>
        <w:jc w:val="both"/>
      </w:pPr>
    </w:p>
    <w:p w14:paraId="1ED9BF43" w14:textId="30760737" w:rsidR="00142531" w:rsidRPr="00933EA2" w:rsidRDefault="00142531" w:rsidP="00933EA2">
      <w:pPr>
        <w:keepNext/>
        <w:keepLines/>
        <w:pageBreakBefore/>
        <w:spacing w:after="200" w:line="276" w:lineRule="auto"/>
        <w:jc w:val="center"/>
        <w:rPr>
          <w:rFonts w:eastAsiaTheme="minorHAnsi"/>
          <w:b/>
        </w:rPr>
      </w:pPr>
      <w:r>
        <w:rPr>
          <w:b/>
        </w:rPr>
        <w:lastRenderedPageBreak/>
        <w:t>DEL X: BESTEMMELSER VEDRØRENDE DE OVERSØISKE DEPARTEMENTER OG OMRÅDER</w:t>
      </w:r>
    </w:p>
    <w:p w14:paraId="228B2384" w14:textId="6829D366" w:rsidR="00142531" w:rsidRDefault="00C342AB" w:rsidP="00933EA2">
      <w:pPr>
        <w:pStyle w:val="BodyText"/>
        <w:keepNext/>
        <w:keepLines/>
        <w:jc w:val="center"/>
        <w:rPr>
          <w:b/>
        </w:rPr>
      </w:pPr>
      <w:r>
        <w:rPr>
          <w:b/>
        </w:rPr>
        <w:t>Artikel 50</w:t>
      </w:r>
    </w:p>
    <w:p w14:paraId="64A668A0" w14:textId="77777777" w:rsidR="00933EA2" w:rsidRPr="00933EA2" w:rsidRDefault="00933EA2" w:rsidP="00933EA2">
      <w:pPr>
        <w:pStyle w:val="BodyText"/>
        <w:keepNext/>
        <w:keepLines/>
        <w:jc w:val="center"/>
        <w:rPr>
          <w:b/>
        </w:rPr>
      </w:pPr>
    </w:p>
    <w:p w14:paraId="4EDE3EF1" w14:textId="78A68B88" w:rsidR="00142531" w:rsidRPr="00933EA2" w:rsidRDefault="00142531" w:rsidP="00933EA2">
      <w:pPr>
        <w:spacing w:before="120" w:after="120"/>
        <w:jc w:val="both"/>
      </w:pPr>
      <w:r>
        <w:t xml:space="preserve">Del VI i bind III i lov om indre sikkerhed ændres som følger: </w:t>
      </w:r>
    </w:p>
    <w:p w14:paraId="3F218209" w14:textId="4E3D9BBB" w:rsidR="00142531" w:rsidRPr="00933EA2" w:rsidRDefault="00142531" w:rsidP="00933EA2">
      <w:pPr>
        <w:spacing w:before="120" w:after="120"/>
        <w:jc w:val="both"/>
      </w:pPr>
      <w:r>
        <w:t xml:space="preserve">1° Efter artikel R. 344-1 indsættes en artikel D. 344-1-1 med følgende ordlyd: </w:t>
      </w:r>
    </w:p>
    <w:p w14:paraId="03866EFC" w14:textId="4280BBD7" w:rsidR="00142531" w:rsidRPr="00933EA2" w:rsidRDefault="00142531" w:rsidP="00933EA2">
      <w:pPr>
        <w:spacing w:before="120" w:after="120"/>
        <w:jc w:val="both"/>
      </w:pPr>
      <w:r>
        <w:t>"</w:t>
      </w:r>
      <w:r>
        <w:rPr>
          <w:bCs/>
          <w:i/>
          <w:iCs/>
        </w:rPr>
        <w:t>Artikel D. 344-1-1</w:t>
      </w:r>
      <w:r>
        <w:t xml:space="preserve">. – Bestemmelserne i nærværende bind som anført i venstre kolonne af nedenstående tabel som affattet i højre kolonne af førnævnte tabel finder anvendelse i Fransk Polynesien:" </w:t>
      </w:r>
    </w:p>
    <w:p w14:paraId="575C799C"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0E2EAEC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1B23B21" w14:textId="77777777" w:rsidR="00142531" w:rsidRPr="00933EA2" w:rsidRDefault="00142531" w:rsidP="00933EA2">
            <w:pPr>
              <w:spacing w:before="120" w:after="120"/>
              <w:jc w:val="center"/>
            </w:pPr>
            <w:r>
              <w:t>GÆLDENDE BESTEMMELSER</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D931236" w14:textId="77777777" w:rsidR="00142531" w:rsidRPr="00933EA2" w:rsidRDefault="00142531" w:rsidP="00933EA2">
            <w:pPr>
              <w:spacing w:before="120" w:after="120"/>
              <w:jc w:val="center"/>
            </w:pPr>
            <w:r>
              <w:t>SOM AFFATTET</w:t>
            </w:r>
          </w:p>
        </w:tc>
      </w:tr>
      <w:tr w:rsidR="00142531" w:rsidRPr="00933EA2" w14:paraId="412D33D7"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2FF41097" w14:textId="77777777" w:rsidR="00142531" w:rsidRPr="00933EA2" w:rsidRDefault="00142531" w:rsidP="00933EA2">
            <w:pPr>
              <w:spacing w:before="120" w:after="120"/>
              <w:jc w:val="both"/>
            </w:pPr>
            <w:r>
              <w:t>I del II</w:t>
            </w:r>
          </w:p>
        </w:tc>
      </w:tr>
      <w:tr w:rsidR="00142531" w:rsidRPr="00933EA2" w14:paraId="7935333B"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7E2AA7C7" w14:textId="77777777" w:rsidR="00142531" w:rsidRPr="00933EA2" w:rsidRDefault="00142531" w:rsidP="00933EA2">
            <w:pPr>
              <w:spacing w:before="120" w:after="120"/>
              <w:jc w:val="both"/>
            </w:pPr>
            <w:r>
              <w:t>D. 320-1 til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57373FB" w14:textId="77777777" w:rsidR="00142531" w:rsidRPr="00933EA2" w:rsidRDefault="00142531" w:rsidP="00933EA2">
            <w:pPr>
              <w:spacing w:before="120" w:after="120"/>
              <w:jc w:val="both"/>
            </w:pPr>
            <w:r>
              <w:t>I henhold til dekret nr. XXX af XXX</w:t>
            </w:r>
          </w:p>
        </w:tc>
      </w:tr>
      <w:tr w:rsidR="00142531" w:rsidRPr="00933EA2" w14:paraId="58B6C442"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8FB507A" w14:textId="77777777" w:rsidR="00142531" w:rsidRPr="00933EA2" w:rsidRDefault="00142531" w:rsidP="00933EA2">
            <w:pPr>
              <w:spacing w:before="120" w:after="120"/>
              <w:jc w:val="both"/>
              <w:rPr>
                <w:bCs/>
                <w:iCs/>
              </w:rPr>
            </w:pPr>
            <w:r>
              <w:t>D. 322-9 til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C4B1D7B" w14:textId="77777777" w:rsidR="00142531" w:rsidRPr="00933EA2" w:rsidRDefault="00142531" w:rsidP="00933EA2">
            <w:pPr>
              <w:spacing w:before="120" w:after="120"/>
              <w:jc w:val="both"/>
            </w:pPr>
            <w:r>
              <w:t>I henhold til dekret nr. XXX af XXX</w:t>
            </w:r>
          </w:p>
        </w:tc>
      </w:tr>
    </w:tbl>
    <w:p w14:paraId="76940A3D" w14:textId="70749E61" w:rsidR="00142531" w:rsidRPr="00933EA2" w:rsidRDefault="00142531" w:rsidP="00933EA2">
      <w:pPr>
        <w:spacing w:before="120" w:after="120"/>
        <w:jc w:val="right"/>
      </w:pPr>
      <w:r>
        <w:t>» ;</w:t>
      </w:r>
    </w:p>
    <w:p w14:paraId="2859C670" w14:textId="4C9A029D" w:rsidR="00142531" w:rsidRPr="00933EA2" w:rsidRDefault="00F77C81" w:rsidP="00933EA2">
      <w:pPr>
        <w:spacing w:before="120" w:after="120"/>
        <w:jc w:val="both"/>
      </w:pPr>
      <w:r>
        <w:t xml:space="preserve">2° Artikel D. 345-2 ændres som følger: </w:t>
      </w:r>
    </w:p>
    <w:p w14:paraId="171E8F55" w14:textId="345E314C" w:rsidR="00142531" w:rsidRPr="00933EA2" w:rsidRDefault="00142531" w:rsidP="00933EA2">
      <w:pPr>
        <w:spacing w:before="120" w:after="120"/>
        <w:jc w:val="both"/>
      </w:pPr>
      <w:r>
        <w:t xml:space="preserve">a) Efter linjen: </w:t>
      </w:r>
    </w:p>
    <w:p w14:paraId="0A6D5ECA" w14:textId="4260D7DB"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9524"/>
      </w:tblGrid>
      <w:tr w:rsidR="00142531" w:rsidRPr="00933EA2" w14:paraId="692F82FE" w14:textId="77777777"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14:paraId="20DA139F" w14:textId="77777777" w:rsidR="00142531" w:rsidRPr="00933EA2" w:rsidRDefault="00142531" w:rsidP="00933EA2">
            <w:pPr>
              <w:spacing w:before="120" w:after="120"/>
              <w:jc w:val="both"/>
            </w:pPr>
            <w:r>
              <w:t>I del II</w:t>
            </w:r>
          </w:p>
        </w:tc>
      </w:tr>
    </w:tbl>
    <w:p w14:paraId="5EC12802" w14:textId="77777777" w:rsidR="00142531" w:rsidRPr="00933EA2" w:rsidRDefault="00142531" w:rsidP="00933EA2">
      <w:pPr>
        <w:spacing w:before="120" w:after="120"/>
        <w:jc w:val="right"/>
      </w:pPr>
      <w:r>
        <w:t>»</w:t>
      </w:r>
    </w:p>
    <w:p w14:paraId="3328B77C" w14:textId="47ADEAAB" w:rsidR="00142531" w:rsidRPr="00933EA2" w:rsidRDefault="00142531" w:rsidP="00933EA2">
      <w:pPr>
        <w:spacing w:before="120" w:after="120"/>
        <w:jc w:val="both"/>
      </w:pPr>
      <w:r>
        <w:t xml:space="preserve">indsættes følgende linje: </w:t>
      </w:r>
    </w:p>
    <w:p w14:paraId="3C13D2F5" w14:textId="6F23188C"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0A2B46FE"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5F90E2B5" w14:textId="77777777" w:rsidR="00142531" w:rsidRPr="00933EA2" w:rsidRDefault="00142531" w:rsidP="00933EA2">
            <w:pPr>
              <w:spacing w:before="120" w:after="120"/>
              <w:jc w:val="both"/>
            </w:pPr>
            <w:r>
              <w:t>D. 320-1 til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6348F" w14:textId="77777777" w:rsidR="00142531" w:rsidRPr="00933EA2" w:rsidRDefault="00142531" w:rsidP="00933EA2">
            <w:pPr>
              <w:spacing w:before="120" w:after="120"/>
              <w:jc w:val="both"/>
            </w:pPr>
            <w:r>
              <w:t>I henhold til dekret nr. XXX af XXX</w:t>
            </w:r>
          </w:p>
        </w:tc>
      </w:tr>
    </w:tbl>
    <w:p w14:paraId="394F271C" w14:textId="15007DC9" w:rsidR="00142531" w:rsidRPr="00933EA2" w:rsidRDefault="00142531" w:rsidP="00933EA2">
      <w:pPr>
        <w:spacing w:before="120" w:after="120"/>
        <w:jc w:val="right"/>
      </w:pPr>
      <w:r>
        <w:t>» ;</w:t>
      </w:r>
    </w:p>
    <w:p w14:paraId="2C9C36CA" w14:textId="748A8604" w:rsidR="00142531" w:rsidRPr="00933EA2" w:rsidRDefault="00142531" w:rsidP="00933EA2">
      <w:pPr>
        <w:spacing w:before="120" w:after="120"/>
        <w:jc w:val="both"/>
      </w:pPr>
      <w:r>
        <w:t xml:space="preserve">b) Efter linjen: </w:t>
      </w:r>
    </w:p>
    <w:p w14:paraId="7FEEA025" w14:textId="3404E3A0"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7C02A6C7"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0082B790" w14:textId="77777777" w:rsidR="00142531" w:rsidRPr="00933EA2" w:rsidRDefault="00142531" w:rsidP="00933EA2">
            <w:pPr>
              <w:spacing w:before="120" w:after="120"/>
              <w:jc w:val="both"/>
            </w:pPr>
            <w:r>
              <w:t>D. 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31C8B634" w14:textId="77777777" w:rsidR="00142531" w:rsidRPr="00933EA2" w:rsidRDefault="00142531" w:rsidP="00933EA2">
            <w:pPr>
              <w:spacing w:before="120" w:after="120"/>
              <w:jc w:val="both"/>
            </w:pPr>
            <w:r>
              <w:t>I henhold til dekret nr. 2014-1253 af 27. oktober 2014 vedrørende bestemmelserne i bind III, VI og VII i den forskriftsmæssige del af lov om indre sikkerhed (dekreter af Conseil d'État og simple dekreter)</w:t>
            </w:r>
          </w:p>
        </w:tc>
      </w:tr>
    </w:tbl>
    <w:p w14:paraId="0CC52D59" w14:textId="77777777" w:rsidR="00142531" w:rsidRPr="00933EA2" w:rsidRDefault="00142531" w:rsidP="00933EA2">
      <w:pPr>
        <w:spacing w:before="120" w:after="120"/>
        <w:jc w:val="right"/>
      </w:pPr>
      <w:r>
        <w:t>»</w:t>
      </w:r>
    </w:p>
    <w:p w14:paraId="036973BF" w14:textId="3EF8A6EA" w:rsidR="00142531" w:rsidRPr="00933EA2" w:rsidRDefault="00142531" w:rsidP="00933EA2">
      <w:pPr>
        <w:spacing w:before="120" w:after="120"/>
        <w:jc w:val="both"/>
      </w:pPr>
      <w:r>
        <w:t xml:space="preserve">indsættes følgende linje: </w:t>
      </w:r>
    </w:p>
    <w:p w14:paraId="7F8A13A4" w14:textId="7461E24A" w:rsidR="00142531" w:rsidRPr="00933EA2" w:rsidRDefault="00142531" w:rsidP="00933EA2">
      <w:pPr>
        <w:spacing w:before="120" w:after="120"/>
        <w:jc w:val="both"/>
      </w:pPr>
      <w:r>
        <w:t xml:space="preserve">« </w:t>
      </w:r>
    </w:p>
    <w:tbl>
      <w:tblPr>
        <w:tblW w:w="0" w:type="auto"/>
        <w:tblInd w:w="-15" w:type="dxa"/>
        <w:tblLayout w:type="fixed"/>
        <w:tblLook w:val="0000" w:firstRow="0" w:lastRow="0" w:firstColumn="0" w:lastColumn="0" w:noHBand="0" w:noVBand="0"/>
      </w:tblPr>
      <w:tblGrid>
        <w:gridCol w:w="4747"/>
        <w:gridCol w:w="4777"/>
      </w:tblGrid>
      <w:tr w:rsidR="00142531" w:rsidRPr="00933EA2" w14:paraId="53804408"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F206FB0" w14:textId="77777777" w:rsidR="00142531" w:rsidRPr="00933EA2" w:rsidRDefault="00142531" w:rsidP="00933EA2">
            <w:pPr>
              <w:spacing w:before="120" w:after="120"/>
              <w:jc w:val="both"/>
            </w:pPr>
            <w:r>
              <w:lastRenderedPageBreak/>
              <w:t>D. 322-9 til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A69AF8B" w14:textId="77777777" w:rsidR="00142531" w:rsidRPr="00933EA2" w:rsidRDefault="00142531" w:rsidP="00933EA2">
            <w:pPr>
              <w:spacing w:before="120" w:after="120"/>
              <w:jc w:val="both"/>
            </w:pPr>
            <w:r>
              <w:t>I henhold til dekret nr. XXX af XXX</w:t>
            </w:r>
          </w:p>
        </w:tc>
      </w:tr>
    </w:tbl>
    <w:p w14:paraId="7ABECD41" w14:textId="459EF0D1" w:rsidR="00142531" w:rsidRPr="00933EA2" w:rsidRDefault="00142531" w:rsidP="00933EA2">
      <w:pPr>
        <w:spacing w:before="120" w:after="120"/>
        <w:jc w:val="right"/>
      </w:pPr>
      <w:r>
        <w:t>» ;</w:t>
      </w:r>
    </w:p>
    <w:p w14:paraId="04D53B77" w14:textId="17B7F537" w:rsidR="00142531" w:rsidRPr="00933EA2" w:rsidRDefault="00142531" w:rsidP="00933EA2">
      <w:pPr>
        <w:spacing w:before="120" w:after="120"/>
        <w:jc w:val="both"/>
      </w:pPr>
      <w:r>
        <w:t xml:space="preserve">3° Efter artikel R. 346-1-1 indsættes en artikel D. 346-1-2 med følgende ordlyd: </w:t>
      </w:r>
    </w:p>
    <w:p w14:paraId="0356F9A9" w14:textId="36D1FF27" w:rsidR="00142531" w:rsidRPr="00933EA2" w:rsidRDefault="00142531" w:rsidP="00933EA2">
      <w:pPr>
        <w:spacing w:before="120" w:after="120"/>
        <w:jc w:val="both"/>
      </w:pPr>
      <w:r>
        <w:t>"</w:t>
      </w:r>
      <w:r>
        <w:rPr>
          <w:bCs/>
          <w:i/>
          <w:iCs/>
        </w:rPr>
        <w:t>Artikel D. 346-1-2.</w:t>
      </w:r>
      <w:r>
        <w:t xml:space="preserve"> – Bestemmelserne i nærværende bind som anført i venstre kolonne af nedenstående tabel som affattet i højre kolonne af førnævnte tabel finder anvendelse i Wallis og Futuna:" </w:t>
      </w:r>
    </w:p>
    <w:p w14:paraId="3AB46910"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4D743C1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62F6C25" w14:textId="77777777" w:rsidR="00142531" w:rsidRPr="00933EA2" w:rsidRDefault="00142531" w:rsidP="00933EA2">
            <w:pPr>
              <w:spacing w:before="120" w:after="120"/>
              <w:jc w:val="center"/>
            </w:pPr>
            <w:r>
              <w:t>GÆLDENDE BESTEMMELSER</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54549F68" w14:textId="77777777" w:rsidR="00142531" w:rsidRPr="00933EA2" w:rsidRDefault="00142531" w:rsidP="00933EA2">
            <w:pPr>
              <w:spacing w:before="120" w:after="120"/>
              <w:jc w:val="center"/>
            </w:pPr>
            <w:r>
              <w:t>SOM AFFATTET</w:t>
            </w:r>
          </w:p>
        </w:tc>
      </w:tr>
      <w:tr w:rsidR="00142531" w:rsidRPr="00933EA2" w14:paraId="15B8CCF1"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7F30FF23" w14:textId="77777777" w:rsidR="00142531" w:rsidRPr="00933EA2" w:rsidRDefault="00142531" w:rsidP="00933EA2">
            <w:pPr>
              <w:spacing w:before="120" w:after="120"/>
              <w:jc w:val="both"/>
            </w:pPr>
            <w:r>
              <w:t>I del II</w:t>
            </w:r>
          </w:p>
        </w:tc>
      </w:tr>
      <w:tr w:rsidR="00142531" w:rsidRPr="00933EA2" w14:paraId="3EC8EE75"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6D9AEA54" w14:textId="77777777" w:rsidR="00142531" w:rsidRPr="00933EA2" w:rsidRDefault="00142531" w:rsidP="00933EA2">
            <w:pPr>
              <w:spacing w:before="120" w:after="120"/>
              <w:jc w:val="both"/>
            </w:pPr>
            <w:r>
              <w:t>D. 320-1 til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6B1C7BDE" w14:textId="77777777" w:rsidR="00142531" w:rsidRPr="00933EA2" w:rsidRDefault="00142531" w:rsidP="00933EA2">
            <w:pPr>
              <w:spacing w:before="120" w:after="120"/>
              <w:jc w:val="both"/>
            </w:pPr>
            <w:r>
              <w:t>I henhold til dekret nr. XXX af XXX</w:t>
            </w:r>
          </w:p>
        </w:tc>
      </w:tr>
      <w:tr w:rsidR="00142531" w:rsidRPr="00933EA2" w14:paraId="441A2A26"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3D70CD41" w14:textId="77777777" w:rsidR="00142531" w:rsidRPr="00933EA2" w:rsidRDefault="00142531" w:rsidP="00933EA2">
            <w:pPr>
              <w:spacing w:before="120" w:after="120"/>
              <w:jc w:val="both"/>
            </w:pPr>
            <w:r>
              <w:t>D. 322-9 til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2B7F0CC8" w14:textId="77777777" w:rsidR="00142531" w:rsidRPr="00933EA2" w:rsidRDefault="00142531" w:rsidP="00933EA2">
            <w:pPr>
              <w:spacing w:before="120" w:after="120"/>
              <w:jc w:val="both"/>
            </w:pPr>
            <w:r>
              <w:t>I henhold til dekret nr. XXX af XXX</w:t>
            </w:r>
          </w:p>
        </w:tc>
      </w:tr>
    </w:tbl>
    <w:p w14:paraId="3ACFD74F" w14:textId="0DC3CFC1" w:rsidR="00142531" w:rsidRPr="00933EA2" w:rsidRDefault="00142531" w:rsidP="00933EA2">
      <w:pPr>
        <w:spacing w:before="120" w:after="120"/>
        <w:jc w:val="right"/>
      </w:pPr>
      <w:r>
        <w:t>» ;</w:t>
      </w:r>
    </w:p>
    <w:p w14:paraId="5283D3EE" w14:textId="765E5D2C" w:rsidR="00142531" w:rsidRPr="00933EA2" w:rsidRDefault="00142531" w:rsidP="00933EA2">
      <w:pPr>
        <w:spacing w:before="120" w:after="120"/>
        <w:jc w:val="both"/>
      </w:pPr>
      <w:r>
        <w:t xml:space="preserve">4° Kapitel VII suppleres med en artikel D. 347-1 med følgende ordlyd: </w:t>
      </w:r>
    </w:p>
    <w:p w14:paraId="26663052" w14:textId="4598AC2D" w:rsidR="00142531" w:rsidRPr="00933EA2" w:rsidRDefault="00142531" w:rsidP="00933EA2">
      <w:pPr>
        <w:spacing w:before="120" w:after="120"/>
        <w:jc w:val="both"/>
      </w:pPr>
      <w:r>
        <w:rPr>
          <w:bCs/>
          <w:i/>
          <w:iCs/>
        </w:rPr>
        <w:t>Artikel D. 347-1.</w:t>
      </w:r>
      <w:r>
        <w:t xml:space="preserve"> – Bestemmelserne i nærværende bind som anført i venstre kolonne af nedenstående tabel som affattet i højre kolonne af førnævnte tabel finder anvendelse i de franske besiddelser i det sydlige Indiske Ocean: </w:t>
      </w:r>
    </w:p>
    <w:p w14:paraId="395891FB" w14:textId="77777777" w:rsidR="00142531" w:rsidRPr="00933EA2" w:rsidRDefault="00142531" w:rsidP="00933EA2">
      <w:pPr>
        <w:spacing w:before="120" w:after="120"/>
      </w:pPr>
      <w:r>
        <w:t>«</w:t>
      </w:r>
    </w:p>
    <w:tbl>
      <w:tblPr>
        <w:tblW w:w="0" w:type="auto"/>
        <w:tblInd w:w="-15" w:type="dxa"/>
        <w:tblLayout w:type="fixed"/>
        <w:tblLook w:val="0000" w:firstRow="0" w:lastRow="0" w:firstColumn="0" w:lastColumn="0" w:noHBand="0" w:noVBand="0"/>
      </w:tblPr>
      <w:tblGrid>
        <w:gridCol w:w="4747"/>
        <w:gridCol w:w="4777"/>
      </w:tblGrid>
      <w:tr w:rsidR="00142531" w:rsidRPr="00933EA2" w14:paraId="19620149"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5E51C02" w14:textId="77777777" w:rsidR="00142531" w:rsidRPr="00933EA2" w:rsidRDefault="00142531" w:rsidP="00933EA2">
            <w:pPr>
              <w:spacing w:before="120" w:after="120"/>
              <w:jc w:val="center"/>
            </w:pPr>
            <w:r>
              <w:t>GÆLDENDE BESTEMMELSER</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117039B1" w14:textId="77777777" w:rsidR="00142531" w:rsidRPr="00933EA2" w:rsidRDefault="00142531" w:rsidP="00933EA2">
            <w:pPr>
              <w:spacing w:before="120" w:after="120"/>
              <w:jc w:val="center"/>
            </w:pPr>
            <w:r>
              <w:t>SOM AFFATTET</w:t>
            </w:r>
          </w:p>
        </w:tc>
      </w:tr>
      <w:tr w:rsidR="00142531" w:rsidRPr="00933EA2" w14:paraId="006B1D1E" w14:textId="77777777"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14:paraId="5FD81A05" w14:textId="77777777" w:rsidR="00142531" w:rsidRPr="00933EA2" w:rsidRDefault="00142531" w:rsidP="00933EA2">
            <w:pPr>
              <w:spacing w:before="120" w:after="120"/>
              <w:jc w:val="both"/>
            </w:pPr>
            <w:r>
              <w:t>I del II</w:t>
            </w:r>
          </w:p>
        </w:tc>
      </w:tr>
      <w:tr w:rsidR="00142531" w:rsidRPr="00933EA2" w14:paraId="754CC0A0"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2848BF92" w14:textId="77777777" w:rsidR="00142531" w:rsidRPr="00933EA2" w:rsidRDefault="00142531" w:rsidP="00933EA2">
            <w:pPr>
              <w:spacing w:before="120" w:after="120"/>
              <w:jc w:val="both"/>
            </w:pPr>
            <w:r>
              <w:t>D. 320-1 til D. 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09EA1C4F" w14:textId="77777777" w:rsidR="00142531" w:rsidRPr="00933EA2" w:rsidRDefault="00142531" w:rsidP="00933EA2">
            <w:pPr>
              <w:spacing w:before="120" w:after="120"/>
              <w:jc w:val="both"/>
            </w:pPr>
            <w:r>
              <w:t>I henhold til dekret nr. XXX af XXX</w:t>
            </w:r>
          </w:p>
        </w:tc>
      </w:tr>
      <w:tr w:rsidR="00142531" w:rsidRPr="00933EA2" w14:paraId="5E2E16B3" w14:textId="77777777" w:rsidTr="00933EA2">
        <w:trPr>
          <w:cantSplit/>
        </w:trPr>
        <w:tc>
          <w:tcPr>
            <w:tcW w:w="4747" w:type="dxa"/>
            <w:tcBorders>
              <w:top w:val="single" w:sz="4" w:space="0" w:color="000000"/>
              <w:left w:val="single" w:sz="4" w:space="0" w:color="000000"/>
              <w:bottom w:val="single" w:sz="4" w:space="0" w:color="000000"/>
            </w:tcBorders>
            <w:shd w:val="clear" w:color="auto" w:fill="auto"/>
          </w:tcPr>
          <w:p w14:paraId="1C86ABFB" w14:textId="77777777" w:rsidR="00142531" w:rsidRPr="00933EA2" w:rsidRDefault="00142531" w:rsidP="00933EA2">
            <w:pPr>
              <w:spacing w:before="120" w:after="120"/>
              <w:jc w:val="both"/>
            </w:pPr>
            <w:r>
              <w:t>D. 322-9 til D. 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758082FD" w14:textId="77777777" w:rsidR="00142531" w:rsidRPr="00933EA2" w:rsidRDefault="00142531" w:rsidP="00933EA2">
            <w:pPr>
              <w:spacing w:before="120" w:after="120"/>
              <w:jc w:val="both"/>
            </w:pPr>
            <w:r>
              <w:t>I henhold til dekret nr. XXX af XXX</w:t>
            </w:r>
          </w:p>
        </w:tc>
      </w:tr>
    </w:tbl>
    <w:p w14:paraId="2929B55C" w14:textId="77777777" w:rsidR="00142531" w:rsidRPr="00933EA2" w:rsidRDefault="00142531" w:rsidP="00933EA2">
      <w:pPr>
        <w:spacing w:after="200" w:line="276" w:lineRule="auto"/>
        <w:jc w:val="both"/>
        <w:rPr>
          <w:rFonts w:eastAsiaTheme="minorHAnsi"/>
          <w:b/>
          <w:lang w:eastAsia="en-US"/>
        </w:rPr>
      </w:pPr>
    </w:p>
    <w:p w14:paraId="401F4637" w14:textId="0B71D208" w:rsidR="00834E0B" w:rsidRPr="00933EA2" w:rsidRDefault="00142531" w:rsidP="00933EA2">
      <w:pPr>
        <w:keepNext/>
        <w:keepLines/>
        <w:spacing w:after="200" w:line="276" w:lineRule="auto"/>
        <w:jc w:val="center"/>
        <w:rPr>
          <w:rFonts w:eastAsiaTheme="minorHAnsi"/>
          <w:b/>
        </w:rPr>
      </w:pPr>
      <w:r>
        <w:rPr>
          <w:b/>
        </w:rPr>
        <w:t>DEL XI: OVERGANGSBESTEMMELSER OG AFSLUTTENDE BESTEMMELSER</w:t>
      </w:r>
    </w:p>
    <w:p w14:paraId="0AD583E0" w14:textId="279FDCC7" w:rsidR="00834E0B" w:rsidRDefault="00C342AB" w:rsidP="00933EA2">
      <w:pPr>
        <w:pStyle w:val="BodyText"/>
        <w:keepNext/>
        <w:keepLines/>
        <w:jc w:val="center"/>
        <w:rPr>
          <w:b/>
        </w:rPr>
      </w:pPr>
      <w:r>
        <w:rPr>
          <w:b/>
        </w:rPr>
        <w:t>Artikel 51</w:t>
      </w:r>
    </w:p>
    <w:p w14:paraId="537DEBBC" w14:textId="77777777" w:rsidR="00933EA2" w:rsidRPr="00933EA2" w:rsidRDefault="00933EA2" w:rsidP="00933EA2">
      <w:pPr>
        <w:keepNext/>
        <w:keepLines/>
        <w:rPr>
          <w:b/>
        </w:rPr>
      </w:pPr>
    </w:p>
    <w:p w14:paraId="3C30DE53" w14:textId="77777777" w:rsidR="00834E0B" w:rsidRPr="00933EA2" w:rsidRDefault="00834E0B" w:rsidP="00933EA2">
      <w:pPr>
        <w:spacing w:after="200" w:line="276" w:lineRule="auto"/>
        <w:jc w:val="both"/>
        <w:rPr>
          <w:rFonts w:eastAsiaTheme="minorHAnsi"/>
        </w:rPr>
      </w:pPr>
      <w:r>
        <w:t>Følgende ophæves:</w:t>
      </w:r>
    </w:p>
    <w:p w14:paraId="39CDE79A" w14:textId="34743197" w:rsidR="00834E0B" w:rsidRPr="00933EA2" w:rsidRDefault="00834E0B" w:rsidP="00933EA2">
      <w:pPr>
        <w:spacing w:after="200" w:line="276" w:lineRule="auto"/>
        <w:jc w:val="both"/>
        <w:rPr>
          <w:rFonts w:eastAsiaTheme="minorHAnsi"/>
        </w:rPr>
      </w:pPr>
      <w:r>
        <w:t>- dekret nr. 2010-605 af 4. juni 2010 vedrørende den maksimale gevinstprocent, som godkendte udbydere af hestevæddemål og sportsvæddemål på nettet i gennemsnit udbetaler til spillerne</w:t>
      </w:r>
    </w:p>
    <w:p w14:paraId="2B3AC36E" w14:textId="3FA87F31" w:rsidR="00834E0B" w:rsidRPr="00933EA2" w:rsidRDefault="00834E0B" w:rsidP="00933EA2">
      <w:pPr>
        <w:spacing w:after="200" w:line="276" w:lineRule="auto"/>
        <w:jc w:val="both"/>
        <w:rPr>
          <w:rFonts w:eastAsiaTheme="minorHAnsi"/>
        </w:rPr>
      </w:pPr>
      <w:r>
        <w:t xml:space="preserve">- dekret nr. 2010-614 af 7. juni 2010 om markedsføringsbetingelser for rettigheder til organisering af væddemål i forbindelse med en sportsbegivenhed eller -konkurrence </w:t>
      </w:r>
    </w:p>
    <w:p w14:paraId="08682D8E" w14:textId="77777777" w:rsidR="00834E0B" w:rsidRPr="00933EA2" w:rsidRDefault="00834E0B" w:rsidP="00933EA2">
      <w:pPr>
        <w:spacing w:after="200" w:line="276" w:lineRule="auto"/>
        <w:jc w:val="both"/>
        <w:rPr>
          <w:rFonts w:eastAsiaTheme="minorHAnsi"/>
        </w:rPr>
      </w:pPr>
      <w:r>
        <w:t xml:space="preserve">- dekret nr. 2010-483 af 12. maj 2010 vedrørende sportskonkurrencer og typer af sportsresultater, som defineret af myndigheden for regulering af spil på nettet. </w:t>
      </w:r>
    </w:p>
    <w:p w14:paraId="1FA844DB" w14:textId="77777777" w:rsidR="004A5445" w:rsidRPr="00933EA2" w:rsidRDefault="004A5445" w:rsidP="00933EA2">
      <w:pPr>
        <w:pStyle w:val="BodyText"/>
      </w:pPr>
    </w:p>
    <w:p w14:paraId="156635BE" w14:textId="3AE58746" w:rsidR="00045126" w:rsidRPr="00933EA2" w:rsidRDefault="004A5445" w:rsidP="00933EA2">
      <w:pPr>
        <w:pStyle w:val="BodyText"/>
        <w:keepNext/>
        <w:keepLines/>
        <w:jc w:val="center"/>
        <w:rPr>
          <w:b/>
        </w:rPr>
      </w:pPr>
      <w:r>
        <w:rPr>
          <w:b/>
        </w:rPr>
        <w:lastRenderedPageBreak/>
        <w:t>Artikel 52</w:t>
      </w:r>
    </w:p>
    <w:p w14:paraId="0D2865A3" w14:textId="77777777" w:rsidR="004A5445" w:rsidRPr="00933EA2" w:rsidRDefault="004A5445" w:rsidP="00933EA2">
      <w:pPr>
        <w:keepNext/>
        <w:keepLines/>
        <w:rPr>
          <w:b/>
        </w:rPr>
      </w:pPr>
    </w:p>
    <w:p w14:paraId="61CFC6C0" w14:textId="7C347B30" w:rsidR="00F77C81" w:rsidRPr="00933EA2" w:rsidRDefault="00F77C81" w:rsidP="00933EA2">
      <w:pPr>
        <w:spacing w:after="200" w:line="276" w:lineRule="auto"/>
        <w:jc w:val="both"/>
        <w:rPr>
          <w:rFonts w:eastAsiaTheme="minorHAnsi"/>
        </w:rPr>
      </w:pPr>
      <w:r>
        <w:t xml:space="preserve">Nærværende dekret træder i kraft den 15. marts 2020 med undtagelse af artikel 45 og 46, som træder i kraft efter det første møde i den franske spillemyndigheds kollegium, og artikel D. 320-10 og D. 320-12 i lov om indre sikkerhed affattet efter nærværende dekret, som træder i kraft den 1. april 2020. </w:t>
      </w:r>
    </w:p>
    <w:p w14:paraId="7B0897DA" w14:textId="12835F20" w:rsidR="00F77C81" w:rsidRDefault="00C342AB" w:rsidP="00933EA2">
      <w:pPr>
        <w:pStyle w:val="BodyText"/>
        <w:keepNext/>
        <w:keepLines/>
        <w:jc w:val="center"/>
        <w:rPr>
          <w:b/>
        </w:rPr>
      </w:pPr>
      <w:r>
        <w:rPr>
          <w:b/>
        </w:rPr>
        <w:t>Artikel 53</w:t>
      </w:r>
    </w:p>
    <w:p w14:paraId="1C294652" w14:textId="77777777" w:rsidR="00933EA2" w:rsidRPr="00933EA2" w:rsidRDefault="00933EA2" w:rsidP="00933EA2">
      <w:pPr>
        <w:keepNext/>
        <w:keepLines/>
        <w:rPr>
          <w:b/>
        </w:rPr>
      </w:pPr>
    </w:p>
    <w:p w14:paraId="13B679D0" w14:textId="77777777" w:rsidR="00045126" w:rsidRPr="00933EA2" w:rsidRDefault="00E47B2C" w:rsidP="00933EA2">
      <w:pPr>
        <w:spacing w:after="200" w:line="276" w:lineRule="auto"/>
        <w:jc w:val="both"/>
        <w:rPr>
          <w:rFonts w:eastAsiaTheme="minorHAnsi"/>
        </w:rPr>
      </w:pPr>
      <w:r>
        <w:t xml:space="preserve">Ministeren for solidaritet og sundhed, økonomi- og finansministeren, ministeren for offentlig indsats og statsrevision, ministeren for sport er, hver inden for sit område, ansvarlige for gennemførelsen af nærværende dekret, som offentliggøres i </w:t>
      </w:r>
      <w:r>
        <w:rPr>
          <w:i/>
        </w:rPr>
        <w:t>Journal officiel</w:t>
      </w:r>
      <w:r>
        <w:t>, Den Franske Republiks statstidende.</w:t>
      </w:r>
    </w:p>
    <w:p w14:paraId="5A6BDE87" w14:textId="77777777" w:rsidR="00045126" w:rsidRPr="00933EA2" w:rsidRDefault="00045126" w:rsidP="00933EA2">
      <w:pPr>
        <w:jc w:val="both"/>
      </w:pPr>
    </w:p>
    <w:p w14:paraId="7744C332" w14:textId="77777777" w:rsidR="00045126" w:rsidRPr="00933EA2" w:rsidRDefault="00045126" w:rsidP="00933EA2">
      <w:pPr>
        <w:pStyle w:val="SNDate"/>
      </w:pPr>
      <w:r>
        <w:t>Udfærdiget den</w:t>
      </w:r>
    </w:p>
    <w:p w14:paraId="2401536C" w14:textId="13A1BFD0" w:rsidR="00045126" w:rsidRPr="00933EA2" w:rsidRDefault="00045126" w:rsidP="00933EA2">
      <w:pPr>
        <w:pStyle w:val="SNContreseing"/>
      </w:pPr>
      <w:r>
        <w:t>På premierministerens vegne:</w:t>
      </w:r>
    </w:p>
    <w:p w14:paraId="61EA0C42" w14:textId="77777777" w:rsidR="002639F9" w:rsidRPr="00933EA2" w:rsidRDefault="002639F9" w:rsidP="00933EA2">
      <w:pPr>
        <w:pStyle w:val="SNSignatureGauche"/>
      </w:pPr>
    </w:p>
    <w:p w14:paraId="6AE51864" w14:textId="77777777" w:rsidR="002639F9" w:rsidRPr="00933EA2" w:rsidRDefault="002639F9" w:rsidP="00933EA2">
      <w:pPr>
        <w:pStyle w:val="SNSignatureGauche"/>
      </w:pPr>
      <w:r>
        <w:t>Ministeren for sundhed</w:t>
      </w:r>
    </w:p>
    <w:p w14:paraId="71E59B0D" w14:textId="77777777" w:rsidR="002639F9" w:rsidRPr="00933EA2" w:rsidRDefault="002639F9" w:rsidP="00933EA2">
      <w:pPr>
        <w:pStyle w:val="SNSignatureGauche"/>
      </w:pPr>
      <w:r>
        <w:t>Økonomi- og finansministeren</w:t>
      </w:r>
    </w:p>
    <w:p w14:paraId="107A4321" w14:textId="77777777" w:rsidR="0084714D" w:rsidRPr="00933EA2" w:rsidRDefault="00045126" w:rsidP="00933EA2">
      <w:pPr>
        <w:pStyle w:val="SNSignatureGauche"/>
      </w:pPr>
      <w:r>
        <w:lastRenderedPageBreak/>
        <w:t>Ministeren for offentlig indsats og statsrevision</w:t>
      </w:r>
    </w:p>
    <w:p w14:paraId="3D6DF0C7" w14:textId="77777777" w:rsidR="002639F9" w:rsidRPr="00933EA2" w:rsidRDefault="002639F9" w:rsidP="00933EA2">
      <w:r>
        <w:tab/>
        <w:t>Indenrigsministeren</w:t>
      </w:r>
    </w:p>
    <w:p w14:paraId="3DBAC714" w14:textId="77777777" w:rsidR="0084714D" w:rsidRPr="00933EA2" w:rsidRDefault="0084714D" w:rsidP="00933EA2">
      <w:r>
        <w:tab/>
      </w:r>
    </w:p>
    <w:p w14:paraId="41741A5D" w14:textId="77777777" w:rsidR="0084714D" w:rsidRPr="00933EA2" w:rsidRDefault="0084714D" w:rsidP="00933EA2"/>
    <w:p w14:paraId="1E24424C" w14:textId="77777777" w:rsidR="0084714D" w:rsidRPr="00933EA2" w:rsidRDefault="0084714D" w:rsidP="00933EA2">
      <w:r>
        <w:tab/>
      </w:r>
    </w:p>
    <w:p w14:paraId="70100F49" w14:textId="77777777" w:rsidR="0084714D" w:rsidRPr="00933EA2" w:rsidRDefault="0084714D" w:rsidP="00933EA2"/>
    <w:p w14:paraId="33274DC5" w14:textId="77777777" w:rsidR="0084714D" w:rsidRPr="00933EA2" w:rsidRDefault="0084714D" w:rsidP="00933EA2"/>
    <w:p w14:paraId="05DF47ED" w14:textId="77777777" w:rsidR="0084714D" w:rsidRPr="00933EA2" w:rsidRDefault="0084714D" w:rsidP="00933EA2">
      <w:r>
        <w:tab/>
      </w:r>
    </w:p>
    <w:p w14:paraId="61D6FBE7" w14:textId="77777777" w:rsidR="0084714D" w:rsidRPr="00933EA2" w:rsidRDefault="0084714D" w:rsidP="00933EA2"/>
    <w:p w14:paraId="0F8ABE96" w14:textId="77777777" w:rsidR="0084714D" w:rsidRPr="00933EA2" w:rsidRDefault="0084714D" w:rsidP="00933EA2"/>
    <w:p w14:paraId="58BE4906" w14:textId="77777777" w:rsidR="0084714D" w:rsidRPr="00933EA2" w:rsidRDefault="0084714D" w:rsidP="00933EA2"/>
    <w:p w14:paraId="17043E6E" w14:textId="77777777" w:rsidR="0084714D" w:rsidRPr="00933EA2" w:rsidRDefault="0084714D" w:rsidP="00933EA2">
      <w:r>
        <w:tab/>
        <w:t>Ministeren for sport</w:t>
      </w:r>
    </w:p>
    <w:p w14:paraId="18DBADDF" w14:textId="77777777" w:rsidR="00045126" w:rsidRPr="00933EA2" w:rsidRDefault="00045126" w:rsidP="00933EA2">
      <w:pPr>
        <w:pStyle w:val="SNSignatureprnomnomDroite"/>
      </w:pPr>
    </w:p>
    <w:p w14:paraId="3EAA086C" w14:textId="77777777"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116832"/>
    <w:rsid w:val="00142531"/>
    <w:rsid w:val="001441BB"/>
    <w:rsid w:val="001A3887"/>
    <w:rsid w:val="001A748C"/>
    <w:rsid w:val="001C08C5"/>
    <w:rsid w:val="001D2F2A"/>
    <w:rsid w:val="001D4697"/>
    <w:rsid w:val="001D5634"/>
    <w:rsid w:val="00236A47"/>
    <w:rsid w:val="00240CB2"/>
    <w:rsid w:val="002639F9"/>
    <w:rsid w:val="00274506"/>
    <w:rsid w:val="002D1769"/>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E57E4"/>
    <w:rsid w:val="006F137F"/>
    <w:rsid w:val="00757561"/>
    <w:rsid w:val="00794988"/>
    <w:rsid w:val="007A780D"/>
    <w:rsid w:val="007C0916"/>
    <w:rsid w:val="007E61D1"/>
    <w:rsid w:val="00805098"/>
    <w:rsid w:val="00813F86"/>
    <w:rsid w:val="008332C7"/>
    <w:rsid w:val="00834E0B"/>
    <w:rsid w:val="0084714D"/>
    <w:rsid w:val="008701C9"/>
    <w:rsid w:val="0087707C"/>
    <w:rsid w:val="00897E35"/>
    <w:rsid w:val="008B0867"/>
    <w:rsid w:val="0091270F"/>
    <w:rsid w:val="00933EA2"/>
    <w:rsid w:val="0096792E"/>
    <w:rsid w:val="00B148A7"/>
    <w:rsid w:val="00B267A3"/>
    <w:rsid w:val="00B705CF"/>
    <w:rsid w:val="00B71874"/>
    <w:rsid w:val="00B84182"/>
    <w:rsid w:val="00B8530E"/>
    <w:rsid w:val="00B86A8C"/>
    <w:rsid w:val="00BC35EB"/>
    <w:rsid w:val="00BD5FA1"/>
    <w:rsid w:val="00C342AB"/>
    <w:rsid w:val="00CC2943"/>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DC74"/>
  <w15:docId w15:val="{BDDC4690-D576-4F70-864F-122DB3FE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fr-FR"/>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fr-FR"/>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E61D1"/>
    <w:rPr>
      <w:sz w:val="16"/>
      <w:szCs w:val="16"/>
    </w:rPr>
  </w:style>
  <w:style w:type="paragraph" w:styleId="CommentText">
    <w:name w:val="annotation text"/>
    <w:basedOn w:val="Normal"/>
    <w:link w:val="CommentTextChar"/>
    <w:uiPriority w:val="99"/>
    <w:semiHidden/>
    <w:unhideWhenUsed/>
    <w:rsid w:val="007E61D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fr-FR"/>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7750</Words>
  <Characters>44176</Characters>
  <Application>Microsoft Office Word</Application>
  <DocSecurity>0</DocSecurity>
  <Lines>368</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LAPERDRIX Erwann</dc:creator>
  <cp:lastModifiedBy>Liu, Lei</cp:lastModifiedBy>
  <cp:revision>6</cp:revision>
  <cp:lastPrinted>2019-12-10T18:02:00Z</cp:lastPrinted>
  <dcterms:created xsi:type="dcterms:W3CDTF">2019-12-11T15:00:00Z</dcterms:created>
  <dcterms:modified xsi:type="dcterms:W3CDTF">2019-12-30T06:22:00Z</dcterms:modified>
</cp:coreProperties>
</file>