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33EA2" w:rsidRPr="00933EA2" w:rsidRDefault="00933EA2" w:rsidP="00933EA2">
      <w:pPr>
        <w:rPr>
          <w:rFonts w:ascii="Courier New" w:hAnsi="Courier New" w:cs="Courier New"/>
          <w:sz w:val="20"/>
        </w:rPr>
      </w:pPr>
      <w:r>
        <w:rPr>
          <w:rFonts w:ascii="Courier New" w:hAnsi="Courier New"/>
          <w:sz w:val="20"/>
        </w:rPr>
        <w:t>1. ------IND- 2019 0632 F-- EN- ------ 20191224 --- --- PROJET</w:t>
      </w:r>
    </w:p>
    <w:tbl>
      <w:tblPr>
        <w:tblW w:w="0" w:type="auto"/>
        <w:tblInd w:w="57" w:type="dxa"/>
        <w:tblLayout w:type="fixed"/>
        <w:tblCellMar>
          <w:top w:w="57" w:type="dxa"/>
          <w:left w:w="57" w:type="dxa"/>
          <w:bottom w:w="57" w:type="dxa"/>
          <w:right w:w="57" w:type="dxa"/>
        </w:tblCellMar>
        <w:tblLook w:val="0000" w:firstRow="0" w:lastRow="0" w:firstColumn="0" w:lastColumn="0" w:noHBand="0" w:noVBand="0"/>
      </w:tblPr>
      <w:tblGrid>
        <w:gridCol w:w="1527"/>
        <w:gridCol w:w="968"/>
        <w:gridCol w:w="1487"/>
      </w:tblGrid>
      <w:tr w:rsidR="00045126" w:rsidRPr="00933EA2" w:rsidTr="00B86A8C">
        <w:trPr>
          <w:cantSplit/>
        </w:trPr>
        <w:tc>
          <w:tcPr>
            <w:tcW w:w="3982" w:type="dxa"/>
            <w:gridSpan w:val="3"/>
          </w:tcPr>
          <w:p w:rsidR="00045126" w:rsidRPr="00933EA2" w:rsidRDefault="00045126" w:rsidP="00933EA2">
            <w:pPr>
              <w:pStyle w:val="SNREPUBLIQUE"/>
            </w:pPr>
            <w:r>
              <w:t>FRENCH REPUBLIC</w:t>
            </w:r>
          </w:p>
        </w:tc>
      </w:tr>
      <w:tr w:rsidR="0091270F" w:rsidTr="00B86A8C">
        <w:trPr>
          <w:cantSplit/>
          <w:trHeight w:hRule="exact" w:val="113"/>
        </w:trPr>
        <w:tc>
          <w:tcPr>
            <w:tcW w:w="1527" w:type="dxa"/>
          </w:tcPr>
          <w:p w:rsidR="00045126" w:rsidRPr="00933EA2" w:rsidRDefault="00045126" w:rsidP="00933EA2"/>
        </w:tc>
        <w:tc>
          <w:tcPr>
            <w:tcW w:w="968" w:type="dxa"/>
          </w:tcPr>
          <w:p w:rsidR="00045126" w:rsidRPr="00933EA2" w:rsidRDefault="00045126" w:rsidP="00933EA2"/>
        </w:tc>
        <w:tc>
          <w:tcPr>
            <w:tcW w:w="1487" w:type="dxa"/>
          </w:tcPr>
          <w:p w:rsidR="00045126" w:rsidRPr="00933EA2" w:rsidRDefault="00045126" w:rsidP="00933EA2"/>
        </w:tc>
      </w:tr>
      <w:tr w:rsidR="00045126" w:rsidRPr="00933EA2" w:rsidTr="00B86A8C">
        <w:trPr>
          <w:cantSplit/>
        </w:trPr>
        <w:tc>
          <w:tcPr>
            <w:tcW w:w="3982" w:type="dxa"/>
            <w:gridSpan w:val="3"/>
          </w:tcPr>
          <w:p w:rsidR="00045126" w:rsidRPr="00933EA2" w:rsidRDefault="00045126" w:rsidP="00933EA2">
            <w:pPr>
              <w:pStyle w:val="SNTimbre"/>
              <w:widowControl/>
            </w:pPr>
            <w:r>
              <w:t>Ministry for Public Action and Accounts</w:t>
            </w:r>
          </w:p>
        </w:tc>
      </w:tr>
      <w:tr w:rsidR="0091270F" w:rsidTr="00B86A8C">
        <w:trPr>
          <w:cantSplit/>
          <w:trHeight w:hRule="exact" w:val="227"/>
        </w:trPr>
        <w:tc>
          <w:tcPr>
            <w:tcW w:w="1527" w:type="dxa"/>
          </w:tcPr>
          <w:p w:rsidR="00045126" w:rsidRPr="00933EA2" w:rsidRDefault="00045126" w:rsidP="00933EA2"/>
        </w:tc>
        <w:tc>
          <w:tcPr>
            <w:tcW w:w="968" w:type="dxa"/>
          </w:tcPr>
          <w:p w:rsidR="00045126" w:rsidRPr="00933EA2" w:rsidRDefault="00045126" w:rsidP="00933EA2"/>
        </w:tc>
        <w:tc>
          <w:tcPr>
            <w:tcW w:w="1487" w:type="dxa"/>
          </w:tcPr>
          <w:p w:rsidR="00045126" w:rsidRPr="00933EA2" w:rsidRDefault="00045126" w:rsidP="00933EA2"/>
        </w:tc>
      </w:tr>
      <w:tr w:rsidR="00045126" w:rsidRPr="00933EA2" w:rsidTr="00B86A8C">
        <w:trPr>
          <w:cantSplit/>
          <w:trHeight w:hRule="exact" w:val="227"/>
        </w:trPr>
        <w:tc>
          <w:tcPr>
            <w:tcW w:w="1527" w:type="dxa"/>
          </w:tcPr>
          <w:p w:rsidR="00045126" w:rsidRPr="00933EA2" w:rsidRDefault="00045126" w:rsidP="00933EA2"/>
        </w:tc>
        <w:tc>
          <w:tcPr>
            <w:tcW w:w="968" w:type="dxa"/>
          </w:tcPr>
          <w:p w:rsidR="00045126" w:rsidRPr="00933EA2" w:rsidRDefault="00045126" w:rsidP="00933EA2"/>
        </w:tc>
        <w:tc>
          <w:tcPr>
            <w:tcW w:w="1487" w:type="dxa"/>
          </w:tcPr>
          <w:p w:rsidR="00045126" w:rsidRPr="00933EA2" w:rsidRDefault="00045126" w:rsidP="00933EA2"/>
        </w:tc>
      </w:tr>
    </w:tbl>
    <w:p w:rsidR="00045126" w:rsidRPr="00933EA2" w:rsidRDefault="00045126" w:rsidP="00933EA2">
      <w:pPr>
        <w:pStyle w:val="SNNature"/>
        <w:keepNext/>
        <w:keepLines/>
        <w:widowControl/>
      </w:pPr>
      <w:r>
        <w:t>Draft Decree on the regulatory procedures of the National Gambling Authority</w:t>
      </w:r>
    </w:p>
    <w:p w:rsidR="00045126" w:rsidRPr="00933EA2" w:rsidRDefault="00045126" w:rsidP="00933EA2">
      <w:pPr>
        <w:pStyle w:val="SNNORCentr"/>
        <w:keepNext/>
        <w:keepLines/>
      </w:pPr>
      <w:r>
        <w:t>NOR: CPAB1930945D</w:t>
      </w:r>
    </w:p>
    <w:p w:rsidR="00045126" w:rsidRPr="00933EA2" w:rsidRDefault="00045126" w:rsidP="00933EA2">
      <w:pPr>
        <w:pStyle w:val="SNAutorit"/>
        <w:keepNext/>
        <w:keepLines/>
        <w:jc w:val="both"/>
        <w:rPr>
          <w:b w:val="0"/>
          <w:i/>
        </w:rPr>
      </w:pPr>
      <w:r>
        <w:rPr>
          <w:i/>
        </w:rPr>
        <w:t xml:space="preserve">Groups concerned: </w:t>
      </w:r>
      <w:r>
        <w:rPr>
          <w:b w:val="0"/>
          <w:i/>
        </w:rPr>
        <w:t>the National Gambling Authority (ANJ), online gambling or betting operators, La Française des Jeux.</w:t>
      </w:r>
    </w:p>
    <w:p w:rsidR="00045126" w:rsidRPr="00933EA2" w:rsidRDefault="00045126" w:rsidP="00933EA2">
      <w:pPr>
        <w:pStyle w:val="SNAutorit"/>
        <w:spacing w:before="120"/>
        <w:jc w:val="both"/>
        <w:rPr>
          <w:b w:val="0"/>
          <w:i/>
        </w:rPr>
      </w:pPr>
      <w:r>
        <w:rPr>
          <w:i/>
        </w:rPr>
        <w:t xml:space="preserve">Purpose: </w:t>
      </w:r>
      <w:r>
        <w:rPr>
          <w:b w:val="0"/>
          <w:i/>
        </w:rPr>
        <w:t>regulatory procedures of the National Gambling Authority</w:t>
      </w:r>
    </w:p>
    <w:p w:rsidR="00045126" w:rsidRPr="00933EA2" w:rsidRDefault="00045126" w:rsidP="00933EA2">
      <w:pPr>
        <w:pStyle w:val="SNAutorit"/>
        <w:spacing w:before="120"/>
        <w:jc w:val="both"/>
        <w:rPr>
          <w:b w:val="0"/>
          <w:i/>
        </w:rPr>
      </w:pPr>
      <w:r>
        <w:rPr>
          <w:i/>
        </w:rPr>
        <w:t xml:space="preserve">Entry into force: </w:t>
      </w:r>
      <w:r>
        <w:rPr>
          <w:b w:val="0"/>
          <w:i/>
        </w:rPr>
        <w:t>15 March 2020, with the exception of Articles 45 and 46 which shall enter into force as of the first meeting of the board of the National Gambling Authority and Articles D320-10 and D320-12 of the Internal Security Code as worded as a result of this decree, which shall enter into force on 1 April 2020.</w:t>
      </w:r>
    </w:p>
    <w:p w:rsidR="00045126" w:rsidRPr="00933EA2" w:rsidRDefault="00045126" w:rsidP="00933EA2">
      <w:pPr>
        <w:pStyle w:val="SNAutorit"/>
        <w:spacing w:before="120"/>
        <w:jc w:val="both"/>
        <w:rPr>
          <w:b w:val="0"/>
          <w:i/>
        </w:rPr>
      </w:pPr>
      <w:r>
        <w:rPr>
          <w:i/>
        </w:rPr>
        <w:t xml:space="preserve">Notice: </w:t>
      </w:r>
      <w:r>
        <w:rPr>
          <w:b w:val="0"/>
          <w:i/>
        </w:rPr>
        <w:t>Article 137 of Law No 2019-486 of 22 May 2019 on business growth and transformation provides for authorisation for the government to take measures by order to reform regulation of the gambling sector. The scope of the authorisation also includes regulatory procedures for the gambling sector, in particular the provisions applicable to the authority mentioned in Article 34 of Law No 2010-476 of 12 May 2010 on the opening-up to competition and regulation of the online gambling sector, with a view to setting up an independent administrative supervisory and regulatory authority with appropriate guarantees of independence for its duties. This decree is intended to specify the regulatory procedures applied by the National Gambling Authority.</w:t>
      </w:r>
    </w:p>
    <w:p w:rsidR="0084714D" w:rsidRPr="00933EA2" w:rsidRDefault="00045126" w:rsidP="00933EA2">
      <w:pPr>
        <w:pStyle w:val="SNAutorit"/>
        <w:spacing w:before="120"/>
        <w:jc w:val="both"/>
        <w:rPr>
          <w:b w:val="0"/>
          <w:i/>
        </w:rPr>
      </w:pPr>
      <w:r>
        <w:rPr>
          <w:i/>
        </w:rPr>
        <w:t xml:space="preserve">References: </w:t>
      </w:r>
      <w:r>
        <w:rPr>
          <w:b w:val="0"/>
          <w:i/>
        </w:rPr>
        <w:t>this decree and the Internal Security Code that it amends, as worded as a result of this amendment, may be consulted on the Légifrance website (</w:t>
      </w:r>
      <w:hyperlink r:id="rId5">
        <w:r>
          <w:rPr>
            <w:rStyle w:val="Hyperlink"/>
            <w:b w:val="0"/>
            <w:i/>
          </w:rPr>
          <w:t>http://www.legifrance.gouv.fr</w:t>
        </w:r>
      </w:hyperlink>
      <w:r>
        <w:rPr>
          <w:b w:val="0"/>
          <w:i/>
        </w:rPr>
        <w:t>).</w:t>
      </w:r>
    </w:p>
    <w:p w:rsidR="00045126" w:rsidRPr="00933EA2" w:rsidRDefault="0084714D" w:rsidP="00933EA2">
      <w:pPr>
        <w:pStyle w:val="SNAutorit"/>
        <w:spacing w:before="120"/>
        <w:jc w:val="both"/>
        <w:rPr>
          <w:b w:val="0"/>
          <w:i/>
        </w:rPr>
      </w:pPr>
      <w:r>
        <w:t>The Prime Minister,</w:t>
      </w:r>
    </w:p>
    <w:p w:rsidR="00045126" w:rsidRPr="00933EA2" w:rsidRDefault="00045126" w:rsidP="00933EA2">
      <w:pPr>
        <w:pStyle w:val="SNRapport"/>
      </w:pPr>
      <w:r>
        <w:t>On the report of the Minister of Finance and the Economy, the Minister for Public Action and Accounts and the Minister for Sport,</w:t>
      </w:r>
    </w:p>
    <w:p w:rsidR="0084714D" w:rsidRPr="00933EA2" w:rsidRDefault="0084714D" w:rsidP="00933EA2">
      <w:pPr>
        <w:pStyle w:val="SNRapport"/>
      </w:pPr>
      <w:r>
        <w:t>Having regard to Directive 2015/1535 of the European Parliament and of the Council of 9 September 2015 laying down a procedure for the provision of information in the field of technical regulations and of rules on Information Society services;</w:t>
      </w:r>
    </w:p>
    <w:p w:rsidR="0084714D" w:rsidRPr="00933EA2" w:rsidRDefault="0084714D" w:rsidP="00933EA2">
      <w:pPr>
        <w:pStyle w:val="SNRapport"/>
      </w:pPr>
      <w:r>
        <w:t>Having regard to the Civil Code, in particular Article 1 thereof;</w:t>
      </w:r>
    </w:p>
    <w:p w:rsidR="00045126" w:rsidRPr="00933EA2" w:rsidRDefault="00045126" w:rsidP="00933EA2">
      <w:pPr>
        <w:pStyle w:val="SNRapport"/>
      </w:pPr>
      <w:r>
        <w:t>Having regard to the Monetary and Financial Code;</w:t>
      </w:r>
    </w:p>
    <w:p w:rsidR="00045126" w:rsidRPr="00933EA2" w:rsidRDefault="00045126" w:rsidP="00933EA2">
      <w:pPr>
        <w:pStyle w:val="SNRapport"/>
      </w:pPr>
      <w:r>
        <w:lastRenderedPageBreak/>
        <w:t>Having regard to the Internal Security Code, in particular Titles II and IV of Book III thereof;</w:t>
      </w:r>
    </w:p>
    <w:p w:rsidR="00D13FBA" w:rsidRPr="00933EA2" w:rsidRDefault="00D13FBA" w:rsidP="00933EA2">
      <w:pPr>
        <w:pStyle w:val="SNRapport"/>
      </w:pPr>
      <w:r>
        <w:t>Having regard to the Sports Code;</w:t>
      </w:r>
    </w:p>
    <w:p w:rsidR="00045126" w:rsidRPr="00933EA2" w:rsidRDefault="00045126" w:rsidP="00933EA2">
      <w:pPr>
        <w:pStyle w:val="SNRapport"/>
      </w:pPr>
      <w:r>
        <w:t>Having regard to Law No 2010-476 of 12 May 2010 on the opening-up to competition and regulation of the online gambling sector;</w:t>
      </w:r>
    </w:p>
    <w:p w:rsidR="00142531" w:rsidRPr="00933EA2" w:rsidRDefault="00045126" w:rsidP="00933EA2">
      <w:pPr>
        <w:pStyle w:val="SNRapport"/>
      </w:pPr>
      <w:r>
        <w:t>Having regard to Law No 2019-486 of 22 May 2019 on business growth and transformation, in particular Article 137 thereof;</w:t>
      </w:r>
    </w:p>
    <w:p w:rsidR="00045126" w:rsidRPr="00933EA2" w:rsidRDefault="00045126" w:rsidP="00933EA2">
      <w:pPr>
        <w:pStyle w:val="SNRapport"/>
      </w:pPr>
      <w:r>
        <w:t>Having regard to Order No 2019-1015 of 2 October 2019 reforming the regulation of gambling;</w:t>
      </w:r>
    </w:p>
    <w:p w:rsidR="001A3887" w:rsidRPr="00933EA2" w:rsidRDefault="001A3887" w:rsidP="00933EA2">
      <w:pPr>
        <w:pStyle w:val="SNRapport"/>
      </w:pPr>
      <w:r>
        <w:rPr>
          <w:highlight w:val="yellow"/>
        </w:rPr>
        <w:t>Having regard to Decree No XX XXXX XXXX on the procedures for providing the offer of gambling and gambling data (CPAB1926918D);</w:t>
      </w:r>
    </w:p>
    <w:p w:rsidR="00142531" w:rsidRPr="00933EA2" w:rsidRDefault="00BC35EB" w:rsidP="00933EA2">
      <w:pPr>
        <w:pStyle w:val="SNRapport"/>
      </w:pPr>
      <w:r>
        <w:t>Having regard to Decree No 2019-1060 of 17 October 2019 on procedures for strict state control of the company La Française des Jeux;</w:t>
      </w:r>
    </w:p>
    <w:p w:rsidR="00142531" w:rsidRPr="00933EA2" w:rsidRDefault="00142531" w:rsidP="00933EA2">
      <w:pPr>
        <w:pStyle w:val="SNRapport"/>
      </w:pPr>
      <w:r>
        <w:t>Having regard to Decree No 2019-1061 of 17 October 2019 on the gambling offer of the La Française des Jeux company and the Pari Mutuel Urbain economic interest group;</w:t>
      </w:r>
    </w:p>
    <w:p w:rsidR="00045126" w:rsidRPr="00933EA2" w:rsidRDefault="00045126" w:rsidP="00933EA2">
      <w:pPr>
        <w:pStyle w:val="SNActe"/>
        <w:keepNext/>
        <w:keepLines/>
      </w:pPr>
      <w:r>
        <w:t>Hereby decrees:</w:t>
      </w:r>
    </w:p>
    <w:p w:rsidR="007E61D1" w:rsidRPr="00933EA2" w:rsidRDefault="00DD75EA" w:rsidP="00933EA2">
      <w:pPr>
        <w:pStyle w:val="SNArticle"/>
        <w:keepNext/>
        <w:keepLines/>
      </w:pPr>
      <w:r>
        <w:t>TITLE I: PROCEDURES FOR MONITORING AND APPLYING THE REQUIREMENTS FOR GAMBLING OR BETTING OPERATORS</w:t>
      </w:r>
    </w:p>
    <w:p w:rsidR="007E61D1" w:rsidRPr="00933EA2" w:rsidRDefault="007E61D1" w:rsidP="00933EA2">
      <w:pPr>
        <w:keepNext/>
        <w:keepLines/>
        <w:jc w:val="center"/>
        <w:rPr>
          <w:b/>
        </w:rPr>
      </w:pPr>
      <w:r>
        <w:rPr>
          <w:b/>
        </w:rPr>
        <w:t>Article 1</w:t>
      </w:r>
    </w:p>
    <w:p w:rsidR="00813F86" w:rsidRPr="00933EA2" w:rsidRDefault="00813F86" w:rsidP="00933EA2">
      <w:pPr>
        <w:keepNext/>
        <w:keepLines/>
        <w:jc w:val="both"/>
      </w:pPr>
    </w:p>
    <w:p w:rsidR="00794988" w:rsidRPr="00933EA2" w:rsidRDefault="00794988" w:rsidP="00933EA2">
      <w:pPr>
        <w:jc w:val="both"/>
      </w:pPr>
      <w:r>
        <w:t>For the purposes of the provisions of the second paragraph of Article 34(IX) of the above-mentioned Law of 12 May 2010 companies that operate casinos or gambling clubs and belong to a group of companies operating casinos or clubs may submit a common action plan for all companies in this group for the approval of the National Gambling Authority. In this case, the list of companies belonging to this group is included in the action plan.</w:t>
      </w:r>
    </w:p>
    <w:p w:rsidR="00794988" w:rsidRPr="00933EA2" w:rsidRDefault="00794988" w:rsidP="00933EA2">
      <w:pPr>
        <w:jc w:val="both"/>
        <w:rPr>
          <w:rFonts w:asciiTheme="minorHAnsi" w:eastAsiaTheme="minorHAnsi" w:hAnsiTheme="minorHAnsi" w:cstheme="minorBidi"/>
          <w:sz w:val="20"/>
          <w:szCs w:val="20"/>
        </w:rPr>
      </w:pPr>
    </w:p>
    <w:p w:rsidR="00794988" w:rsidRPr="00933EA2" w:rsidRDefault="00794988" w:rsidP="00933EA2">
      <w:pPr>
        <w:jc w:val="both"/>
      </w:pPr>
      <w:r>
        <w:t>For the purposes of the provisions of the second paragraph of Article 34(IX) of the above-mentioned Law of 12 May 2010, companies that operate two or more casinos and gambling clubs may submit a common action plan that is applicable in these casinos or clubs for the approval of the National Gambling Authority. In this case, the list of casinos and gambling clubs is included in the action plan.</w:t>
      </w:r>
    </w:p>
    <w:p w:rsidR="00794988" w:rsidRPr="00933EA2" w:rsidRDefault="00794988" w:rsidP="00933EA2">
      <w:pPr>
        <w:jc w:val="both"/>
      </w:pPr>
    </w:p>
    <w:p w:rsidR="007E61D1" w:rsidRPr="00933EA2" w:rsidRDefault="00794988" w:rsidP="00933EA2">
      <w:pPr>
        <w:jc w:val="both"/>
      </w:pPr>
      <w:r>
        <w:t>Where the option provided for in paragraphs 1 and 2 applies, the National Gambling Authority may request the submission of any additional document or information before making a decision regarding the approval application submitted to it.</w:t>
      </w:r>
    </w:p>
    <w:p w:rsidR="00794988" w:rsidRPr="00933EA2" w:rsidRDefault="00794988" w:rsidP="00933EA2">
      <w:pPr>
        <w:jc w:val="both"/>
      </w:pPr>
    </w:p>
    <w:p w:rsidR="007E61D1" w:rsidRPr="00933EA2" w:rsidRDefault="007E61D1" w:rsidP="00933EA2">
      <w:pPr>
        <w:keepNext/>
        <w:keepLines/>
        <w:jc w:val="center"/>
        <w:rPr>
          <w:b/>
        </w:rPr>
      </w:pPr>
      <w:r>
        <w:rPr>
          <w:b/>
        </w:rPr>
        <w:t>Article 2</w:t>
      </w:r>
    </w:p>
    <w:p w:rsidR="007E61D1" w:rsidRPr="00933EA2" w:rsidRDefault="007E61D1" w:rsidP="00933EA2">
      <w:pPr>
        <w:keepNext/>
        <w:keepLines/>
        <w:jc w:val="both"/>
        <w:rPr>
          <w:b/>
        </w:rPr>
      </w:pPr>
    </w:p>
    <w:p w:rsidR="007E61D1" w:rsidRPr="00933EA2" w:rsidRDefault="007E61D1" w:rsidP="00933EA2">
      <w:pPr>
        <w:jc w:val="both"/>
      </w:pPr>
      <w:r>
        <w:t xml:space="preserve">In the case of racecourses, the action plan mentioned in the second paragraph of Article 34(IX) of the above-mentioned Law of 12 May 2010 may be common to several racing companies operating these racecourses, as soon as it is applied by all of them. The list of racing companies </w:t>
      </w:r>
      <w:r>
        <w:lastRenderedPageBreak/>
        <w:t>and racecourses concerned must be included in the action plan. The National Gambling Authority may ask each racing company to submit any additional documents enabling it to assess their action plan with a view to preventing excessive gambling and gambling by minors and to promote reasonable gambling practices, and their assessment of implementation of the same plan for the previous year.</w:t>
      </w:r>
    </w:p>
    <w:p w:rsidR="007E61D1" w:rsidRPr="00933EA2" w:rsidRDefault="007E61D1" w:rsidP="00933EA2">
      <w:pPr>
        <w:jc w:val="both"/>
      </w:pPr>
    </w:p>
    <w:p w:rsidR="007E61D1" w:rsidRPr="00933EA2" w:rsidRDefault="007E61D1" w:rsidP="00933EA2">
      <w:pPr>
        <w:keepNext/>
        <w:keepLines/>
        <w:jc w:val="center"/>
        <w:rPr>
          <w:b/>
        </w:rPr>
      </w:pPr>
      <w:r>
        <w:rPr>
          <w:b/>
        </w:rPr>
        <w:t>Article 3</w:t>
      </w:r>
    </w:p>
    <w:p w:rsidR="007E61D1" w:rsidRPr="00933EA2" w:rsidRDefault="007E61D1" w:rsidP="00933EA2">
      <w:pPr>
        <w:keepNext/>
        <w:keepLines/>
        <w:jc w:val="both"/>
        <w:rPr>
          <w:b/>
        </w:rPr>
      </w:pPr>
    </w:p>
    <w:p w:rsidR="007E61D1" w:rsidRPr="00933EA2" w:rsidRDefault="007E61D1" w:rsidP="00933EA2">
      <w:pPr>
        <w:jc w:val="both"/>
      </w:pPr>
      <w:r>
        <w:t>In the case of racecourses, racing companies may be exempted from individually establishing the risk classification provided for in Article L561-4-1 of the Monetary and Financial Code and the internal inspection procedures provided for in Article L561-32 of the same code, in favour of collective implementation through the National Federation of horse racing, which shall report to the National Gambling Authority mentioning the list of racing companies and racecourses concerned. If there are specific risks, especially regarding the size of the betting offer and the amount of the stakes, the procedures must be adapted accordingly. The National Gambling Authority may ask each racing company to submit any additional documents enabling it to assess their action in the fight against money laundering and terrorist financing.</w:t>
      </w:r>
    </w:p>
    <w:p w:rsidR="007E61D1" w:rsidRPr="00933EA2" w:rsidRDefault="007E61D1" w:rsidP="00933EA2">
      <w:pPr>
        <w:jc w:val="both"/>
      </w:pPr>
    </w:p>
    <w:p w:rsidR="007E61D1" w:rsidRPr="00933EA2" w:rsidRDefault="007E61D1" w:rsidP="00933EA2">
      <w:pPr>
        <w:keepNext/>
        <w:keepLines/>
        <w:jc w:val="center"/>
        <w:rPr>
          <w:b/>
        </w:rPr>
      </w:pPr>
      <w:r>
        <w:rPr>
          <w:b/>
        </w:rPr>
        <w:t>Article 4</w:t>
      </w:r>
    </w:p>
    <w:p w:rsidR="007E61D1" w:rsidRPr="00933EA2" w:rsidRDefault="007E61D1" w:rsidP="00933EA2">
      <w:pPr>
        <w:keepNext/>
        <w:keepLines/>
        <w:jc w:val="both"/>
        <w:rPr>
          <w:b/>
        </w:rPr>
      </w:pPr>
    </w:p>
    <w:p w:rsidR="007E61D1" w:rsidRPr="00933EA2" w:rsidRDefault="007E61D1" w:rsidP="00933EA2">
      <w:pPr>
        <w:jc w:val="both"/>
      </w:pPr>
      <w:r>
        <w:t>In the case of racecourses, the inspections can be performed using the documentation common to all of the racing companies using the same supplier to provide and maintain their information systems, or through the audit of the information systems from the same provider. The National Gambling Authority may ask each racing company to submit any additional documents.</w:t>
      </w:r>
    </w:p>
    <w:p w:rsidR="007E61D1" w:rsidRPr="00933EA2" w:rsidRDefault="007E61D1" w:rsidP="00933EA2">
      <w:pPr>
        <w:jc w:val="both"/>
      </w:pPr>
    </w:p>
    <w:p w:rsidR="007E61D1" w:rsidRPr="00933EA2" w:rsidRDefault="007E61D1" w:rsidP="00933EA2">
      <w:pPr>
        <w:keepNext/>
        <w:keepLines/>
        <w:jc w:val="center"/>
        <w:rPr>
          <w:b/>
        </w:rPr>
      </w:pPr>
      <w:r>
        <w:rPr>
          <w:b/>
        </w:rPr>
        <w:t>Article 5</w:t>
      </w:r>
    </w:p>
    <w:p w:rsidR="007E61D1" w:rsidRPr="00933EA2" w:rsidRDefault="007E61D1" w:rsidP="00933EA2">
      <w:pPr>
        <w:keepNext/>
        <w:keepLines/>
        <w:jc w:val="both"/>
        <w:rPr>
          <w:b/>
        </w:rPr>
      </w:pPr>
    </w:p>
    <w:p w:rsidR="007E61D1" w:rsidRPr="00933EA2" w:rsidRDefault="007E61D1" w:rsidP="00933EA2">
      <w:pPr>
        <w:jc w:val="both"/>
      </w:pPr>
      <w:r>
        <w:t>Before March of each year, operators holding exclusive rights shall submit a report to the National Gambling Authority detailing, for the previous year, the actual amount of the budget corresponding to at least 0.002 % of the stakes, the research projects financed and validated by the organisation designated by the above-mentioned Decree XX XXXX XXXX (CPAB1926918D) and the amount of the contribution paid, in accordance with the provisions of Article 3 of the above-mentioned Law of 12 May 2010.</w:t>
      </w:r>
    </w:p>
    <w:p w:rsidR="007E61D1" w:rsidRPr="00933EA2" w:rsidRDefault="007E61D1" w:rsidP="00933EA2">
      <w:pPr>
        <w:jc w:val="both"/>
      </w:pPr>
    </w:p>
    <w:p w:rsidR="007E61D1" w:rsidRPr="00933EA2" w:rsidRDefault="00DD75EA" w:rsidP="00933EA2">
      <w:pPr>
        <w:keepNext/>
        <w:keepLines/>
        <w:jc w:val="both"/>
      </w:pPr>
      <w:r>
        <w:rPr>
          <w:b/>
        </w:rPr>
        <w:t>TITLE II: TERMS AND CONDITIONS FOR THE APPROVAL OF PROMOTIONAL STRATEGIES FOR GAMBLING OR BETTING OPERATORS</w:t>
      </w:r>
    </w:p>
    <w:p w:rsidR="007E61D1" w:rsidRPr="00933EA2" w:rsidRDefault="007E61D1" w:rsidP="00933EA2">
      <w:pPr>
        <w:keepNext/>
        <w:keepLines/>
        <w:jc w:val="both"/>
      </w:pPr>
    </w:p>
    <w:p w:rsidR="007E61D1" w:rsidRPr="00933EA2" w:rsidRDefault="007E61D1" w:rsidP="00933EA2">
      <w:pPr>
        <w:keepNext/>
        <w:keepLines/>
        <w:tabs>
          <w:tab w:val="left" w:pos="225"/>
        </w:tabs>
        <w:jc w:val="center"/>
        <w:rPr>
          <w:b/>
          <w:bCs/>
        </w:rPr>
      </w:pPr>
      <w:r>
        <w:rPr>
          <w:b/>
        </w:rPr>
        <w:t>Article 6</w:t>
      </w:r>
    </w:p>
    <w:p w:rsidR="007E61D1" w:rsidRPr="00933EA2" w:rsidRDefault="007E61D1" w:rsidP="00933EA2">
      <w:pPr>
        <w:keepNext/>
        <w:keepLines/>
        <w:tabs>
          <w:tab w:val="left" w:pos="225"/>
        </w:tabs>
        <w:jc w:val="both"/>
        <w:rPr>
          <w:bCs/>
        </w:rPr>
      </w:pPr>
    </w:p>
    <w:p w:rsidR="007E61D1" w:rsidRPr="00933EA2" w:rsidRDefault="007E61D1" w:rsidP="00933EA2">
      <w:pPr>
        <w:keepNext/>
        <w:keepLines/>
        <w:tabs>
          <w:tab w:val="left" w:pos="225"/>
        </w:tabs>
        <w:jc w:val="both"/>
        <w:rPr>
          <w:bCs/>
        </w:rPr>
      </w:pPr>
      <w:r>
        <w:t>Before 30 October each year, operators holding exclusive rights and online gambling or betting operators shall submit their promotional strategy to the National Gambling Authority for approval, in any format.</w:t>
      </w:r>
    </w:p>
    <w:p w:rsidR="007E61D1" w:rsidRPr="00933EA2" w:rsidRDefault="007E61D1" w:rsidP="00933EA2">
      <w:pPr>
        <w:tabs>
          <w:tab w:val="left" w:pos="225"/>
        </w:tabs>
        <w:jc w:val="both"/>
        <w:rPr>
          <w:bCs/>
        </w:rPr>
      </w:pPr>
    </w:p>
    <w:p w:rsidR="007E61D1" w:rsidRPr="00933EA2" w:rsidRDefault="007E61D1" w:rsidP="00933EA2">
      <w:pPr>
        <w:keepNext/>
        <w:keepLines/>
        <w:tabs>
          <w:tab w:val="left" w:pos="225"/>
        </w:tabs>
        <w:jc w:val="center"/>
        <w:rPr>
          <w:b/>
          <w:bCs/>
        </w:rPr>
      </w:pPr>
      <w:r>
        <w:rPr>
          <w:b/>
        </w:rPr>
        <w:t>Article 7</w:t>
      </w:r>
    </w:p>
    <w:p w:rsidR="007E61D1" w:rsidRPr="00933EA2" w:rsidRDefault="007E61D1" w:rsidP="00933EA2">
      <w:pPr>
        <w:keepNext/>
        <w:keepLines/>
        <w:tabs>
          <w:tab w:val="left" w:pos="225"/>
        </w:tabs>
        <w:jc w:val="both"/>
        <w:rPr>
          <w:bCs/>
        </w:rPr>
      </w:pPr>
    </w:p>
    <w:p w:rsidR="007E61D1" w:rsidRPr="00933EA2" w:rsidRDefault="007E61D1" w:rsidP="00933EA2">
      <w:pPr>
        <w:tabs>
          <w:tab w:val="left" w:pos="225"/>
        </w:tabs>
        <w:jc w:val="both"/>
        <w:rPr>
          <w:bCs/>
        </w:rPr>
      </w:pPr>
      <w:r>
        <w:t xml:space="preserve">The promotional strategy in any format shall notably include a description of the various media and any other vectors used to promote the gambling offer, an estimate of the budgets allocated to each vector and their progress during the current year, a description of the type of clientele targeted, the different games concerned and an evaluation of its impact with regard to the first objective of Article L320-3 of the Internal Security Code. In the case of commercial offers that </w:t>
      </w:r>
      <w:r>
        <w:lastRenderedPageBreak/>
        <w:t>include monetary rewards for players, the operator shall describe the mechanisms permitting players to benefit from these rewards.</w:t>
      </w:r>
    </w:p>
    <w:p w:rsidR="007E61D1" w:rsidRPr="00933EA2" w:rsidRDefault="007E61D1" w:rsidP="00933EA2">
      <w:pPr>
        <w:tabs>
          <w:tab w:val="left" w:pos="225"/>
        </w:tabs>
        <w:jc w:val="both"/>
        <w:rPr>
          <w:bCs/>
        </w:rPr>
      </w:pPr>
      <w:r>
        <w:t>In the case of operators holding exclusive rights, the promotional strategy shall present the information and prevention actions intended for the public and for players on their physical distribution network, to meet the first objective of Article L320-3 of the Internal Security Code.</w:t>
      </w:r>
    </w:p>
    <w:p w:rsidR="007E61D1" w:rsidRPr="00933EA2" w:rsidRDefault="007E61D1" w:rsidP="00933EA2">
      <w:pPr>
        <w:tabs>
          <w:tab w:val="left" w:pos="225"/>
        </w:tabs>
        <w:jc w:val="both"/>
        <w:rPr>
          <w:bCs/>
        </w:rPr>
      </w:pPr>
    </w:p>
    <w:p w:rsidR="007E61D1" w:rsidRPr="00933EA2" w:rsidRDefault="007E61D1" w:rsidP="00933EA2">
      <w:pPr>
        <w:keepNext/>
        <w:keepLines/>
        <w:tabs>
          <w:tab w:val="left" w:pos="225"/>
        </w:tabs>
        <w:jc w:val="center"/>
        <w:rPr>
          <w:b/>
          <w:bCs/>
        </w:rPr>
      </w:pPr>
      <w:r>
        <w:rPr>
          <w:b/>
        </w:rPr>
        <w:t>Article 8</w:t>
      </w:r>
    </w:p>
    <w:p w:rsidR="007E61D1" w:rsidRPr="00933EA2" w:rsidRDefault="007E61D1" w:rsidP="00933EA2">
      <w:pPr>
        <w:keepNext/>
        <w:keepLines/>
        <w:tabs>
          <w:tab w:val="left" w:pos="225"/>
        </w:tabs>
        <w:jc w:val="both"/>
        <w:rPr>
          <w:bCs/>
        </w:rPr>
      </w:pPr>
    </w:p>
    <w:p w:rsidR="007E61D1" w:rsidRPr="00933EA2" w:rsidRDefault="007E61D1" w:rsidP="00933EA2">
      <w:pPr>
        <w:tabs>
          <w:tab w:val="left" w:pos="225"/>
        </w:tabs>
        <w:jc w:val="both"/>
        <w:rPr>
          <w:bCs/>
        </w:rPr>
      </w:pPr>
      <w:r>
        <w:t>The National Gambling Authority shall examine operators’ promotional strategies regarding the objectives of Article L320-3 of the Internal Security Code. It may send operators any requests for additional information on their promotional strategies.</w:t>
      </w:r>
    </w:p>
    <w:p w:rsidR="007E61D1" w:rsidRPr="00933EA2" w:rsidRDefault="007E61D1" w:rsidP="00933EA2">
      <w:pPr>
        <w:tabs>
          <w:tab w:val="left" w:pos="225"/>
        </w:tabs>
        <w:ind w:firstLine="708"/>
        <w:jc w:val="both"/>
        <w:rPr>
          <w:bCs/>
        </w:rPr>
      </w:pPr>
    </w:p>
    <w:p w:rsidR="007E61D1" w:rsidRPr="00933EA2" w:rsidRDefault="007E61D1" w:rsidP="00933EA2">
      <w:pPr>
        <w:keepNext/>
        <w:keepLines/>
        <w:tabs>
          <w:tab w:val="left" w:pos="225"/>
        </w:tabs>
        <w:jc w:val="center"/>
        <w:rPr>
          <w:b/>
          <w:bCs/>
        </w:rPr>
      </w:pPr>
      <w:r>
        <w:rPr>
          <w:b/>
        </w:rPr>
        <w:t>Article 9</w:t>
      </w:r>
    </w:p>
    <w:p w:rsidR="007E61D1" w:rsidRPr="00933EA2" w:rsidRDefault="007E61D1" w:rsidP="00933EA2">
      <w:pPr>
        <w:keepNext/>
        <w:keepLines/>
        <w:tabs>
          <w:tab w:val="left" w:pos="225"/>
        </w:tabs>
        <w:jc w:val="both"/>
        <w:rPr>
          <w:bCs/>
        </w:rPr>
      </w:pPr>
    </w:p>
    <w:p w:rsidR="007E61D1" w:rsidRPr="00933EA2" w:rsidRDefault="007E61D1" w:rsidP="00933EA2">
      <w:pPr>
        <w:tabs>
          <w:tab w:val="left" w:pos="225"/>
        </w:tabs>
        <w:jc w:val="both"/>
        <w:rPr>
          <w:bCs/>
        </w:rPr>
      </w:pPr>
      <w:r>
        <w:t>The Authority’s decision shall be notified to the operator within two months of receipt of their promotional strategy. The Authority shall, where appropriate, define the conditions to which approval of the promotional strategy is subject.</w:t>
      </w:r>
    </w:p>
    <w:p w:rsidR="007E61D1" w:rsidRPr="00933EA2" w:rsidRDefault="007E61D1" w:rsidP="00933EA2">
      <w:pPr>
        <w:tabs>
          <w:tab w:val="left" w:pos="225"/>
        </w:tabs>
        <w:jc w:val="both"/>
        <w:rPr>
          <w:bCs/>
        </w:rPr>
      </w:pPr>
    </w:p>
    <w:p w:rsidR="007E61D1" w:rsidRPr="00933EA2" w:rsidRDefault="007E61D1" w:rsidP="00933EA2">
      <w:pPr>
        <w:keepNext/>
        <w:keepLines/>
        <w:tabs>
          <w:tab w:val="left" w:pos="225"/>
        </w:tabs>
        <w:jc w:val="center"/>
        <w:rPr>
          <w:b/>
          <w:bCs/>
        </w:rPr>
      </w:pPr>
      <w:r>
        <w:rPr>
          <w:b/>
        </w:rPr>
        <w:t>Article 10</w:t>
      </w:r>
    </w:p>
    <w:p w:rsidR="007E61D1" w:rsidRPr="00933EA2" w:rsidRDefault="007E61D1" w:rsidP="00933EA2">
      <w:pPr>
        <w:keepNext/>
        <w:keepLines/>
        <w:tabs>
          <w:tab w:val="left" w:pos="225"/>
        </w:tabs>
        <w:jc w:val="both"/>
        <w:rPr>
          <w:bCs/>
        </w:rPr>
      </w:pPr>
    </w:p>
    <w:p w:rsidR="007E61D1" w:rsidRPr="00933EA2" w:rsidRDefault="007E61D1" w:rsidP="00933EA2">
      <w:pPr>
        <w:tabs>
          <w:tab w:val="left" w:pos="225"/>
        </w:tabs>
        <w:jc w:val="both"/>
        <w:rPr>
          <w:bCs/>
        </w:rPr>
      </w:pPr>
      <w:r>
        <w:t>Should the operator wish to modify their promotional strategy during the course of the year, they should inform the National Gambling Authority of the fact no later than two months before implementation of the actions or measures corresponding to this modification. Subject to the provisions of Article 8, the Authority shall rule on the proposed modification within two months of receipt of its notification.</w:t>
      </w:r>
    </w:p>
    <w:p w:rsidR="007E61D1" w:rsidRPr="00933EA2" w:rsidRDefault="007E61D1" w:rsidP="00933EA2">
      <w:pPr>
        <w:tabs>
          <w:tab w:val="left" w:pos="225"/>
        </w:tabs>
        <w:jc w:val="both"/>
        <w:rPr>
          <w:bCs/>
        </w:rPr>
      </w:pPr>
    </w:p>
    <w:p w:rsidR="007E61D1" w:rsidRPr="00933EA2" w:rsidRDefault="00DD75EA" w:rsidP="00933EA2">
      <w:pPr>
        <w:keepNext/>
        <w:keepLines/>
        <w:tabs>
          <w:tab w:val="left" w:pos="225"/>
        </w:tabs>
        <w:jc w:val="center"/>
        <w:rPr>
          <w:bCs/>
        </w:rPr>
      </w:pPr>
      <w:r>
        <w:rPr>
          <w:b/>
        </w:rPr>
        <w:t>TITLE III: CERTIFICATION PROCEDURES</w:t>
      </w:r>
    </w:p>
    <w:p w:rsidR="007E61D1" w:rsidRPr="00933EA2" w:rsidRDefault="007E61D1" w:rsidP="00933EA2">
      <w:pPr>
        <w:pStyle w:val="BodyText"/>
        <w:keepNext/>
        <w:keepLines/>
      </w:pPr>
    </w:p>
    <w:p w:rsidR="00DD75EA" w:rsidRPr="00933EA2" w:rsidRDefault="00DD75EA" w:rsidP="00933EA2">
      <w:pPr>
        <w:keepNext/>
        <w:keepLines/>
        <w:rPr>
          <w:b/>
        </w:rPr>
      </w:pPr>
      <w:r>
        <w:rPr>
          <w:b/>
        </w:rPr>
        <w:t>CHAPTER 1 – REGISTRATION CONDITIONS ON THE LIST OF CERTIFICATION BODIES</w:t>
      </w:r>
    </w:p>
    <w:p w:rsidR="00DD75EA" w:rsidRPr="00933EA2" w:rsidRDefault="00DD75EA" w:rsidP="00933EA2">
      <w:pPr>
        <w:keepNext/>
        <w:keepLines/>
        <w:rPr>
          <w:b/>
        </w:rPr>
      </w:pPr>
    </w:p>
    <w:p w:rsidR="00DD75EA" w:rsidRPr="00933EA2" w:rsidRDefault="00DD75EA" w:rsidP="00933EA2">
      <w:pPr>
        <w:keepNext/>
        <w:keepLines/>
        <w:jc w:val="center"/>
        <w:rPr>
          <w:b/>
        </w:rPr>
      </w:pPr>
      <w:r>
        <w:rPr>
          <w:b/>
        </w:rPr>
        <w:t>Article 11</w:t>
      </w:r>
    </w:p>
    <w:p w:rsidR="00DD75EA" w:rsidRPr="00933EA2" w:rsidRDefault="00DD75EA" w:rsidP="00933EA2">
      <w:pPr>
        <w:keepNext/>
        <w:keepLines/>
        <w:rPr>
          <w:b/>
        </w:rPr>
      </w:pPr>
    </w:p>
    <w:p w:rsidR="00DD75EA" w:rsidRPr="00933EA2" w:rsidRDefault="00DD75EA" w:rsidP="00933EA2">
      <w:pPr>
        <w:jc w:val="both"/>
      </w:pPr>
      <w:r>
        <w:t>The National Gambling Authority shall draw up the list of bodies authorised to carry out the certification duties mentioned in Article 23(II) and (III) of the Law of 12 May 2010 and keep it up to date.</w:t>
      </w:r>
    </w:p>
    <w:p w:rsidR="00DD75EA" w:rsidRPr="00933EA2" w:rsidRDefault="00DD75EA" w:rsidP="00933EA2">
      <w:pPr>
        <w:jc w:val="both"/>
      </w:pPr>
      <w:r>
        <w:t>This list shall be published on the National Gambling Authority website.</w:t>
      </w:r>
    </w:p>
    <w:p w:rsidR="00DD75EA" w:rsidRPr="00933EA2" w:rsidRDefault="00DD75EA" w:rsidP="00933EA2">
      <w:pPr>
        <w:jc w:val="both"/>
      </w:pPr>
    </w:p>
    <w:p w:rsidR="00DD75EA" w:rsidRPr="00933EA2" w:rsidRDefault="00DD75EA" w:rsidP="00933EA2">
      <w:pPr>
        <w:keepNext/>
        <w:keepLines/>
        <w:jc w:val="center"/>
        <w:rPr>
          <w:b/>
        </w:rPr>
      </w:pPr>
      <w:r>
        <w:rPr>
          <w:b/>
        </w:rPr>
        <w:t>Article 12</w:t>
      </w:r>
    </w:p>
    <w:p w:rsidR="00DD75EA" w:rsidRPr="00933EA2" w:rsidRDefault="00DD75EA" w:rsidP="00933EA2">
      <w:pPr>
        <w:keepNext/>
        <w:keepLines/>
        <w:rPr>
          <w:b/>
        </w:rPr>
      </w:pPr>
    </w:p>
    <w:p w:rsidR="00DD75EA" w:rsidRPr="00933EA2" w:rsidRDefault="00DD75EA" w:rsidP="00933EA2">
      <w:pPr>
        <w:jc w:val="both"/>
      </w:pPr>
      <w:r>
        <w:t>Bodies may only be included in the list mentioned in Article 11 if they:</w:t>
      </w:r>
    </w:p>
    <w:p w:rsidR="00DD75EA" w:rsidRPr="00933EA2" w:rsidRDefault="00DD75EA" w:rsidP="00933EA2">
      <w:pPr>
        <w:pStyle w:val="ListParagraph"/>
        <w:numPr>
          <w:ilvl w:val="0"/>
          <w:numId w:val="3"/>
        </w:numPr>
        <w:spacing w:after="200" w:line="276" w:lineRule="auto"/>
        <w:jc w:val="both"/>
      </w:pPr>
      <w:r>
        <w:t>are established in a European Union Member State or a State Party to the Agreement on the European Economic Area;</w:t>
      </w:r>
    </w:p>
    <w:p w:rsidR="00DD75EA" w:rsidRPr="00933EA2" w:rsidRDefault="00DD75EA" w:rsidP="00933EA2">
      <w:pPr>
        <w:pStyle w:val="ListParagraph"/>
        <w:numPr>
          <w:ilvl w:val="0"/>
          <w:numId w:val="3"/>
        </w:numPr>
        <w:spacing w:after="200" w:line="276" w:lineRule="auto"/>
        <w:jc w:val="both"/>
      </w:pPr>
      <w:r>
        <w:t>have sufficient skills and appropriately qualified staff;</w:t>
      </w:r>
    </w:p>
    <w:p w:rsidR="00DD75EA" w:rsidRPr="00933EA2" w:rsidRDefault="00DD75EA" w:rsidP="00933EA2">
      <w:pPr>
        <w:pStyle w:val="ListParagraph"/>
        <w:numPr>
          <w:ilvl w:val="0"/>
          <w:numId w:val="3"/>
        </w:numPr>
        <w:spacing w:after="200" w:line="276" w:lineRule="auto"/>
        <w:jc w:val="both"/>
      </w:pPr>
      <w:r>
        <w:t>perform their certification tasks independently, impartially, and in accordance with the provisions of Article 17.</w:t>
      </w:r>
    </w:p>
    <w:p w:rsidR="00DD75EA" w:rsidRPr="00933EA2" w:rsidRDefault="00DD75EA" w:rsidP="00933EA2">
      <w:pPr>
        <w:pStyle w:val="ListParagraph"/>
        <w:ind w:left="1065"/>
        <w:jc w:val="both"/>
      </w:pPr>
    </w:p>
    <w:p w:rsidR="00DD75EA" w:rsidRPr="00933EA2" w:rsidRDefault="00DD75EA" w:rsidP="00933EA2">
      <w:pPr>
        <w:keepNext/>
        <w:keepLines/>
        <w:jc w:val="center"/>
        <w:rPr>
          <w:b/>
        </w:rPr>
      </w:pPr>
      <w:r>
        <w:rPr>
          <w:b/>
        </w:rPr>
        <w:lastRenderedPageBreak/>
        <w:t>Article 13</w:t>
      </w:r>
    </w:p>
    <w:p w:rsidR="00DD75EA" w:rsidRPr="00933EA2" w:rsidRDefault="00DD75EA" w:rsidP="00933EA2">
      <w:pPr>
        <w:keepNext/>
        <w:keepLines/>
        <w:rPr>
          <w:b/>
        </w:rPr>
      </w:pPr>
    </w:p>
    <w:p w:rsidR="00DD75EA" w:rsidRPr="00933EA2" w:rsidRDefault="00DD75EA" w:rsidP="00933EA2">
      <w:pPr>
        <w:jc w:val="both"/>
      </w:pPr>
      <w:r>
        <w:t>Application files for registration on the list of certification bodies shall be written in French. They should be submitted to the National Gambling Authority electronically or by post, or submitted to the registered head office of the Authority in exchange for a receipt. The National Gambling Authority shall acknowledge receipt by any appropriate means and proceed to register them.</w:t>
      </w:r>
    </w:p>
    <w:p w:rsidR="00DD75EA" w:rsidRPr="00933EA2" w:rsidRDefault="00DD75EA" w:rsidP="00933EA2">
      <w:pPr>
        <w:jc w:val="both"/>
      </w:pPr>
    </w:p>
    <w:p w:rsidR="00DD75EA" w:rsidRPr="00933EA2" w:rsidRDefault="00DD75EA" w:rsidP="00933EA2">
      <w:pPr>
        <w:keepNext/>
        <w:keepLines/>
        <w:jc w:val="center"/>
        <w:rPr>
          <w:b/>
        </w:rPr>
      </w:pPr>
      <w:r>
        <w:rPr>
          <w:b/>
        </w:rPr>
        <w:t>Article 14</w:t>
      </w:r>
    </w:p>
    <w:p w:rsidR="00DD75EA" w:rsidRPr="00933EA2" w:rsidRDefault="00DD75EA" w:rsidP="00933EA2">
      <w:pPr>
        <w:keepNext/>
        <w:keepLines/>
        <w:jc w:val="both"/>
        <w:rPr>
          <w:b/>
        </w:rPr>
      </w:pPr>
    </w:p>
    <w:p w:rsidR="00DD75EA" w:rsidRPr="00933EA2" w:rsidRDefault="00DD75EA" w:rsidP="00933EA2">
      <w:pPr>
        <w:jc w:val="both"/>
      </w:pPr>
      <w:r>
        <w:t>Applications for registration on the list of certification bodies shall be subject to examination by the National Gambling Authority within two months from the date of their receipt.</w:t>
      </w:r>
    </w:p>
    <w:p w:rsidR="00DD75EA" w:rsidRPr="00933EA2" w:rsidRDefault="00DD75EA" w:rsidP="00933EA2">
      <w:pPr>
        <w:jc w:val="both"/>
      </w:pPr>
      <w:r>
        <w:t>Registration application files shall contain all necessary elements to enable the National Gambling Authority to ensure that the applicant has the requisite qualities to be registered on the list of certifiers, namely:</w:t>
      </w:r>
    </w:p>
    <w:p w:rsidR="00DD75EA" w:rsidRPr="00933EA2" w:rsidRDefault="00DD75EA" w:rsidP="00933EA2">
      <w:pPr>
        <w:pStyle w:val="ListParagraph"/>
        <w:numPr>
          <w:ilvl w:val="0"/>
          <w:numId w:val="3"/>
        </w:numPr>
        <w:spacing w:after="200" w:line="276" w:lineRule="auto"/>
        <w:jc w:val="both"/>
      </w:pPr>
      <w:r>
        <w:t>a document retracing the references of services performed by the applicant in areas of expertise similar to those covered in the context of the certification, and the periods during which these services were delivered;</w:t>
      </w:r>
    </w:p>
    <w:p w:rsidR="00DD75EA" w:rsidRPr="00933EA2" w:rsidRDefault="00DD75EA" w:rsidP="00933EA2">
      <w:pPr>
        <w:pStyle w:val="ListParagraph"/>
        <w:numPr>
          <w:ilvl w:val="0"/>
          <w:numId w:val="3"/>
        </w:numPr>
        <w:spacing w:after="200" w:line="276" w:lineRule="auto"/>
        <w:jc w:val="both"/>
      </w:pPr>
      <w:r>
        <w:t>the list of people responsible for the certification operations, and their detailed curricula vitae;</w:t>
      </w:r>
    </w:p>
    <w:p w:rsidR="00DD75EA" w:rsidRPr="00933EA2" w:rsidRDefault="00DD75EA" w:rsidP="00933EA2">
      <w:pPr>
        <w:pStyle w:val="ListParagraph"/>
        <w:numPr>
          <w:ilvl w:val="0"/>
          <w:numId w:val="3"/>
        </w:numPr>
        <w:spacing w:after="200" w:line="276" w:lineRule="auto"/>
        <w:jc w:val="both"/>
      </w:pPr>
      <w:r>
        <w:t>‘standard’ analysis reports highlighting the methodologies used and the level of depth of the analyses conducted in terms of intrusive application audits and hosting platform configuration audits.</w:t>
      </w:r>
    </w:p>
    <w:p w:rsidR="00DD75EA" w:rsidRPr="00933EA2" w:rsidRDefault="00DD75EA" w:rsidP="00933EA2">
      <w:pPr>
        <w:jc w:val="both"/>
      </w:pPr>
      <w:r>
        <w:t xml:space="preserve">If the application file is not complete, a letter shall be sent to the applicant inviting them to send the missing document(s), within a period that may not be shorter than </w:t>
      </w:r>
      <w:r w:rsidR="006F46AB">
        <w:t>15</w:t>
      </w:r>
      <w:r>
        <w:t xml:space="preserve"> days.</w:t>
      </w:r>
    </w:p>
    <w:p w:rsidR="00DD75EA" w:rsidRPr="00933EA2" w:rsidRDefault="00DD75EA" w:rsidP="00933EA2">
      <w:pPr>
        <w:jc w:val="both"/>
      </w:pPr>
      <w:r>
        <w:t>Examination of the registration application shall be suspended during this period. Any registration application that has not been completed by the deadline will be declared inadmissible by the National Gambling Authority.</w:t>
      </w:r>
    </w:p>
    <w:p w:rsidR="00DD75EA" w:rsidRPr="00933EA2" w:rsidRDefault="00DD75EA" w:rsidP="00933EA2">
      <w:pPr>
        <w:jc w:val="both"/>
      </w:pPr>
      <w:r>
        <w:t>During examination of the file, the applicant shall be required, if asked by the National Gambling Authority, to provide any information likely to enlighten it regarding elements included in the submitted file. In addition, the applicant may be heard by the National Gambling Authority.</w:t>
      </w:r>
    </w:p>
    <w:p w:rsidR="00DD75EA" w:rsidRPr="00933EA2" w:rsidRDefault="00DD75EA" w:rsidP="00933EA2">
      <w:pPr>
        <w:jc w:val="both"/>
      </w:pPr>
    </w:p>
    <w:p w:rsidR="00DD75EA" w:rsidRPr="00933EA2" w:rsidRDefault="00DD75EA" w:rsidP="00933EA2">
      <w:pPr>
        <w:keepNext/>
        <w:keepLines/>
        <w:jc w:val="center"/>
        <w:rPr>
          <w:b/>
        </w:rPr>
      </w:pPr>
      <w:r>
        <w:rPr>
          <w:b/>
        </w:rPr>
        <w:t>Article 15</w:t>
      </w:r>
    </w:p>
    <w:p w:rsidR="00DD75EA" w:rsidRPr="00933EA2" w:rsidRDefault="00DD75EA" w:rsidP="00933EA2">
      <w:pPr>
        <w:keepNext/>
        <w:keepLines/>
        <w:rPr>
          <w:b/>
        </w:rPr>
      </w:pPr>
    </w:p>
    <w:p w:rsidR="00DD75EA" w:rsidRPr="00933EA2" w:rsidRDefault="00DD75EA" w:rsidP="00933EA2">
      <w:pPr>
        <w:jc w:val="both"/>
      </w:pPr>
      <w:r>
        <w:t>Registration on the list of certification bodies is valid for five years. It is renewable.</w:t>
      </w:r>
    </w:p>
    <w:p w:rsidR="00DD75EA" w:rsidRPr="00933EA2" w:rsidRDefault="00DD75EA" w:rsidP="00933EA2">
      <w:pPr>
        <w:jc w:val="both"/>
      </w:pPr>
      <w:r>
        <w:t>The registration decision shall state, where applicable, the specific obligations to which the certification bodies are subject.</w:t>
      </w:r>
    </w:p>
    <w:p w:rsidR="00DD75EA" w:rsidRPr="00933EA2" w:rsidRDefault="00DD75EA" w:rsidP="00933EA2">
      <w:pPr>
        <w:jc w:val="both"/>
      </w:pPr>
      <w:r>
        <w:t>Any decision to refuse registration shall be reasoned and notified to the person concerned by any appropriate means recording the date of receipt.</w:t>
      </w:r>
    </w:p>
    <w:p w:rsidR="00DD75EA" w:rsidRPr="00933EA2" w:rsidRDefault="00DD75EA" w:rsidP="00933EA2">
      <w:pPr>
        <w:rPr>
          <w:b/>
        </w:rPr>
      </w:pPr>
    </w:p>
    <w:p w:rsidR="00DD75EA" w:rsidRPr="00933EA2" w:rsidRDefault="00DD75EA" w:rsidP="00933EA2">
      <w:pPr>
        <w:keepNext/>
        <w:keepLines/>
        <w:jc w:val="center"/>
        <w:rPr>
          <w:b/>
        </w:rPr>
      </w:pPr>
      <w:r>
        <w:rPr>
          <w:b/>
        </w:rPr>
        <w:t>CHAPTER 2 – OBLIGATIONS OF CERTIFICATION BODIES</w:t>
      </w:r>
    </w:p>
    <w:p w:rsidR="00DD75EA" w:rsidRPr="00933EA2" w:rsidRDefault="00DD75EA" w:rsidP="00933EA2">
      <w:pPr>
        <w:keepNext/>
        <w:keepLines/>
        <w:rPr>
          <w:b/>
        </w:rPr>
      </w:pPr>
    </w:p>
    <w:p w:rsidR="00DD75EA" w:rsidRPr="00933EA2" w:rsidRDefault="00DD75EA" w:rsidP="00933EA2">
      <w:pPr>
        <w:keepNext/>
        <w:keepLines/>
        <w:jc w:val="center"/>
        <w:rPr>
          <w:b/>
        </w:rPr>
      </w:pPr>
      <w:r>
        <w:rPr>
          <w:b/>
        </w:rPr>
        <w:t>Article 16</w:t>
      </w:r>
    </w:p>
    <w:p w:rsidR="00DD75EA" w:rsidRPr="00933EA2" w:rsidRDefault="00DD75EA" w:rsidP="00933EA2">
      <w:pPr>
        <w:keepNext/>
        <w:keepLines/>
        <w:rPr>
          <w:b/>
        </w:rPr>
      </w:pPr>
    </w:p>
    <w:p w:rsidR="00DD75EA" w:rsidRPr="00933EA2" w:rsidRDefault="00DD75EA" w:rsidP="00933EA2">
      <w:pPr>
        <w:jc w:val="both"/>
      </w:pPr>
      <w:r>
        <w:t>The body registered on the list of certification bodies shall perform the certification duties entrusted to it in accordance with the state of the art.</w:t>
      </w:r>
    </w:p>
    <w:p w:rsidR="00DD75EA" w:rsidRPr="00933EA2" w:rsidRDefault="00DD75EA" w:rsidP="00933EA2">
      <w:pPr>
        <w:jc w:val="both"/>
      </w:pPr>
      <w:r>
        <w:lastRenderedPageBreak/>
        <w:t>A copy of the certification contract concluded between the certification body and the operator to whom the certification relates shall be sent to the National Gambling Authority prior to performance of the certification service.</w:t>
      </w:r>
    </w:p>
    <w:p w:rsidR="00DD75EA" w:rsidRPr="00933EA2" w:rsidRDefault="00DD75EA" w:rsidP="00933EA2">
      <w:pPr>
        <w:jc w:val="both"/>
      </w:pPr>
    </w:p>
    <w:p w:rsidR="00DD75EA" w:rsidRPr="00933EA2" w:rsidRDefault="00DD75EA" w:rsidP="00933EA2">
      <w:pPr>
        <w:keepNext/>
        <w:keepLines/>
        <w:jc w:val="center"/>
        <w:rPr>
          <w:b/>
        </w:rPr>
      </w:pPr>
      <w:r>
        <w:rPr>
          <w:b/>
        </w:rPr>
        <w:t>Article 17</w:t>
      </w:r>
    </w:p>
    <w:p w:rsidR="00DD75EA" w:rsidRPr="00933EA2" w:rsidRDefault="00DD75EA" w:rsidP="00933EA2">
      <w:pPr>
        <w:keepNext/>
        <w:keepLines/>
        <w:rPr>
          <w:b/>
        </w:rPr>
      </w:pPr>
    </w:p>
    <w:p w:rsidR="00DD75EA" w:rsidRPr="00933EA2" w:rsidRDefault="00DD75EA" w:rsidP="00933EA2">
      <w:pPr>
        <w:jc w:val="both"/>
      </w:pPr>
      <w:r>
        <w:t>The body registered on the list of certification bodies shall be independent of the operator for whom it performs the certification duties.</w:t>
      </w:r>
    </w:p>
    <w:p w:rsidR="00DD75EA" w:rsidRPr="00933EA2" w:rsidRDefault="00DD75EA" w:rsidP="00933EA2">
      <w:pPr>
        <w:jc w:val="both"/>
      </w:pPr>
      <w:r>
        <w:t xml:space="preserve">It may not perform any certification duties for an online gambling or betting operator or for the single legal person mentioned in Article 137 of the aforementioned Law of 22 May 2019 if it has been their counsellor or provider during the </w:t>
      </w:r>
      <w:r w:rsidR="006F46AB">
        <w:t>12</w:t>
      </w:r>
      <w:r>
        <w:t xml:space="preserve"> months preceding the signing of the certification contract.</w:t>
      </w:r>
    </w:p>
    <w:p w:rsidR="00DD75EA" w:rsidRPr="00933EA2" w:rsidRDefault="00DD75EA" w:rsidP="00933EA2">
      <w:pPr>
        <w:jc w:val="both"/>
      </w:pPr>
      <w:r>
        <w:t>The duration of the incompatibility provided for in the preceding paragraph runs from the most recent of the following two events:</w:t>
      </w:r>
    </w:p>
    <w:p w:rsidR="00DD75EA" w:rsidRPr="00933EA2" w:rsidRDefault="00DD75EA" w:rsidP="00933EA2">
      <w:pPr>
        <w:pStyle w:val="ListParagraph"/>
        <w:numPr>
          <w:ilvl w:val="0"/>
          <w:numId w:val="3"/>
        </w:numPr>
        <w:spacing w:after="200" w:line="276" w:lineRule="auto"/>
        <w:jc w:val="both"/>
      </w:pPr>
      <w:r>
        <w:t>the last service performed by the certification body for the operator to whom the certification relates;</w:t>
      </w:r>
    </w:p>
    <w:p w:rsidR="00DD75EA" w:rsidRPr="00933EA2" w:rsidRDefault="00DD75EA" w:rsidP="00933EA2">
      <w:pPr>
        <w:pStyle w:val="ListParagraph"/>
        <w:numPr>
          <w:ilvl w:val="0"/>
          <w:numId w:val="3"/>
        </w:numPr>
        <w:spacing w:after="200" w:line="276" w:lineRule="auto"/>
        <w:jc w:val="both"/>
      </w:pPr>
      <w:r>
        <w:t>the last payment made to the certification body by the operator to whom the certification relates.</w:t>
      </w:r>
    </w:p>
    <w:p w:rsidR="00DD75EA" w:rsidRPr="00933EA2" w:rsidRDefault="00DD75EA" w:rsidP="00933EA2">
      <w:pPr>
        <w:jc w:val="both"/>
      </w:pPr>
      <w:r>
        <w:t>The incompatibility provided for in this Article shall apply, under the same conditions, if the certification body has been the counsellor or provider of a company inspecting the operator to whom the certification relates, within the meaning of Article L233-16 of the Commercial Code, or inspected by the same.</w:t>
      </w:r>
    </w:p>
    <w:p w:rsidR="00DD75EA" w:rsidRPr="00933EA2" w:rsidRDefault="00DD75EA" w:rsidP="00933EA2">
      <w:pPr>
        <w:jc w:val="both"/>
      </w:pPr>
      <w:r>
        <w:t>The organisation registered on the list of certification bodies shall notify the National Gambling Authority of any conflict of interest situation that might arise regarding its certification activity.</w:t>
      </w:r>
    </w:p>
    <w:p w:rsidR="00DD75EA" w:rsidRPr="00933EA2" w:rsidRDefault="00DD75EA" w:rsidP="00933EA2">
      <w:pPr>
        <w:jc w:val="both"/>
      </w:pPr>
    </w:p>
    <w:p w:rsidR="00DD75EA" w:rsidRPr="00933EA2" w:rsidRDefault="00DD75EA" w:rsidP="00933EA2">
      <w:pPr>
        <w:keepNext/>
        <w:keepLines/>
        <w:jc w:val="center"/>
        <w:rPr>
          <w:b/>
        </w:rPr>
      </w:pPr>
      <w:r>
        <w:rPr>
          <w:b/>
        </w:rPr>
        <w:t>Article 18</w:t>
      </w:r>
    </w:p>
    <w:p w:rsidR="00DD75EA" w:rsidRPr="00933EA2" w:rsidRDefault="00DD75EA" w:rsidP="00933EA2">
      <w:pPr>
        <w:keepNext/>
        <w:keepLines/>
        <w:rPr>
          <w:b/>
        </w:rPr>
      </w:pPr>
    </w:p>
    <w:p w:rsidR="00DD75EA" w:rsidRPr="00933EA2" w:rsidRDefault="00DD75EA" w:rsidP="00933EA2">
      <w:pPr>
        <w:jc w:val="both"/>
      </w:pPr>
      <w:r>
        <w:t>The National Gambling Authority shall ensure, where appropriate by means of an audit, that the certification body continues to meet the obligations resulting from its registration on the list of certification bodies, in particular regarding the quality of the certification process.</w:t>
      </w:r>
    </w:p>
    <w:p w:rsidR="00DD75EA" w:rsidRPr="00933EA2" w:rsidRDefault="00DD75EA" w:rsidP="00933EA2">
      <w:pPr>
        <w:jc w:val="both"/>
      </w:pPr>
    </w:p>
    <w:p w:rsidR="00DD75EA" w:rsidRPr="00933EA2" w:rsidRDefault="00DD75EA" w:rsidP="00933EA2">
      <w:pPr>
        <w:keepNext/>
        <w:keepLines/>
        <w:jc w:val="center"/>
        <w:rPr>
          <w:b/>
        </w:rPr>
      </w:pPr>
      <w:r>
        <w:rPr>
          <w:b/>
        </w:rPr>
        <w:t>Article 19</w:t>
      </w:r>
    </w:p>
    <w:p w:rsidR="00DD75EA" w:rsidRPr="00933EA2" w:rsidRDefault="00DD75EA" w:rsidP="00933EA2">
      <w:pPr>
        <w:keepNext/>
        <w:keepLines/>
        <w:rPr>
          <w:b/>
        </w:rPr>
      </w:pPr>
    </w:p>
    <w:p w:rsidR="00DD75EA" w:rsidRPr="00933EA2" w:rsidRDefault="00DD75EA" w:rsidP="00933EA2">
      <w:pPr>
        <w:jc w:val="both"/>
      </w:pPr>
      <w:r>
        <w:t>The body registered on the list of certification bodies shall immediately report any changes in the information provided in its registration application to the National Gambling Authority.</w:t>
      </w:r>
    </w:p>
    <w:p w:rsidR="00DD75EA" w:rsidRPr="00933EA2" w:rsidRDefault="00DD75EA" w:rsidP="00933EA2">
      <w:pPr>
        <w:jc w:val="both"/>
      </w:pPr>
      <w:r>
        <w:t>If the organisation no longer meets the conditions of its registration on the list of certification bodies or the commitments to which its registration was subject, the National Gambling Authority may remove it from the list.</w:t>
      </w:r>
    </w:p>
    <w:p w:rsidR="00DD75EA" w:rsidRPr="00933EA2" w:rsidRDefault="00DD75EA" w:rsidP="00933EA2">
      <w:pPr>
        <w:jc w:val="both"/>
      </w:pPr>
      <w:r>
        <w:t xml:space="preserve">Prior to removal, the National Gambling Authority shall inform the person concerned of its intention to remove them from the list of certification bodies, by any appropriate means recording the date of receipt of this information, inviting them to present their case in writing within a specified period of at least </w:t>
      </w:r>
      <w:r w:rsidR="006F46AB">
        <w:t>15</w:t>
      </w:r>
      <w:r>
        <w:t xml:space="preserve"> days.</w:t>
      </w:r>
    </w:p>
    <w:p w:rsidR="00DD75EA" w:rsidRPr="00933EA2" w:rsidRDefault="00DD75EA" w:rsidP="00933EA2">
      <w:pPr>
        <w:jc w:val="both"/>
      </w:pPr>
      <w:r>
        <w:t>The removal decision shall be reasoned and notified to the person concerned by any appropriate means recording the date of receipt of this information.</w:t>
      </w:r>
    </w:p>
    <w:p w:rsidR="00DD75EA" w:rsidRPr="00933EA2" w:rsidRDefault="00DD75EA" w:rsidP="00933EA2">
      <w:pPr>
        <w:jc w:val="both"/>
      </w:pPr>
      <w:r>
        <w:t>The list of certification bodies shall be updated accordingly.</w:t>
      </w:r>
    </w:p>
    <w:p w:rsidR="00DD75EA" w:rsidRPr="00933EA2" w:rsidRDefault="00DD75EA" w:rsidP="00933EA2">
      <w:pPr>
        <w:jc w:val="both"/>
      </w:pPr>
    </w:p>
    <w:p w:rsidR="00DD75EA" w:rsidRPr="00933EA2" w:rsidRDefault="00DD75EA" w:rsidP="00933EA2">
      <w:pPr>
        <w:keepNext/>
        <w:keepLines/>
        <w:jc w:val="center"/>
        <w:rPr>
          <w:b/>
        </w:rPr>
      </w:pPr>
      <w:r>
        <w:rPr>
          <w:b/>
        </w:rPr>
        <w:lastRenderedPageBreak/>
        <w:t>CHAPTER 3 – CERTIFICATION WORKS</w:t>
      </w:r>
    </w:p>
    <w:p w:rsidR="00DD75EA" w:rsidRPr="00933EA2" w:rsidRDefault="00DD75EA" w:rsidP="00933EA2">
      <w:pPr>
        <w:keepNext/>
        <w:keepLines/>
        <w:rPr>
          <w:b/>
        </w:rPr>
      </w:pPr>
    </w:p>
    <w:p w:rsidR="00DD75EA" w:rsidRPr="00933EA2" w:rsidRDefault="00DD75EA" w:rsidP="00933EA2">
      <w:pPr>
        <w:keepNext/>
        <w:keepLines/>
        <w:jc w:val="center"/>
        <w:rPr>
          <w:b/>
        </w:rPr>
      </w:pPr>
      <w:r>
        <w:rPr>
          <w:b/>
        </w:rPr>
        <w:t>Article 20</w:t>
      </w:r>
    </w:p>
    <w:p w:rsidR="00DD75EA" w:rsidRPr="00933EA2" w:rsidRDefault="00DD75EA" w:rsidP="00933EA2">
      <w:pPr>
        <w:keepNext/>
        <w:keepLines/>
        <w:rPr>
          <w:b/>
        </w:rPr>
      </w:pPr>
    </w:p>
    <w:p w:rsidR="00DD75EA" w:rsidRPr="00933EA2" w:rsidRDefault="00DD75EA" w:rsidP="00933EA2">
      <w:pPr>
        <w:jc w:val="both"/>
      </w:pPr>
      <w:r>
        <w:t>In accordance with the provisions of Article 23 of the above-mentioned Law of 12 May 2010, the certification process shall concern the operator’s compliance with all of the technical requirements applicable to their activity.</w:t>
      </w:r>
    </w:p>
    <w:p w:rsidR="00DD75EA" w:rsidRPr="00933EA2" w:rsidRDefault="00DD75EA" w:rsidP="00933EA2">
      <w:pPr>
        <w:jc w:val="both"/>
      </w:pPr>
      <w:r>
        <w:t>The National Gambling Authority shall determine the method, nature and extent of the inspections performed by the certification body.</w:t>
      </w:r>
    </w:p>
    <w:p w:rsidR="00DD75EA" w:rsidRPr="00933EA2" w:rsidRDefault="00DD75EA" w:rsidP="00933EA2">
      <w:pPr>
        <w:jc w:val="both"/>
      </w:pPr>
    </w:p>
    <w:p w:rsidR="00DD75EA" w:rsidRPr="00933EA2" w:rsidRDefault="00DD75EA" w:rsidP="00933EA2">
      <w:pPr>
        <w:keepNext/>
        <w:keepLines/>
        <w:jc w:val="center"/>
        <w:rPr>
          <w:b/>
        </w:rPr>
      </w:pPr>
      <w:r>
        <w:rPr>
          <w:b/>
        </w:rPr>
        <w:t>Article 21</w:t>
      </w:r>
    </w:p>
    <w:p w:rsidR="00DD75EA" w:rsidRPr="00933EA2" w:rsidRDefault="00DD75EA" w:rsidP="00933EA2">
      <w:pPr>
        <w:keepNext/>
        <w:keepLines/>
        <w:rPr>
          <w:b/>
        </w:rPr>
      </w:pPr>
    </w:p>
    <w:p w:rsidR="00DD75EA" w:rsidRPr="00933EA2" w:rsidRDefault="00DD75EA" w:rsidP="00933EA2">
      <w:pPr>
        <w:jc w:val="both"/>
      </w:pPr>
      <w:r>
        <w:t>The analysis operations performed by the certification body are not iterative during the course of a given certification process: each requirement checked shall be subject to a single measurement.</w:t>
      </w:r>
    </w:p>
    <w:p w:rsidR="00DD75EA" w:rsidRPr="00933EA2" w:rsidRDefault="00DD75EA" w:rsidP="00933EA2">
      <w:pPr>
        <w:jc w:val="both"/>
      </w:pPr>
      <w:r>
        <w:t>Exchanges may take place between the certification body and the operator that it is certifying, when the measurement is being made. However, once the measurement has been made, these exchanges cannot under any circumstances lead the certification body to take a new measurement.</w:t>
      </w:r>
    </w:p>
    <w:p w:rsidR="00DD75EA" w:rsidRPr="00933EA2" w:rsidRDefault="00DD75EA" w:rsidP="00933EA2">
      <w:pPr>
        <w:jc w:val="both"/>
      </w:pPr>
      <w:r>
        <w:t>In particular, any amendments that an operator might make during a certification process on an inspection point that has already been measured, may not amend the initial findings, which must appear in the certification report.</w:t>
      </w:r>
    </w:p>
    <w:p w:rsidR="00DD75EA" w:rsidRPr="00933EA2" w:rsidRDefault="00DD75EA" w:rsidP="00933EA2">
      <w:pPr>
        <w:jc w:val="both"/>
      </w:pPr>
    </w:p>
    <w:p w:rsidR="00DD75EA" w:rsidRPr="00933EA2" w:rsidRDefault="00DD75EA" w:rsidP="00933EA2">
      <w:pPr>
        <w:keepNext/>
        <w:keepLines/>
        <w:jc w:val="center"/>
        <w:rPr>
          <w:b/>
        </w:rPr>
      </w:pPr>
      <w:r>
        <w:rPr>
          <w:b/>
        </w:rPr>
        <w:t>Article 22</w:t>
      </w:r>
    </w:p>
    <w:p w:rsidR="00DD75EA" w:rsidRPr="00933EA2" w:rsidRDefault="00DD75EA" w:rsidP="00933EA2">
      <w:pPr>
        <w:keepNext/>
        <w:keepLines/>
        <w:rPr>
          <w:b/>
        </w:rPr>
      </w:pPr>
    </w:p>
    <w:p w:rsidR="00DD75EA" w:rsidRPr="00933EA2" w:rsidRDefault="00DD75EA" w:rsidP="00933EA2">
      <w:pPr>
        <w:jc w:val="both"/>
      </w:pPr>
      <w:r>
        <w:t>At the end of its work, the certification body shall write up a report setting out its findings. This report shall list all points of non-compliance identified, regardless of their level of criticality.</w:t>
      </w:r>
    </w:p>
    <w:p w:rsidR="00DD75EA" w:rsidRPr="00933EA2" w:rsidRDefault="00DD75EA" w:rsidP="00933EA2">
      <w:pPr>
        <w:jc w:val="both"/>
      </w:pPr>
      <w:r>
        <w:t>The report shall conclude in the issue of certification with or without reservation(s).</w:t>
      </w:r>
    </w:p>
    <w:p w:rsidR="00DD75EA" w:rsidRPr="00933EA2" w:rsidRDefault="00DD75EA" w:rsidP="00933EA2">
      <w:pPr>
        <w:jc w:val="both"/>
      </w:pPr>
      <w:r>
        <w:t>The certification shall be issued with reservation(s) when one or more technical requirement(s) representing a level of criticality defined by the technical framework is/are not met.</w:t>
      </w:r>
    </w:p>
    <w:p w:rsidR="00DD75EA" w:rsidRPr="00933EA2" w:rsidRDefault="00DD75EA" w:rsidP="00933EA2">
      <w:pPr>
        <w:jc w:val="both"/>
      </w:pPr>
      <w:r>
        <w:t>The certification body shall send the operator concerned the document certifying that it has obtained the certification referred to in Article 23 of the above-mentioned Law of 12 May 2010 so that they may proceed with the submission provided for in this Article. This document shall indicate whether the certification is obtained with or without reservation(s) and shall indicate, if applicable, the reservation(s) concerned.</w:t>
      </w:r>
    </w:p>
    <w:p w:rsidR="00DD75EA" w:rsidRPr="00933EA2" w:rsidRDefault="00DD75EA" w:rsidP="00933EA2">
      <w:pPr>
        <w:jc w:val="both"/>
      </w:pPr>
    </w:p>
    <w:p w:rsidR="00DD75EA" w:rsidRPr="00933EA2" w:rsidRDefault="00DD75EA" w:rsidP="00933EA2">
      <w:pPr>
        <w:keepNext/>
        <w:keepLines/>
        <w:jc w:val="center"/>
        <w:rPr>
          <w:b/>
        </w:rPr>
      </w:pPr>
      <w:r>
        <w:rPr>
          <w:b/>
        </w:rPr>
        <w:t>Article 23</w:t>
      </w:r>
    </w:p>
    <w:p w:rsidR="00DD75EA" w:rsidRPr="00933EA2" w:rsidRDefault="00DD75EA" w:rsidP="00933EA2">
      <w:pPr>
        <w:keepNext/>
        <w:keepLines/>
        <w:rPr>
          <w:b/>
        </w:rPr>
      </w:pPr>
    </w:p>
    <w:p w:rsidR="00DD75EA" w:rsidRPr="00933EA2" w:rsidRDefault="00DD75EA" w:rsidP="00933EA2">
      <w:pPr>
        <w:jc w:val="both"/>
      </w:pPr>
      <w:r>
        <w:t>Once the certification report has been submitted, the operator shall, if applicable, write up anomaly sheets and send them to the National Gambling Authority within one month of submission of the report. These anomaly sheets are sent, for information purposes, to the certification body.</w:t>
      </w:r>
    </w:p>
    <w:p w:rsidR="00DD75EA" w:rsidRPr="00933EA2" w:rsidRDefault="00DD75EA" w:rsidP="00933EA2">
      <w:pPr>
        <w:jc w:val="both"/>
      </w:pPr>
      <w:r>
        <w:t>The anomaly sheets are separate from the certification report.</w:t>
      </w:r>
    </w:p>
    <w:p w:rsidR="00DD75EA" w:rsidRPr="00933EA2" w:rsidRDefault="00DD75EA" w:rsidP="00933EA2">
      <w:pPr>
        <w:jc w:val="both"/>
      </w:pPr>
      <w:r>
        <w:t>They shall include a list of all points of non-compliance identified in the certification report, regardless of their level of criticality.</w:t>
      </w:r>
    </w:p>
    <w:p w:rsidR="00DD75EA" w:rsidRPr="00933EA2" w:rsidRDefault="00DD75EA" w:rsidP="00933EA2">
      <w:pPr>
        <w:jc w:val="both"/>
      </w:pPr>
      <w:r>
        <w:t>For each point of nonconformity, the operator shall, where necessary, propose corrective measures and an implementation schedule.</w:t>
      </w:r>
    </w:p>
    <w:p w:rsidR="00DD75EA" w:rsidRPr="00933EA2" w:rsidRDefault="00DD75EA" w:rsidP="00933EA2">
      <w:pPr>
        <w:jc w:val="both"/>
      </w:pPr>
      <w:r>
        <w:t xml:space="preserve">These anomaly sheets may also allow the operator to bring any information or useful observation to the attention of the National Gambling Authority concerning the progress of the certification operations and/or report to the authority any disagreement that they may have with the conclusions of this report or the methodology used. The operator may, where appropriate, carry </w:t>
      </w:r>
      <w:r>
        <w:lastRenderedPageBreak/>
        <w:t>out a new measurement and produce the result of this measurement within the framework of the anomaly sheets.</w:t>
      </w:r>
    </w:p>
    <w:p w:rsidR="00DD75EA" w:rsidRPr="00933EA2" w:rsidRDefault="00DD75EA" w:rsidP="00933EA2">
      <w:pPr>
        <w:rPr>
          <w:b/>
        </w:rPr>
      </w:pPr>
    </w:p>
    <w:p w:rsidR="00DD75EA" w:rsidRPr="00933EA2" w:rsidRDefault="00DD75EA" w:rsidP="00933EA2">
      <w:pPr>
        <w:keepNext/>
        <w:keepLines/>
        <w:jc w:val="center"/>
        <w:rPr>
          <w:b/>
        </w:rPr>
      </w:pPr>
      <w:r>
        <w:rPr>
          <w:b/>
        </w:rPr>
        <w:t>Article 24</w:t>
      </w:r>
    </w:p>
    <w:p w:rsidR="00DD75EA" w:rsidRPr="00933EA2" w:rsidRDefault="00DD75EA" w:rsidP="00933EA2">
      <w:pPr>
        <w:keepNext/>
        <w:keepLines/>
        <w:rPr>
          <w:b/>
        </w:rPr>
      </w:pPr>
    </w:p>
    <w:p w:rsidR="00DD75EA" w:rsidRPr="00933EA2" w:rsidRDefault="00DD75EA" w:rsidP="00933EA2">
      <w:pPr>
        <w:jc w:val="both"/>
      </w:pPr>
      <w:r>
        <w:t>The bodies registered on the list of certification bodies, because of their technical expertise prior to the date of publication of this decree, will remain on the list until the end of the term set by the provisions in force on the date of registration.</w:t>
      </w:r>
    </w:p>
    <w:p w:rsidR="00D13FBA" w:rsidRPr="00933EA2" w:rsidRDefault="00DD75EA" w:rsidP="00933EA2">
      <w:pPr>
        <w:jc w:val="both"/>
      </w:pPr>
      <w:r>
        <w:t>The bodies registered on the list of certification bodies, because of their technical expertise in their capacity as subcontractors prior to the date of publication of this decree, will remain on the list until the end of the term set by the provisions in force on the date of registration. They may propose certification missions primarily under the provisions of this decree, as of its publication.</w:t>
      </w:r>
    </w:p>
    <w:p w:rsidR="001441BB" w:rsidRPr="00933EA2" w:rsidRDefault="001441BB" w:rsidP="00933EA2">
      <w:pPr>
        <w:jc w:val="both"/>
      </w:pPr>
    </w:p>
    <w:p w:rsidR="008701C9" w:rsidRPr="00933EA2" w:rsidRDefault="008701C9" w:rsidP="00933EA2">
      <w:pPr>
        <w:jc w:val="both"/>
      </w:pPr>
    </w:p>
    <w:p w:rsidR="008701C9" w:rsidRPr="00933EA2" w:rsidRDefault="008701C9" w:rsidP="00933EA2">
      <w:pPr>
        <w:keepNext/>
        <w:keepLines/>
        <w:jc w:val="center"/>
        <w:rPr>
          <w:b/>
        </w:rPr>
      </w:pPr>
      <w:r>
        <w:rPr>
          <w:b/>
        </w:rPr>
        <w:t>TITLE IV: MAXIMUM RATIO OF AMOUNTS PAID ON AVERAGE TO PLAYERS BY ACCREDITED ONLINE HORSE-RACING AND SPORTS BETTING OPERATORS</w:t>
      </w:r>
    </w:p>
    <w:p w:rsidR="00DD75EA" w:rsidRPr="00933EA2" w:rsidRDefault="00DD75EA" w:rsidP="00933EA2">
      <w:pPr>
        <w:pStyle w:val="BodyText"/>
        <w:keepNext/>
        <w:keepLines/>
      </w:pPr>
    </w:p>
    <w:p w:rsidR="008701C9" w:rsidRPr="00933EA2" w:rsidRDefault="008701C9" w:rsidP="00933EA2">
      <w:pPr>
        <w:pStyle w:val="BodyText"/>
        <w:keepNext/>
        <w:keepLines/>
        <w:jc w:val="center"/>
        <w:rPr>
          <w:b/>
        </w:rPr>
      </w:pPr>
      <w:r>
        <w:rPr>
          <w:b/>
        </w:rPr>
        <w:t>Article 25</w:t>
      </w:r>
    </w:p>
    <w:p w:rsidR="008701C9" w:rsidRPr="00933EA2" w:rsidRDefault="008701C9" w:rsidP="00933EA2">
      <w:pPr>
        <w:pStyle w:val="BodyText"/>
        <w:keepNext/>
        <w:keepLines/>
      </w:pPr>
    </w:p>
    <w:p w:rsidR="008701C9" w:rsidRPr="00933EA2" w:rsidRDefault="008701C9" w:rsidP="00933EA2">
      <w:pPr>
        <w:pStyle w:val="BodyText"/>
        <w:jc w:val="both"/>
      </w:pPr>
      <w:r>
        <w:t>The maximum proportion of the average amounts paid out to the players mentioned in Article 13(II) of the above-mentioned Law of 12 May 2010 shall be defined as the ratio between the amounts paid out to players by the betting operator and the stakes placed by these players.</w:t>
      </w:r>
    </w:p>
    <w:p w:rsidR="008701C9" w:rsidRPr="00933EA2" w:rsidRDefault="008701C9" w:rsidP="00933EA2">
      <w:pPr>
        <w:pStyle w:val="BodyText"/>
        <w:jc w:val="both"/>
      </w:pPr>
    </w:p>
    <w:p w:rsidR="008701C9" w:rsidRPr="00933EA2" w:rsidRDefault="008701C9" w:rsidP="00933EA2">
      <w:pPr>
        <w:pStyle w:val="BodyText"/>
        <w:keepNext/>
        <w:keepLines/>
        <w:jc w:val="center"/>
        <w:rPr>
          <w:b/>
        </w:rPr>
      </w:pPr>
      <w:r>
        <w:rPr>
          <w:b/>
        </w:rPr>
        <w:t>Article 26</w:t>
      </w:r>
    </w:p>
    <w:p w:rsidR="008701C9" w:rsidRPr="00933EA2" w:rsidRDefault="008701C9" w:rsidP="00933EA2">
      <w:pPr>
        <w:keepNext/>
        <w:keepLines/>
        <w:jc w:val="both"/>
        <w:rPr>
          <w:strike/>
        </w:rPr>
      </w:pPr>
    </w:p>
    <w:p w:rsidR="008701C9" w:rsidRPr="00933EA2" w:rsidRDefault="008701C9" w:rsidP="00933EA2">
      <w:pPr>
        <w:jc w:val="both"/>
      </w:pPr>
      <w:r>
        <w:t>The amounts paid out to players shall consist of all of the cash or in-kind earnings that are due as of the date of completion of the event(s) on which the game is based, including amounts contributed by the operator, provided that the player can ask that they be paid into their payment account.</w:t>
      </w:r>
    </w:p>
    <w:p w:rsidR="008701C9" w:rsidRPr="00933EA2" w:rsidRDefault="008701C9" w:rsidP="00933EA2">
      <w:pPr>
        <w:jc w:val="both"/>
      </w:pPr>
    </w:p>
    <w:p w:rsidR="008701C9" w:rsidRPr="00933EA2" w:rsidRDefault="008701C9" w:rsidP="00933EA2">
      <w:pPr>
        <w:jc w:val="both"/>
      </w:pPr>
      <w:r>
        <w:t>The stakes placed by players shall consist of cash amounts placed by players and shall be accounted for on the date of completion of the event(s) on which the game is based.</w:t>
      </w:r>
    </w:p>
    <w:p w:rsidR="008701C9" w:rsidRDefault="008701C9" w:rsidP="00933EA2">
      <w:pPr>
        <w:pStyle w:val="BodyText"/>
        <w:keepNext/>
        <w:keepLines/>
        <w:jc w:val="center"/>
        <w:rPr>
          <w:b/>
        </w:rPr>
      </w:pPr>
      <w:r>
        <w:rPr>
          <w:b/>
        </w:rPr>
        <w:t>Article 27</w:t>
      </w:r>
    </w:p>
    <w:p w:rsidR="00933EA2" w:rsidRPr="00933EA2" w:rsidRDefault="00933EA2" w:rsidP="00933EA2">
      <w:pPr>
        <w:keepNext/>
        <w:keepLines/>
        <w:jc w:val="both"/>
        <w:rPr>
          <w:strike/>
        </w:rPr>
      </w:pPr>
    </w:p>
    <w:p w:rsidR="008701C9" w:rsidRPr="00933EA2" w:rsidRDefault="008701C9" w:rsidP="00933EA2">
      <w:pPr>
        <w:jc w:val="both"/>
      </w:pPr>
      <w:r>
        <w:t>The maximum proportion of the average amounts paid out to players in the context of online betting operations shall be 85 %.</w:t>
      </w:r>
    </w:p>
    <w:p w:rsidR="008701C9" w:rsidRPr="00933EA2" w:rsidRDefault="008701C9" w:rsidP="00933EA2">
      <w:pPr>
        <w:pStyle w:val="BodyText"/>
        <w:keepNext/>
        <w:keepLines/>
        <w:jc w:val="center"/>
        <w:rPr>
          <w:b/>
        </w:rPr>
      </w:pPr>
      <w:r>
        <w:rPr>
          <w:b/>
        </w:rPr>
        <w:t>Article 28</w:t>
      </w:r>
    </w:p>
    <w:p w:rsidR="008701C9" w:rsidRPr="00933EA2" w:rsidRDefault="008701C9" w:rsidP="00933EA2">
      <w:pPr>
        <w:keepNext/>
        <w:keepLines/>
        <w:jc w:val="both"/>
        <w:rPr>
          <w:strike/>
        </w:rPr>
      </w:pPr>
    </w:p>
    <w:p w:rsidR="008701C9" w:rsidRPr="00933EA2" w:rsidRDefault="008701C9" w:rsidP="00933EA2">
      <w:pPr>
        <w:jc w:val="both"/>
      </w:pPr>
      <w:r>
        <w:t>For the purposes of Article 28, the maximum proportion of the average amounts paid out to players:</w:t>
      </w:r>
    </w:p>
    <w:p w:rsidR="008701C9" w:rsidRPr="00933EA2" w:rsidRDefault="008701C9" w:rsidP="00933EA2">
      <w:pPr>
        <w:ind w:left="708"/>
        <w:jc w:val="both"/>
      </w:pPr>
      <w:r>
        <w:t>1. shall be assessed accreditation by accreditation;</w:t>
      </w:r>
    </w:p>
    <w:p w:rsidR="008701C9" w:rsidRPr="00933EA2" w:rsidRDefault="008701C9" w:rsidP="00933EA2">
      <w:pPr>
        <w:ind w:left="708"/>
        <w:jc w:val="both"/>
      </w:pPr>
      <w:r>
        <w:t>2. shall be assessed annually, based on the calendar year.</w:t>
      </w:r>
    </w:p>
    <w:p w:rsidR="008701C9" w:rsidRPr="00933EA2" w:rsidRDefault="008701C9" w:rsidP="00933EA2">
      <w:pPr>
        <w:ind w:left="708"/>
        <w:jc w:val="both"/>
      </w:pPr>
    </w:p>
    <w:p w:rsidR="008701C9" w:rsidRPr="00933EA2" w:rsidRDefault="008701C9" w:rsidP="00933EA2">
      <w:pPr>
        <w:rPr>
          <w:b/>
        </w:rPr>
      </w:pPr>
    </w:p>
    <w:p w:rsidR="008701C9" w:rsidRDefault="008701C9" w:rsidP="00933EA2">
      <w:pPr>
        <w:pStyle w:val="BodyText"/>
        <w:keepNext/>
        <w:keepLines/>
        <w:jc w:val="center"/>
        <w:rPr>
          <w:b/>
        </w:rPr>
      </w:pPr>
      <w:r>
        <w:rPr>
          <w:b/>
        </w:rPr>
        <w:lastRenderedPageBreak/>
        <w:t>Article 29</w:t>
      </w:r>
    </w:p>
    <w:p w:rsidR="00933EA2" w:rsidRPr="00933EA2" w:rsidRDefault="00933EA2" w:rsidP="00933EA2">
      <w:pPr>
        <w:keepNext/>
        <w:keepLines/>
        <w:rPr>
          <w:b/>
        </w:rPr>
      </w:pPr>
    </w:p>
    <w:p w:rsidR="008701C9" w:rsidRPr="00933EA2" w:rsidRDefault="008701C9" w:rsidP="00933EA2">
      <w:pPr>
        <w:spacing w:before="100" w:beforeAutospacing="1" w:after="100" w:afterAutospacing="1"/>
        <w:jc w:val="both"/>
      </w:pPr>
      <w:r>
        <w:t>I. ― Every quarter, the operator shall send the National Gambling Authority a document for each accreditation that it holds as an online betting operator, summarising all of the amounts that it has paid out or which are payable to the players, and all of the stakes that they have placed.</w:t>
      </w:r>
    </w:p>
    <w:p w:rsidR="008701C9" w:rsidRPr="00933EA2" w:rsidRDefault="008701C9" w:rsidP="00933EA2">
      <w:pPr>
        <w:spacing w:before="100" w:beforeAutospacing="1" w:after="100" w:afterAutospacing="1"/>
        <w:jc w:val="both"/>
      </w:pPr>
      <w:r>
        <w:t>II. ― Winnings in kind shall be valued by the operator so that they can be included in the calculation of the proportion of the amounts that it has paid out to the players; the operator shall inform the National Gambling Authority of the elements on which it has based this valuation.</w:t>
      </w:r>
    </w:p>
    <w:p w:rsidR="008701C9" w:rsidRPr="00933EA2" w:rsidRDefault="008701C9" w:rsidP="00933EA2">
      <w:pPr>
        <w:spacing w:before="100" w:beforeAutospacing="1" w:after="100" w:afterAutospacing="1"/>
        <w:jc w:val="both"/>
      </w:pPr>
      <w:r>
        <w:t>III. ― This document shall be submitted:</w:t>
      </w:r>
    </w:p>
    <w:p w:rsidR="008701C9" w:rsidRPr="00933EA2" w:rsidRDefault="008701C9" w:rsidP="00933EA2">
      <w:pPr>
        <w:spacing w:before="100" w:beforeAutospacing="1" w:after="100" w:afterAutospacing="1"/>
        <w:jc w:val="both"/>
      </w:pPr>
      <w:r>
        <w:t>1. no later than 15 April in the case of betting operations performed during the first quarter of the current year;</w:t>
      </w:r>
    </w:p>
    <w:p w:rsidR="008701C9" w:rsidRPr="00933EA2" w:rsidRDefault="008701C9" w:rsidP="00933EA2">
      <w:pPr>
        <w:spacing w:before="100" w:beforeAutospacing="1" w:after="100" w:afterAutospacing="1"/>
        <w:jc w:val="both"/>
      </w:pPr>
      <w:r>
        <w:t>2. no later than 15 July in the case of betting operations performed during the second quarter of the current year;</w:t>
      </w:r>
    </w:p>
    <w:p w:rsidR="008701C9" w:rsidRPr="00933EA2" w:rsidRDefault="008701C9" w:rsidP="00933EA2">
      <w:pPr>
        <w:spacing w:before="100" w:beforeAutospacing="1" w:after="100" w:afterAutospacing="1"/>
        <w:jc w:val="both"/>
      </w:pPr>
      <w:r>
        <w:t>3. no later than 15 October in the case of betting operations performed during the third quarter of the current year;</w:t>
      </w:r>
    </w:p>
    <w:p w:rsidR="008701C9" w:rsidRPr="00933EA2" w:rsidRDefault="008701C9" w:rsidP="00933EA2">
      <w:pPr>
        <w:spacing w:before="100" w:beforeAutospacing="1" w:after="100" w:afterAutospacing="1"/>
        <w:jc w:val="both"/>
      </w:pPr>
      <w:r>
        <w:t>4. no later than 15 January in the case of betting operations performed during the fourth quarter of the previous year.</w:t>
      </w:r>
    </w:p>
    <w:p w:rsidR="008701C9" w:rsidRPr="00933EA2" w:rsidRDefault="008701C9" w:rsidP="00933EA2">
      <w:pPr>
        <w:jc w:val="both"/>
        <w:rPr>
          <w:u w:val="single"/>
        </w:rPr>
      </w:pPr>
    </w:p>
    <w:p w:rsidR="008701C9" w:rsidRDefault="008701C9" w:rsidP="00933EA2">
      <w:pPr>
        <w:pStyle w:val="BodyText"/>
        <w:keepNext/>
        <w:keepLines/>
        <w:jc w:val="center"/>
        <w:rPr>
          <w:b/>
        </w:rPr>
      </w:pPr>
      <w:r>
        <w:rPr>
          <w:b/>
        </w:rPr>
        <w:t>Article 30</w:t>
      </w:r>
    </w:p>
    <w:p w:rsidR="00933EA2" w:rsidRPr="00933EA2" w:rsidRDefault="00933EA2" w:rsidP="00933EA2">
      <w:pPr>
        <w:keepNext/>
        <w:keepLines/>
        <w:rPr>
          <w:b/>
        </w:rPr>
      </w:pPr>
    </w:p>
    <w:p w:rsidR="008701C9" w:rsidRPr="00933EA2" w:rsidRDefault="008701C9" w:rsidP="00933EA2">
      <w:pPr>
        <w:spacing w:before="100" w:beforeAutospacing="1" w:after="100" w:afterAutospacing="1"/>
        <w:jc w:val="both"/>
      </w:pPr>
      <w:r>
        <w:t xml:space="preserve">Operators holding the accreditation provided for under the above-mentioned </w:t>
      </w:r>
      <w:hyperlink r:id="rId6">
        <w:r>
          <w:t>Article 21 of the Law of 12 May 2010</w:t>
        </w:r>
      </w:hyperlink>
      <w:r>
        <w:t>, who decide to pool the bets placed by their own betters amongst themselves shall to this end conclude a pooling agreement in writing.</w:t>
      </w:r>
    </w:p>
    <w:p w:rsidR="008701C9" w:rsidRPr="00452EF3" w:rsidRDefault="008701C9" w:rsidP="00933EA2">
      <w:pPr>
        <w:spacing w:after="240"/>
        <w:jc w:val="both"/>
      </w:pPr>
      <w:r>
        <w:t>A copy of the pooling agreement shall be signed and submitted to the National Gambling Authority.</w:t>
      </w:r>
    </w:p>
    <w:p w:rsidR="008701C9" w:rsidRPr="00933EA2" w:rsidRDefault="008701C9" w:rsidP="00933EA2">
      <w:pPr>
        <w:spacing w:after="240"/>
        <w:jc w:val="both"/>
      </w:pPr>
      <w:r>
        <w:t>The agreement shall define the rights and obligations of accredited operators party to the agreement and determine in particular:</w:t>
      </w:r>
    </w:p>
    <w:p w:rsidR="008701C9" w:rsidRPr="00933EA2" w:rsidRDefault="008701C9" w:rsidP="00933EA2">
      <w:pPr>
        <w:spacing w:after="240"/>
        <w:jc w:val="both"/>
      </w:pPr>
      <w:r>
        <w:t>1. which person is responsible for administering the pooled funds to ensure that the accredited operators respect the maximum ratio of average amounts paid out to players defined under Article 3;</w:t>
      </w:r>
    </w:p>
    <w:p w:rsidR="008701C9" w:rsidRPr="00933EA2" w:rsidRDefault="008701C9" w:rsidP="00933EA2">
      <w:pPr>
        <w:spacing w:after="240"/>
        <w:jc w:val="both"/>
      </w:pPr>
      <w:r>
        <w:t>2. concerning horse-racing betting, the race or racing event and the type of results that are subject to pooling;</w:t>
      </w:r>
    </w:p>
    <w:p w:rsidR="008701C9" w:rsidRPr="00933EA2" w:rsidRDefault="008701C9" w:rsidP="00933EA2">
      <w:pPr>
        <w:spacing w:after="240"/>
        <w:jc w:val="both"/>
      </w:pPr>
      <w:r>
        <w:t>3. concerning sports betting, the sports competition or event and the type of results that are subject to pooling;</w:t>
      </w:r>
    </w:p>
    <w:p w:rsidR="008701C9" w:rsidRPr="00933EA2" w:rsidRDefault="008701C9" w:rsidP="00933EA2">
      <w:pPr>
        <w:spacing w:after="240"/>
        <w:jc w:val="both"/>
      </w:pPr>
      <w:r>
        <w:t>4. the procedures for managing bonuses and bet and payout matching defined by the operators to comply with the ratio established in Article 27;</w:t>
      </w:r>
    </w:p>
    <w:p w:rsidR="008701C9" w:rsidRPr="00933EA2" w:rsidRDefault="008701C9" w:rsidP="00933EA2">
      <w:pPr>
        <w:spacing w:after="240"/>
        <w:jc w:val="both"/>
      </w:pPr>
      <w:r>
        <w:lastRenderedPageBreak/>
        <w:t>5. the technical procedures for pooling funds.</w:t>
      </w:r>
    </w:p>
    <w:p w:rsidR="008701C9" w:rsidRPr="00933EA2" w:rsidRDefault="008701C9" w:rsidP="00933EA2">
      <w:pPr>
        <w:jc w:val="both"/>
        <w:rPr>
          <w:u w:val="single"/>
        </w:rPr>
      </w:pPr>
    </w:p>
    <w:p w:rsidR="008701C9" w:rsidRPr="00933EA2" w:rsidRDefault="00B705CF" w:rsidP="00933EA2">
      <w:pPr>
        <w:pStyle w:val="BodyText"/>
        <w:keepNext/>
        <w:keepLines/>
        <w:jc w:val="center"/>
        <w:rPr>
          <w:b/>
        </w:rPr>
      </w:pPr>
      <w:r>
        <w:rPr>
          <w:b/>
        </w:rPr>
        <w:t>Article 31</w:t>
      </w:r>
    </w:p>
    <w:p w:rsidR="008701C9" w:rsidRPr="00933EA2" w:rsidRDefault="008701C9" w:rsidP="00933EA2">
      <w:pPr>
        <w:keepNext/>
        <w:keepLines/>
        <w:rPr>
          <w:b/>
        </w:rPr>
      </w:pPr>
    </w:p>
    <w:p w:rsidR="008701C9" w:rsidRPr="00933EA2" w:rsidRDefault="008701C9" w:rsidP="00933EA2">
      <w:pPr>
        <w:jc w:val="both"/>
      </w:pPr>
      <w:r>
        <w:t>The ratio of average amounts paid out to players, or the players’ payout ratio (TRJ), shall be determined for each accredited operator party to a pooling agreement using the following formula:</w:t>
      </w:r>
    </w:p>
    <w:p w:rsidR="008701C9" w:rsidRPr="00933EA2" w:rsidRDefault="008701C9" w:rsidP="00933EA2">
      <w:pPr>
        <w:spacing w:before="100" w:beforeAutospacing="1" w:after="100" w:afterAutospacing="1"/>
        <w:jc w:val="both"/>
      </w:pPr>
      <w:r>
        <w:t>You may consult the formula in the facsimile of OJ No 0244 of 21 October 2015, text No 6, at the following address:</w:t>
      </w:r>
    </w:p>
    <w:p w:rsidR="008701C9" w:rsidRPr="00933EA2" w:rsidRDefault="0028694A" w:rsidP="00933EA2">
      <w:pPr>
        <w:spacing w:before="100" w:beforeAutospacing="1" w:after="100" w:afterAutospacing="1"/>
        <w:jc w:val="both"/>
      </w:pPr>
      <w:hyperlink r:id="rId7">
        <w:r w:rsidR="00452EF3">
          <w:rPr>
            <w:color w:val="0000FF"/>
            <w:u w:val="single"/>
          </w:rPr>
          <w:t>http://www.legifrance.gouv.fr/jopdf/common/jo_pdf.jsp?numJO=0&amp;dateJO=20151021&amp;numTexte=6&amp;pageDebut=19518&amp;pageFin=19519</w:t>
        </w:r>
      </w:hyperlink>
    </w:p>
    <w:p w:rsidR="008701C9" w:rsidRPr="00933EA2" w:rsidRDefault="008701C9" w:rsidP="00933EA2">
      <w:pPr>
        <w:spacing w:before="100" w:beforeAutospacing="1" w:after="100" w:afterAutospacing="1"/>
        <w:jc w:val="both"/>
      </w:pPr>
      <w:r>
        <w:t>Mises(Mi) is the total amount of stakes placed by players with the accredited operator in fund Mi.</w:t>
      </w:r>
    </w:p>
    <w:p w:rsidR="008701C9" w:rsidRPr="00933EA2" w:rsidRDefault="008701C9" w:rsidP="00933EA2">
      <w:pPr>
        <w:spacing w:before="100" w:beforeAutospacing="1" w:after="100" w:afterAutospacing="1"/>
        <w:jc w:val="both"/>
      </w:pPr>
      <w:r>
        <w:t>M0 is a fund that has not been pooled with other accredited operators. Depending on the situation, this fund will either be a fund belonging to the accredited operator, or a fund pooled by that operator with other operators that do not hold the accreditation provided for under Article 21 of the above-mentioned Law of 12 May 2010.</w:t>
      </w:r>
    </w:p>
    <w:p w:rsidR="008701C9" w:rsidRPr="00933EA2" w:rsidRDefault="008701C9" w:rsidP="00933EA2">
      <w:pPr>
        <w:spacing w:before="100" w:beforeAutospacing="1" w:after="100" w:afterAutospacing="1"/>
        <w:jc w:val="both"/>
      </w:pPr>
      <w:r>
        <w:t>Mi where i≠0 is a fund pooled with other operators accredited through contract i.</w:t>
      </w:r>
    </w:p>
    <w:p w:rsidR="008701C9" w:rsidRPr="00933EA2" w:rsidRDefault="008701C9" w:rsidP="00933EA2">
      <w:pPr>
        <w:spacing w:before="100" w:beforeAutospacing="1" w:after="100" w:afterAutospacing="1"/>
        <w:jc w:val="both"/>
      </w:pPr>
      <w:r>
        <w:t>∑nj = 0 Mises(Mj) is the total amount of stakes placed with the accredited operator by its players.</w:t>
      </w:r>
    </w:p>
    <w:p w:rsidR="008701C9" w:rsidRPr="00933EA2" w:rsidRDefault="008701C9" w:rsidP="00933EA2">
      <w:pPr>
        <w:spacing w:before="100" w:beforeAutospacing="1" w:after="100" w:afterAutospacing="1"/>
        <w:jc w:val="both"/>
      </w:pPr>
      <w:r>
        <w:t>TRJ(M0) is the players’ payout ratio of the operator’s fund that has not been pooled with other accredited operators. TRJ(M0) is calculated according to the general method indicated in Articles 1 and 2, exclusively considering the elements linked to operations that have not been pooled with accredited operators and which have been performed exclusively by the operator’s players.</w:t>
      </w:r>
    </w:p>
    <w:p w:rsidR="008701C9" w:rsidRPr="00933EA2" w:rsidRDefault="008701C9" w:rsidP="00933EA2">
      <w:pPr>
        <w:spacing w:before="100" w:beforeAutospacing="1" w:after="100" w:afterAutospacing="1"/>
        <w:jc w:val="both"/>
      </w:pPr>
      <w:r>
        <w:t>TRJ(Mi) where i≠0 is the players’ payout ratio of the pooled fund Mi.</w:t>
      </w:r>
    </w:p>
    <w:p w:rsidR="008701C9" w:rsidRPr="00933EA2" w:rsidRDefault="008701C9" w:rsidP="00933EA2">
      <w:pPr>
        <w:spacing w:before="100" w:beforeAutospacing="1" w:after="100" w:afterAutospacing="1"/>
        <w:jc w:val="both"/>
      </w:pPr>
      <w:r>
        <w:t>TRJ(Mi) is calculated according to the general method indicated in Articles 1 and 2, exclusively taking into account the elements linked to the pooling agreement i and concerning all the players of the accredited operators party to this pooling agreement.</w:t>
      </w:r>
    </w:p>
    <w:p w:rsidR="008701C9" w:rsidRPr="00933EA2" w:rsidRDefault="00B705CF" w:rsidP="00933EA2">
      <w:pPr>
        <w:pStyle w:val="BodyText"/>
        <w:keepNext/>
        <w:keepLines/>
        <w:jc w:val="center"/>
        <w:rPr>
          <w:b/>
        </w:rPr>
      </w:pPr>
      <w:r>
        <w:rPr>
          <w:b/>
        </w:rPr>
        <w:t>Article 32</w:t>
      </w:r>
    </w:p>
    <w:p w:rsidR="008701C9" w:rsidRPr="00933EA2" w:rsidRDefault="008701C9" w:rsidP="00933EA2">
      <w:pPr>
        <w:keepNext/>
        <w:keepLines/>
        <w:rPr>
          <w:b/>
        </w:rPr>
      </w:pPr>
    </w:p>
    <w:p w:rsidR="008701C9" w:rsidRPr="00933EA2" w:rsidRDefault="008701C9" w:rsidP="00933EA2">
      <w:pPr>
        <w:jc w:val="both"/>
      </w:pPr>
      <w:r>
        <w:t xml:space="preserve">The ratio of average amounts paid out to players by an operator holding the accreditation provided for under </w:t>
      </w:r>
      <w:hyperlink r:id="rId8">
        <w:r>
          <w:t>Article 21 of the above-mentioned Law of 12 May 2010</w:t>
        </w:r>
      </w:hyperlink>
      <w:r>
        <w:t>, that pools the bets placed by its own players exclusively with those placed by the players of an operator that does not hold that accreditation, shall be determined pursuant to Articles 25 to 28.</w:t>
      </w:r>
    </w:p>
    <w:p w:rsidR="00C342AB" w:rsidRPr="00933EA2" w:rsidRDefault="00C342AB" w:rsidP="00933EA2">
      <w:pPr>
        <w:pStyle w:val="BodyText"/>
        <w:jc w:val="both"/>
      </w:pPr>
    </w:p>
    <w:p w:rsidR="00E83532" w:rsidRPr="00933EA2" w:rsidRDefault="00E83532" w:rsidP="007A780D">
      <w:pPr>
        <w:keepNext/>
        <w:keepLines/>
        <w:jc w:val="center"/>
        <w:rPr>
          <w:b/>
        </w:rPr>
      </w:pPr>
      <w:r>
        <w:rPr>
          <w:b/>
        </w:rPr>
        <w:lastRenderedPageBreak/>
        <w:t>TITLE V: CONDITIONS FOR MARKETING RIGHTS RELATING TO THE ORGANISATION OF BETS IN RELATION TO A SPORTS EVENT OR COMPETITION</w:t>
      </w:r>
    </w:p>
    <w:p w:rsidR="00E83532" w:rsidRPr="00933EA2" w:rsidRDefault="00E83532" w:rsidP="007A780D">
      <w:pPr>
        <w:keepNext/>
        <w:keepLines/>
        <w:jc w:val="center"/>
        <w:rPr>
          <w:b/>
        </w:rPr>
      </w:pPr>
    </w:p>
    <w:p w:rsidR="00E83532" w:rsidRPr="00933EA2" w:rsidRDefault="00E83532" w:rsidP="007A780D">
      <w:pPr>
        <w:keepNext/>
        <w:keepLines/>
        <w:jc w:val="center"/>
        <w:rPr>
          <w:b/>
        </w:rPr>
      </w:pPr>
    </w:p>
    <w:p w:rsidR="00E83532" w:rsidRPr="00933EA2" w:rsidRDefault="00B705CF" w:rsidP="007A780D">
      <w:pPr>
        <w:pStyle w:val="BodyText"/>
        <w:keepNext/>
        <w:keepLines/>
        <w:jc w:val="center"/>
        <w:rPr>
          <w:b/>
        </w:rPr>
      </w:pPr>
      <w:r>
        <w:rPr>
          <w:b/>
        </w:rPr>
        <w:t>Article 33</w:t>
      </w:r>
    </w:p>
    <w:p w:rsidR="00E83532" w:rsidRPr="00933EA2" w:rsidRDefault="00E83532" w:rsidP="007A780D">
      <w:pPr>
        <w:keepNext/>
        <w:keepLines/>
        <w:rPr>
          <w:b/>
        </w:rPr>
      </w:pPr>
    </w:p>
    <w:p w:rsidR="001A748C" w:rsidRPr="00933EA2" w:rsidRDefault="001A748C" w:rsidP="00933EA2">
      <w:pPr>
        <w:jc w:val="both"/>
      </w:pPr>
      <w:r>
        <w:t>Sports federations and organisers of sports events shall market the exclusive rights mentioned in Article 137 of the aforementioned law of 22 May 2019 with the company holding the accreditation and, on a non-exclusive basis, with online sports betting operators holding the accreditation provided for in Article 21 of the above-mentioned Law of 12 May 2010, the right to organise betting on sports events or competitions that they organise, under the conditions provided for in Articles 34 to 37 of this decree.</w:t>
      </w:r>
    </w:p>
    <w:p w:rsidR="00E83532" w:rsidRPr="00933EA2" w:rsidRDefault="00E83532" w:rsidP="00933EA2">
      <w:pPr>
        <w:jc w:val="both"/>
      </w:pPr>
    </w:p>
    <w:p w:rsidR="00E83532" w:rsidRPr="00933EA2" w:rsidRDefault="00B705CF" w:rsidP="00933EA2">
      <w:pPr>
        <w:pStyle w:val="BodyText"/>
        <w:keepNext/>
        <w:keepLines/>
        <w:jc w:val="center"/>
        <w:rPr>
          <w:b/>
        </w:rPr>
      </w:pPr>
      <w:r>
        <w:rPr>
          <w:b/>
        </w:rPr>
        <w:t>Article 34</w:t>
      </w:r>
    </w:p>
    <w:p w:rsidR="00E83532" w:rsidRPr="00933EA2" w:rsidRDefault="00E83532" w:rsidP="00933EA2">
      <w:pPr>
        <w:keepNext/>
        <w:keepLines/>
        <w:rPr>
          <w:b/>
        </w:rPr>
      </w:pPr>
    </w:p>
    <w:p w:rsidR="00E83532" w:rsidRPr="00933EA2" w:rsidRDefault="00E83532" w:rsidP="00933EA2">
      <w:pPr>
        <w:jc w:val="both"/>
      </w:pPr>
      <w:r>
        <w:t>Sports federations and organisers of sports events shall market the right to organise betting in accordance with a non-discriminatory consultation procedure open to all operators who have obtained the sports betting operator's accreditation provided for in Article 21 of the above-mentioned Law of 12 May 2010.</w:t>
      </w:r>
    </w:p>
    <w:p w:rsidR="00E83532" w:rsidRPr="00933EA2" w:rsidRDefault="00E83532" w:rsidP="00933EA2">
      <w:pPr>
        <w:jc w:val="both"/>
      </w:pPr>
      <w:r>
        <w:t>This marketing may not involve separate lots.</w:t>
      </w:r>
    </w:p>
    <w:p w:rsidR="00E83532" w:rsidRPr="00933EA2" w:rsidRDefault="00E83532" w:rsidP="00933EA2">
      <w:pPr>
        <w:jc w:val="both"/>
      </w:pPr>
      <w:r>
        <w:t>Specifications drawn up by the sports federation or the organiser of sports events shall be sent to each authorised operator on request.</w:t>
      </w:r>
    </w:p>
    <w:p w:rsidR="00E83532" w:rsidRPr="00933EA2" w:rsidRDefault="00E83532" w:rsidP="00933EA2">
      <w:pPr>
        <w:jc w:val="both"/>
      </w:pPr>
      <w:r>
        <w:t>These specifications shall:</w:t>
      </w:r>
    </w:p>
    <w:p w:rsidR="00E83532" w:rsidRPr="00933EA2" w:rsidRDefault="00E83532" w:rsidP="00933EA2">
      <w:pPr>
        <w:jc w:val="both"/>
      </w:pPr>
      <w:r>
        <w:t>1. specify the timetable of the award procedure and the rules governing the consultation, particularly regarding the fixing of the price under the conditions of Article 36;</w:t>
      </w:r>
    </w:p>
    <w:p w:rsidR="00E83532" w:rsidRPr="00933EA2" w:rsidRDefault="00E83532" w:rsidP="00933EA2">
      <w:pPr>
        <w:jc w:val="both"/>
      </w:pPr>
      <w:r>
        <w:t>2. specify the purpose of the consultation, which may relate to one or more sports events or competitions, in respect of the categories of events and sports competitions defined by the National Gambling Authority;</w:t>
      </w:r>
    </w:p>
    <w:p w:rsidR="00E83532" w:rsidRPr="00933EA2" w:rsidRDefault="00E83532" w:rsidP="00933EA2">
      <w:pPr>
        <w:jc w:val="both"/>
      </w:pPr>
      <w:r>
        <w:t>3. establish the duration of the operating right;</w:t>
      </w:r>
    </w:p>
    <w:p w:rsidR="00E83532" w:rsidRPr="00933EA2" w:rsidRDefault="00E83532" w:rsidP="00933EA2">
      <w:pPr>
        <w:jc w:val="both"/>
      </w:pPr>
      <w:r>
        <w:t>4. specify the surveillance and detection measures that the sports federation or the organiser of sports events intends to implement to prevent the risk of harm to the integrity of the competitions or sports events to which the consultation relates;</w:t>
      </w:r>
    </w:p>
    <w:p w:rsidR="00E83532" w:rsidRPr="00933EA2" w:rsidRDefault="00E83532" w:rsidP="00933EA2">
      <w:pPr>
        <w:jc w:val="both"/>
      </w:pPr>
      <w:r>
        <w:t>5. establish the accredited operator’s obligations of information and transparency in terms of fraud detection and preventing the risk of damage to the integrity of sports events and competitions.</w:t>
      </w:r>
    </w:p>
    <w:p w:rsidR="00E83532" w:rsidRPr="00933EA2" w:rsidRDefault="00E83532" w:rsidP="00933EA2">
      <w:pPr>
        <w:jc w:val="both"/>
      </w:pPr>
    </w:p>
    <w:p w:rsidR="00E83532" w:rsidRPr="00933EA2" w:rsidRDefault="00B705CF" w:rsidP="00933EA2">
      <w:pPr>
        <w:pStyle w:val="BodyText"/>
        <w:keepNext/>
        <w:keepLines/>
        <w:jc w:val="center"/>
        <w:rPr>
          <w:b/>
        </w:rPr>
      </w:pPr>
      <w:r>
        <w:rPr>
          <w:b/>
        </w:rPr>
        <w:t>Article 35</w:t>
      </w:r>
    </w:p>
    <w:p w:rsidR="00E83532" w:rsidRPr="00933EA2" w:rsidRDefault="00E83532" w:rsidP="00933EA2">
      <w:pPr>
        <w:keepNext/>
        <w:keepLines/>
        <w:rPr>
          <w:b/>
        </w:rPr>
      </w:pPr>
    </w:p>
    <w:p w:rsidR="00116832" w:rsidRPr="00933EA2" w:rsidRDefault="00E83532" w:rsidP="00933EA2">
      <w:pPr>
        <w:jc w:val="both"/>
      </w:pPr>
      <w:r>
        <w:t>The betting organisation contract concluded, in accordance with Article L333-1-2 of the Sports Code, between a sports federation or an organiser of sports events and the company holding the exclusive rights to organise and exploit sports betting games on the basis of the provisions of Article 137(I) of the aforementioned law of 22 May 2019 shall specify in particular:</w:t>
      </w:r>
    </w:p>
    <w:p w:rsidR="00E83532" w:rsidRPr="00933EA2" w:rsidRDefault="00E83532" w:rsidP="00933EA2">
      <w:pPr>
        <w:jc w:val="both"/>
      </w:pPr>
      <w:r>
        <w:t>1. the surveillance and detection measures that the sports federation or the organiser of sports events intends to implement to prevent the risk of damage to the integrity of the competitions or sports events to which the contract relates;</w:t>
      </w:r>
    </w:p>
    <w:p w:rsidR="00E83532" w:rsidRPr="00933EA2" w:rsidRDefault="00E83532" w:rsidP="00933EA2">
      <w:pPr>
        <w:jc w:val="both"/>
      </w:pPr>
      <w:r>
        <w:t>2. the obligations of the company holding exclusive rights, regarding information and transparency in terms of fraud detection and preventing damage to the integrity of sports events and competitions.</w:t>
      </w:r>
    </w:p>
    <w:p w:rsidR="00E83532" w:rsidRPr="00933EA2" w:rsidRDefault="00E83532" w:rsidP="00933EA2">
      <w:pPr>
        <w:jc w:val="both"/>
        <w:rPr>
          <w:b/>
        </w:rPr>
      </w:pPr>
    </w:p>
    <w:p w:rsidR="00E83532" w:rsidRPr="00933EA2" w:rsidRDefault="00B705CF" w:rsidP="00933EA2">
      <w:pPr>
        <w:pStyle w:val="BodyText"/>
        <w:keepNext/>
        <w:keepLines/>
        <w:jc w:val="center"/>
        <w:rPr>
          <w:b/>
        </w:rPr>
      </w:pPr>
      <w:r>
        <w:rPr>
          <w:b/>
        </w:rPr>
        <w:lastRenderedPageBreak/>
        <w:t>Article 36</w:t>
      </w:r>
    </w:p>
    <w:p w:rsidR="00E83532" w:rsidRPr="00933EA2" w:rsidRDefault="00E83532" w:rsidP="00933EA2">
      <w:pPr>
        <w:keepNext/>
        <w:keepLines/>
        <w:rPr>
          <w:b/>
        </w:rPr>
      </w:pPr>
    </w:p>
    <w:p w:rsidR="00E83532" w:rsidRPr="00933EA2" w:rsidRDefault="00E83532" w:rsidP="00933EA2">
      <w:r>
        <w:t>The price of award of the right to organise betting shall be expressed as a proportion of the stakes.</w:t>
      </w:r>
    </w:p>
    <w:p w:rsidR="00E83532" w:rsidRPr="00933EA2" w:rsidRDefault="00E83532" w:rsidP="00933EA2">
      <w:pPr>
        <w:jc w:val="both"/>
        <w:rPr>
          <w:b/>
        </w:rPr>
      </w:pPr>
    </w:p>
    <w:p w:rsidR="00E83532" w:rsidRPr="00933EA2" w:rsidRDefault="00E83532" w:rsidP="00933EA2">
      <w:pPr>
        <w:pStyle w:val="BodyText"/>
        <w:keepNext/>
        <w:keepLines/>
        <w:jc w:val="center"/>
        <w:rPr>
          <w:b/>
        </w:rPr>
      </w:pPr>
      <w:r>
        <w:rPr>
          <w:b/>
        </w:rPr>
        <w:t>Article 37</w:t>
      </w:r>
    </w:p>
    <w:p w:rsidR="00E83532" w:rsidRPr="00933EA2" w:rsidRDefault="00E83532" w:rsidP="00933EA2">
      <w:pPr>
        <w:keepNext/>
        <w:keepLines/>
        <w:rPr>
          <w:b/>
        </w:rPr>
      </w:pPr>
    </w:p>
    <w:p w:rsidR="00E83532" w:rsidRPr="00933EA2" w:rsidRDefault="00E83532" w:rsidP="00933EA2">
      <w:pPr>
        <w:jc w:val="both"/>
      </w:pPr>
      <w:r>
        <w:t>The award of the right to organise betting must be granted to any accredited operator that makes the request during the duration of operation mentioned in Article 34(3) and for the remaining duration, as soon as it meets all of the conditions stipulated in the specifications and accepts the price resulting from the consultation provided for in Article 34.</w:t>
      </w:r>
    </w:p>
    <w:p w:rsidR="00E83532" w:rsidRPr="00933EA2" w:rsidRDefault="00E83532" w:rsidP="00933EA2">
      <w:pPr>
        <w:jc w:val="both"/>
      </w:pPr>
    </w:p>
    <w:p w:rsidR="00E83532" w:rsidRPr="00933EA2" w:rsidRDefault="000546D5" w:rsidP="00933EA2">
      <w:pPr>
        <w:pStyle w:val="BodyText"/>
        <w:keepNext/>
        <w:keepLines/>
        <w:jc w:val="center"/>
        <w:rPr>
          <w:b/>
        </w:rPr>
      </w:pPr>
      <w:r>
        <w:rPr>
          <w:b/>
        </w:rPr>
        <w:t>Article 38</w:t>
      </w:r>
    </w:p>
    <w:p w:rsidR="00E83532" w:rsidRPr="00933EA2" w:rsidRDefault="00E83532" w:rsidP="00933EA2">
      <w:pPr>
        <w:keepNext/>
        <w:keepLines/>
        <w:rPr>
          <w:b/>
        </w:rPr>
      </w:pPr>
    </w:p>
    <w:p w:rsidR="00E83532" w:rsidRPr="00933EA2" w:rsidRDefault="00E83532" w:rsidP="00933EA2">
      <w:pPr>
        <w:jc w:val="both"/>
      </w:pPr>
      <w:r>
        <w:t>The betting organisation contract concluded, in accordance with Article L333-1-2 of the Sports Code, between a sports federation or an organiser of sports events and an accredited company shall cease to produce all of its effects automatically if the latter loses the accreditation mentioned in Article 21 of the above-mentioned Law of 12 May 2010.</w:t>
      </w:r>
    </w:p>
    <w:p w:rsidR="00757561" w:rsidRPr="00933EA2" w:rsidRDefault="00757561" w:rsidP="00933EA2">
      <w:pPr>
        <w:jc w:val="both"/>
      </w:pPr>
    </w:p>
    <w:p w:rsidR="00E83532" w:rsidRPr="00933EA2" w:rsidRDefault="00E83532" w:rsidP="00933EA2">
      <w:pPr>
        <w:jc w:val="center"/>
        <w:rPr>
          <w:b/>
        </w:rPr>
      </w:pPr>
      <w:r>
        <w:rPr>
          <w:b/>
        </w:rPr>
        <w:t>TITLE VI: SPORTS COMPETITIONS AND TYPES OF SPORTING RESULTS DEFINED BY THE NATIONAL GAMBLING AUTHORITY</w:t>
      </w:r>
    </w:p>
    <w:p w:rsidR="00E83532" w:rsidRPr="00933EA2" w:rsidRDefault="00E83532" w:rsidP="00933EA2">
      <w:pPr>
        <w:jc w:val="center"/>
        <w:rPr>
          <w:b/>
        </w:rPr>
      </w:pPr>
    </w:p>
    <w:p w:rsidR="00E83532" w:rsidRPr="00933EA2" w:rsidRDefault="000546D5" w:rsidP="00933EA2">
      <w:pPr>
        <w:pStyle w:val="BodyText"/>
        <w:keepNext/>
        <w:keepLines/>
        <w:jc w:val="center"/>
        <w:rPr>
          <w:b/>
        </w:rPr>
      </w:pPr>
      <w:r>
        <w:rPr>
          <w:b/>
        </w:rPr>
        <w:t>Article 39</w:t>
      </w:r>
    </w:p>
    <w:p w:rsidR="00E83532" w:rsidRPr="00933EA2" w:rsidRDefault="00E83532" w:rsidP="00933EA2">
      <w:pPr>
        <w:keepNext/>
        <w:keepLines/>
        <w:rPr>
          <w:b/>
        </w:rPr>
      </w:pPr>
    </w:p>
    <w:p w:rsidR="00E83532" w:rsidRPr="00933EA2" w:rsidRDefault="00E83532" w:rsidP="00933EA2">
      <w:pPr>
        <w:jc w:val="both"/>
      </w:pPr>
      <w:r>
        <w:t>Any sports betting operator holding the accreditation referred to in Article 21 of the above-mentioned Law of 12 May 2010 or the company holding the exclusive rights referred to in Article 137 of the above-mentioned Law of 22 May 2019 may organise the placing of sports bets when these relate to:</w:t>
      </w:r>
    </w:p>
    <w:p w:rsidR="00E83532" w:rsidRPr="00933EA2" w:rsidRDefault="001D2F2A" w:rsidP="00933EA2">
      <w:pPr>
        <w:jc w:val="both"/>
      </w:pPr>
      <w:r>
        <w:t>1. one of the competitions or sports events defined by the National Gambling Authority according to the procedures defined in Article 40 of this decree;</w:t>
      </w:r>
    </w:p>
    <w:p w:rsidR="00E83532" w:rsidRPr="00933EA2" w:rsidRDefault="001D2F2A" w:rsidP="00933EA2">
      <w:pPr>
        <w:jc w:val="both"/>
      </w:pPr>
      <w:r>
        <w:t>2. the types of results defined by the National Gambling Authority according to the procedures mentioned in Article 41 of this decree.</w:t>
      </w:r>
    </w:p>
    <w:p w:rsidR="00E83532" w:rsidRPr="00933EA2" w:rsidRDefault="00E83532" w:rsidP="00933EA2">
      <w:pPr>
        <w:jc w:val="both"/>
      </w:pPr>
    </w:p>
    <w:p w:rsidR="00E83532" w:rsidRPr="00933EA2" w:rsidRDefault="000546D5" w:rsidP="00933EA2">
      <w:pPr>
        <w:pStyle w:val="BodyText"/>
        <w:keepNext/>
        <w:keepLines/>
        <w:jc w:val="center"/>
        <w:rPr>
          <w:b/>
        </w:rPr>
      </w:pPr>
      <w:r>
        <w:rPr>
          <w:b/>
        </w:rPr>
        <w:t>Article 40</w:t>
      </w:r>
    </w:p>
    <w:p w:rsidR="00E83532" w:rsidRPr="00933EA2" w:rsidRDefault="00E83532" w:rsidP="00933EA2">
      <w:pPr>
        <w:keepNext/>
        <w:keepLines/>
        <w:rPr>
          <w:b/>
        </w:rPr>
      </w:pPr>
    </w:p>
    <w:p w:rsidR="00E83532" w:rsidRPr="00933EA2" w:rsidRDefault="00E83532" w:rsidP="00933EA2">
      <w:pPr>
        <w:jc w:val="both"/>
      </w:pPr>
      <w:r>
        <w:t>I. ― For each sporting discipline, the National Gambling Authority shall define which sporting competitions or events may be used as a basis for the organisation of sports betting, distinguishing where appropriate between exclusive rights betting and online betting.</w:t>
      </w:r>
    </w:p>
    <w:p w:rsidR="00E83532" w:rsidRPr="00933EA2" w:rsidRDefault="000546D5" w:rsidP="00933EA2">
      <w:pPr>
        <w:jc w:val="both"/>
      </w:pPr>
      <w:r>
        <w:t>II. ― Competitions or sports events used as a basis for betting shall be defined, after consultation with the competent delegate federation, in coordination with the professional league when it was created, or, failing that, by the minister in charge of sports, depending notably on:</w:t>
      </w:r>
    </w:p>
    <w:p w:rsidR="00E83532" w:rsidRPr="00933EA2" w:rsidRDefault="00E83532" w:rsidP="00933EA2">
      <w:pPr>
        <w:jc w:val="both"/>
      </w:pPr>
      <w:r>
        <w:t>1. the nature of the organiser of the sporting competition or event, which must be either:</w:t>
      </w:r>
    </w:p>
    <w:p w:rsidR="00E83532" w:rsidRPr="00933EA2" w:rsidRDefault="001D2F2A" w:rsidP="00933EA2">
      <w:pPr>
        <w:jc w:val="both"/>
      </w:pPr>
      <w:r>
        <w:t>a) a sports federation mentioned in Article L131-1 of the Sports Code;</w:t>
      </w:r>
    </w:p>
    <w:p w:rsidR="00E83532" w:rsidRPr="00933EA2" w:rsidRDefault="001D2F2A" w:rsidP="00933EA2">
      <w:pPr>
        <w:jc w:val="both"/>
      </w:pPr>
      <w:r>
        <w:t>b) an international sports federation;</w:t>
      </w:r>
    </w:p>
    <w:p w:rsidR="00E83532" w:rsidRPr="00933EA2" w:rsidRDefault="001D2F2A" w:rsidP="00933EA2">
      <w:pPr>
        <w:jc w:val="both"/>
      </w:pPr>
      <w:r>
        <w:t>c) an international sports body;</w:t>
      </w:r>
    </w:p>
    <w:p w:rsidR="00E83532" w:rsidRPr="00933EA2" w:rsidRDefault="001D2F2A" w:rsidP="00933EA2">
      <w:pPr>
        <w:jc w:val="both"/>
      </w:pPr>
      <w:r>
        <w:t>d) a sporting event organiser mentioned in Article L331-5 or R331-4-1 of the Sports Code;</w:t>
      </w:r>
    </w:p>
    <w:p w:rsidR="00E83532" w:rsidRPr="00933EA2" w:rsidRDefault="001D2F2A" w:rsidP="00933EA2">
      <w:pPr>
        <w:jc w:val="both"/>
      </w:pPr>
      <w:r>
        <w:t>e) the organiser of a sporting event legally organised abroad;</w:t>
      </w:r>
    </w:p>
    <w:p w:rsidR="00E83532" w:rsidRPr="00933EA2" w:rsidRDefault="001D2F2A" w:rsidP="00933EA2">
      <w:pPr>
        <w:jc w:val="both"/>
      </w:pPr>
      <w:r>
        <w:t>2. the regulations applicable to these sporting competitions or events;</w:t>
      </w:r>
    </w:p>
    <w:p w:rsidR="00E83532" w:rsidRPr="00933EA2" w:rsidRDefault="001D2F2A" w:rsidP="00933EA2">
      <w:pPr>
        <w:jc w:val="both"/>
      </w:pPr>
      <w:r>
        <w:t>3. accessibility to the results of the sporting competition or event;</w:t>
      </w:r>
    </w:p>
    <w:p w:rsidR="00E83532" w:rsidRPr="00933EA2" w:rsidRDefault="001D2F2A" w:rsidP="00933EA2">
      <w:pPr>
        <w:jc w:val="both"/>
      </w:pPr>
      <w:r>
        <w:lastRenderedPageBreak/>
        <w:t>4. the age of the sports participants admitted to these sporting competitions or events;</w:t>
      </w:r>
    </w:p>
    <w:p w:rsidR="00E83532" w:rsidRPr="00933EA2" w:rsidRDefault="001D2F2A" w:rsidP="00933EA2">
      <w:pPr>
        <w:jc w:val="both"/>
      </w:pPr>
      <w:r>
        <w:t>5. the reputation and challenge of the sporting competition or event;</w:t>
      </w:r>
    </w:p>
    <w:p w:rsidR="00E83532" w:rsidRPr="00933EA2" w:rsidRDefault="001D2F2A" w:rsidP="00933EA2">
      <w:pPr>
        <w:jc w:val="both"/>
      </w:pPr>
      <w:r>
        <w:t>6. the risks of manipulation that the sporting competitions or events present.</w:t>
      </w:r>
    </w:p>
    <w:p w:rsidR="00E83532" w:rsidRPr="00933EA2" w:rsidRDefault="00E83532" w:rsidP="00933EA2">
      <w:pPr>
        <w:jc w:val="both"/>
      </w:pPr>
    </w:p>
    <w:p w:rsidR="00E83532" w:rsidRPr="00933EA2" w:rsidRDefault="000546D5" w:rsidP="00933EA2">
      <w:pPr>
        <w:jc w:val="both"/>
      </w:pPr>
      <w:r>
        <w:t>III. ― The National Gambling Authority may include only part of the sporting competition or event on the list with regard to the criteria defined in part II of this article.</w:t>
      </w:r>
    </w:p>
    <w:p w:rsidR="00E83532" w:rsidRPr="00933EA2" w:rsidRDefault="00E83532" w:rsidP="00933EA2">
      <w:pPr>
        <w:jc w:val="both"/>
      </w:pPr>
    </w:p>
    <w:p w:rsidR="00E83532" w:rsidRPr="00933EA2" w:rsidRDefault="000546D5" w:rsidP="00933EA2">
      <w:pPr>
        <w:jc w:val="center"/>
        <w:rPr>
          <w:b/>
        </w:rPr>
      </w:pPr>
      <w:r>
        <w:rPr>
          <w:b/>
        </w:rPr>
        <w:t>Article 41</w:t>
      </w:r>
    </w:p>
    <w:p w:rsidR="00E83532" w:rsidRPr="00933EA2" w:rsidRDefault="00E83532" w:rsidP="00933EA2">
      <w:pPr>
        <w:keepNext/>
        <w:keepLines/>
        <w:rPr>
          <w:b/>
        </w:rPr>
      </w:pPr>
    </w:p>
    <w:p w:rsidR="00E83532" w:rsidRPr="00933EA2" w:rsidRDefault="00E83532" w:rsidP="00933EA2">
      <w:pPr>
        <w:jc w:val="both"/>
      </w:pPr>
      <w:r>
        <w:t>I.― For each sporting discipline and, where applicable, for each competition or sporting event defined in accordance with the conditions set out in Article 40, the National Gambling Authority, after consultation with the competent delegate federation, in coordination with the professional league when it was created or, by default, the Minister for Sport, shall determine the types of results and the corresponding game phases that may be the subject of sports betting, distinguishing where applicable between exclusive rights and online betting.</w:t>
      </w:r>
    </w:p>
    <w:p w:rsidR="00933EA2" w:rsidRDefault="00933EA2" w:rsidP="00933EA2">
      <w:pPr>
        <w:jc w:val="both"/>
      </w:pPr>
    </w:p>
    <w:p w:rsidR="00E83532" w:rsidRPr="00933EA2" w:rsidRDefault="000546D5" w:rsidP="00933EA2">
      <w:pPr>
        <w:jc w:val="both"/>
      </w:pPr>
      <w:r>
        <w:t>II.― The types of results shall be defined taking into account the risks of manipulation that they present and the specificities of the sports discipline concerned.</w:t>
      </w:r>
    </w:p>
    <w:p w:rsidR="00E83532" w:rsidRPr="00933EA2" w:rsidRDefault="00E83532" w:rsidP="00933EA2">
      <w:pPr>
        <w:jc w:val="both"/>
      </w:pPr>
    </w:p>
    <w:p w:rsidR="00E83532" w:rsidRPr="00933EA2" w:rsidRDefault="00E83532" w:rsidP="00933EA2">
      <w:pPr>
        <w:jc w:val="both"/>
      </w:pPr>
      <w:r>
        <w:t>These types of results may be:</w:t>
      </w:r>
    </w:p>
    <w:p w:rsidR="00E83532" w:rsidRPr="00933EA2" w:rsidRDefault="00E83532" w:rsidP="00933EA2">
      <w:pPr>
        <w:jc w:val="both"/>
      </w:pPr>
    </w:p>
    <w:p w:rsidR="00E83532" w:rsidRPr="00933EA2" w:rsidRDefault="001D2F2A" w:rsidP="00933EA2">
      <w:pPr>
        <w:jc w:val="both"/>
      </w:pPr>
      <w:r>
        <w:t>1. the final results of sporting competitions or events;</w:t>
      </w:r>
    </w:p>
    <w:p w:rsidR="00E83532" w:rsidRPr="00933EA2" w:rsidRDefault="001D2F2A" w:rsidP="00933EA2">
      <w:pPr>
        <w:jc w:val="both"/>
      </w:pPr>
      <w:r>
        <w:t>2. the results of the game phases in sporting competitions or events;</w:t>
      </w:r>
    </w:p>
    <w:p w:rsidR="00E83532" w:rsidRPr="00933EA2" w:rsidRDefault="001D2F2A" w:rsidP="00933EA2">
      <w:pPr>
        <w:jc w:val="both"/>
      </w:pPr>
      <w:r>
        <w:t>3. any sporting event with a sporting challenge arising during a competition, a sporting event or a game phase.</w:t>
      </w:r>
    </w:p>
    <w:p w:rsidR="00E83532" w:rsidRPr="00933EA2" w:rsidRDefault="00E83532" w:rsidP="00933EA2">
      <w:pPr>
        <w:jc w:val="both"/>
      </w:pPr>
    </w:p>
    <w:p w:rsidR="00E83532" w:rsidRPr="00933EA2" w:rsidRDefault="00E83532" w:rsidP="00933EA2">
      <w:pPr>
        <w:jc w:val="both"/>
      </w:pPr>
      <w:r>
        <w:t>These types of results shall reflect objective and quantifiable sporting performances by participants in the sporting competition or event.</w:t>
      </w:r>
    </w:p>
    <w:p w:rsidR="00E83532" w:rsidRPr="00933EA2" w:rsidRDefault="00E83532" w:rsidP="00933EA2">
      <w:pPr>
        <w:jc w:val="both"/>
      </w:pPr>
    </w:p>
    <w:p w:rsidR="00E83532" w:rsidRPr="00933EA2" w:rsidRDefault="00E83532" w:rsidP="00933EA2">
      <w:pPr>
        <w:jc w:val="both"/>
      </w:pPr>
      <w:r>
        <w:t>The National Gambling Authority may decide that a type of result may only be used as a basis for betting for part of the competition or sporting event, in view of the risks of manipulation that it presents.</w:t>
      </w:r>
    </w:p>
    <w:p w:rsidR="00E83532" w:rsidRDefault="00E83532" w:rsidP="00933EA2">
      <w:pPr>
        <w:jc w:val="both"/>
      </w:pPr>
    </w:p>
    <w:p w:rsidR="00933EA2" w:rsidRPr="00933EA2" w:rsidRDefault="00933EA2" w:rsidP="00933EA2">
      <w:pPr>
        <w:jc w:val="both"/>
      </w:pPr>
    </w:p>
    <w:p w:rsidR="00E83532" w:rsidRPr="00933EA2" w:rsidRDefault="00E83532" w:rsidP="00933EA2">
      <w:pPr>
        <w:jc w:val="both"/>
      </w:pPr>
      <w:r>
        <w:t>III. ― The bets shall be processed according to the results of the sporting competition or event as announced by the organiser of the sporting competition.</w:t>
      </w:r>
    </w:p>
    <w:p w:rsidR="00933EA2" w:rsidRDefault="00933EA2" w:rsidP="00933EA2">
      <w:pPr>
        <w:jc w:val="both"/>
      </w:pPr>
    </w:p>
    <w:p w:rsidR="00E83532" w:rsidRPr="00933EA2" w:rsidRDefault="00E83532" w:rsidP="00933EA2">
      <w:pPr>
        <w:jc w:val="both"/>
      </w:pPr>
      <w:r>
        <w:t>The processing of the bets shall be final as of the first announcement of the results by the organiser of the sporting competition or event, even if they subsequently have to be modified in accordance with the provisions applicable to the competition.</w:t>
      </w:r>
    </w:p>
    <w:p w:rsidR="00E83532" w:rsidRPr="00933EA2" w:rsidRDefault="00E83532" w:rsidP="00933EA2">
      <w:pPr>
        <w:jc w:val="both"/>
      </w:pPr>
    </w:p>
    <w:p w:rsidR="00E83532" w:rsidRPr="00933EA2" w:rsidRDefault="000546D5" w:rsidP="00933EA2">
      <w:pPr>
        <w:pStyle w:val="BodyText"/>
        <w:keepNext/>
        <w:keepLines/>
        <w:jc w:val="center"/>
        <w:rPr>
          <w:b/>
        </w:rPr>
      </w:pPr>
      <w:r>
        <w:rPr>
          <w:b/>
        </w:rPr>
        <w:t>Article 42</w:t>
      </w:r>
    </w:p>
    <w:p w:rsidR="00E83532" w:rsidRPr="00933EA2" w:rsidRDefault="00E83532" w:rsidP="00933EA2">
      <w:pPr>
        <w:keepNext/>
        <w:keepLines/>
        <w:rPr>
          <w:b/>
        </w:rPr>
      </w:pPr>
    </w:p>
    <w:p w:rsidR="00E83532" w:rsidRPr="00933EA2" w:rsidRDefault="00E83532" w:rsidP="00933EA2">
      <w:pPr>
        <w:jc w:val="both"/>
      </w:pPr>
      <w:r>
        <w:t>I.― Any sports betting operator holding the accreditation referred to in Article 21 of the above-mentioned Law of 12 May 2010, or the company holding exclusive rights, referred to in Article 137 of the above-mentioned Law of 22 May 2019, may ask the National Gambling Authority:</w:t>
      </w:r>
    </w:p>
    <w:p w:rsidR="00E83532" w:rsidRPr="00933EA2" w:rsidRDefault="001D2F2A" w:rsidP="00933EA2">
      <w:pPr>
        <w:jc w:val="both"/>
      </w:pPr>
      <w:r>
        <w:t>1. to add a sporting competition or event to the list of competitions that may be used as a basis for sports betting;</w:t>
      </w:r>
    </w:p>
    <w:p w:rsidR="00E83532" w:rsidRPr="00933EA2" w:rsidRDefault="001D2F2A" w:rsidP="00933EA2">
      <w:pPr>
        <w:jc w:val="both"/>
      </w:pPr>
      <w:r>
        <w:t>2. to add a type of result to the list of types of results that may be used as a basis for sports betting.</w:t>
      </w:r>
    </w:p>
    <w:p w:rsidR="00E83532" w:rsidRPr="00933EA2" w:rsidRDefault="001D2F2A" w:rsidP="00933EA2">
      <w:pPr>
        <w:jc w:val="both"/>
      </w:pPr>
      <w:r>
        <w:lastRenderedPageBreak/>
        <w:t>II. ― This request shall be motivated and accompanied by the submission to the National Gambling Authority of a file presenting the characteristics of the sporting competitions or events and of the types of results to which the request relates.</w:t>
      </w:r>
    </w:p>
    <w:p w:rsidR="00E83532" w:rsidRPr="00933EA2" w:rsidRDefault="001D2F2A" w:rsidP="00933EA2">
      <w:pPr>
        <w:jc w:val="both"/>
      </w:pPr>
      <w:r>
        <w:t>III. ― After receiving the documents mentioned in part II, the National Gambling Authority shall rule on the request mentioned in part I within three months.</w:t>
      </w:r>
    </w:p>
    <w:p w:rsidR="00E83532" w:rsidRPr="00933EA2" w:rsidRDefault="00E83532" w:rsidP="00933EA2">
      <w:pPr>
        <w:jc w:val="both"/>
      </w:pPr>
      <w:r>
        <w:t>The National Gambling Authority shall refer the request mentioned in part I to the competent delegate federation, which shall then have one month to give its opinion. A copy of the opinion shall be sent to the Minister for Sport.</w:t>
      </w:r>
    </w:p>
    <w:p w:rsidR="00E83532" w:rsidRPr="00933EA2" w:rsidRDefault="00E83532" w:rsidP="00933EA2">
      <w:pPr>
        <w:jc w:val="both"/>
      </w:pPr>
      <w:r>
        <w:t>Should an opinion not be forthcoming from the federation, the Authority shall refer the request to the Minister for Sport for an opinion, who shall rule on it within one month.</w:t>
      </w:r>
    </w:p>
    <w:p w:rsidR="00E83532" w:rsidRPr="00933EA2" w:rsidRDefault="00E83532" w:rsidP="00933EA2">
      <w:pPr>
        <w:jc w:val="both"/>
      </w:pPr>
    </w:p>
    <w:p w:rsidR="00E83532" w:rsidRPr="00933EA2" w:rsidRDefault="000546D5" w:rsidP="00933EA2">
      <w:pPr>
        <w:pStyle w:val="BodyText"/>
        <w:keepNext/>
        <w:keepLines/>
        <w:jc w:val="center"/>
        <w:rPr>
          <w:b/>
        </w:rPr>
      </w:pPr>
      <w:r>
        <w:rPr>
          <w:b/>
        </w:rPr>
        <w:t>Article 43</w:t>
      </w:r>
    </w:p>
    <w:p w:rsidR="00E83532" w:rsidRPr="00933EA2" w:rsidRDefault="00E83532" w:rsidP="00933EA2">
      <w:pPr>
        <w:keepNext/>
        <w:keepLines/>
        <w:rPr>
          <w:b/>
        </w:rPr>
      </w:pPr>
    </w:p>
    <w:p w:rsidR="00E83532" w:rsidRPr="00933EA2" w:rsidRDefault="00E83532" w:rsidP="00933EA2">
      <w:pPr>
        <w:jc w:val="both"/>
      </w:pPr>
      <w:r>
        <w:t>I. ― A delegate federation, in coordination with the professional league when it was been created, may ask the National Gambling Authority:</w:t>
      </w:r>
    </w:p>
    <w:p w:rsidR="00E83532" w:rsidRPr="00933EA2" w:rsidRDefault="00E83532" w:rsidP="00933EA2">
      <w:pPr>
        <w:jc w:val="both"/>
      </w:pPr>
    </w:p>
    <w:p w:rsidR="00E83532" w:rsidRPr="00933EA2" w:rsidRDefault="00E83532" w:rsidP="00933EA2">
      <w:pPr>
        <w:jc w:val="both"/>
      </w:pPr>
      <w:r>
        <w:t>1. to add or remove a sporting competition or event that it is organising to or from the list of competitions that may be used as a basis for sports betting;</w:t>
      </w:r>
    </w:p>
    <w:p w:rsidR="00E83532" w:rsidRPr="00933EA2" w:rsidRDefault="00E83532" w:rsidP="00933EA2">
      <w:pPr>
        <w:jc w:val="both"/>
      </w:pPr>
      <w:r>
        <w:t>2. to add or remove types of results on the competitions or sports events that it organises, or for only part of these competitions.</w:t>
      </w:r>
    </w:p>
    <w:p w:rsidR="00E83532" w:rsidRPr="00933EA2" w:rsidRDefault="00E83532" w:rsidP="00933EA2">
      <w:pPr>
        <w:jc w:val="both"/>
      </w:pPr>
    </w:p>
    <w:p w:rsidR="00E83532" w:rsidRPr="00933EA2" w:rsidRDefault="00E83532" w:rsidP="00933EA2">
      <w:pPr>
        <w:jc w:val="both"/>
      </w:pPr>
      <w:r>
        <w:t>II. ― This request shall be motivated and accompanied by the submission to the National Gambling Authority of a file presenting the characteristics of the competition and of the types of results to which the request relates.</w:t>
      </w:r>
    </w:p>
    <w:p w:rsidR="00E83532" w:rsidRPr="00933EA2" w:rsidRDefault="00E83532" w:rsidP="00933EA2">
      <w:pPr>
        <w:jc w:val="both"/>
      </w:pPr>
    </w:p>
    <w:p w:rsidR="00E83532" w:rsidRPr="00933EA2" w:rsidRDefault="00E83532" w:rsidP="00933EA2">
      <w:pPr>
        <w:jc w:val="both"/>
      </w:pPr>
      <w:r>
        <w:t>III. ― After receiving the documents mentioned in part II, the National Gambling Authority shall rule on the application mentioned in part I within one month.</w:t>
      </w:r>
    </w:p>
    <w:p w:rsidR="00834E0B" w:rsidRPr="00933EA2" w:rsidRDefault="00834E0B" w:rsidP="00933EA2">
      <w:pPr>
        <w:jc w:val="both"/>
      </w:pPr>
    </w:p>
    <w:p w:rsidR="00834E0B" w:rsidRPr="00933EA2" w:rsidRDefault="000546D5" w:rsidP="00933EA2">
      <w:pPr>
        <w:pStyle w:val="BodyText"/>
        <w:keepNext/>
        <w:keepLines/>
        <w:jc w:val="center"/>
        <w:rPr>
          <w:b/>
        </w:rPr>
      </w:pPr>
      <w:r>
        <w:rPr>
          <w:b/>
        </w:rPr>
        <w:t>Article 44</w:t>
      </w:r>
    </w:p>
    <w:p w:rsidR="00834E0B" w:rsidRPr="00933EA2" w:rsidRDefault="00834E0B" w:rsidP="00933EA2">
      <w:pPr>
        <w:keepNext/>
        <w:keepLines/>
        <w:rPr>
          <w:b/>
        </w:rPr>
      </w:pPr>
    </w:p>
    <w:p w:rsidR="00834E0B" w:rsidRPr="00933EA2" w:rsidRDefault="00834E0B" w:rsidP="00933EA2">
      <w:r>
        <w:t>1. In Article D561-53(2) of the Monetary and Financial Code, the words ‘the Director General of the Online Gambling Regulatory Authority or their representative’ are replaced by the words ‘the Director General of the National Gambling Authority’.</w:t>
      </w:r>
    </w:p>
    <w:p w:rsidR="00E83532" w:rsidRPr="00933EA2" w:rsidRDefault="00E83532" w:rsidP="00933EA2">
      <w:pPr>
        <w:jc w:val="both"/>
        <w:rPr>
          <w:b/>
        </w:rPr>
      </w:pPr>
    </w:p>
    <w:p w:rsidR="00BD5FA1" w:rsidRPr="00933EA2" w:rsidRDefault="000546D5" w:rsidP="00933EA2">
      <w:pPr>
        <w:pStyle w:val="BodyText"/>
        <w:keepNext/>
        <w:keepLines/>
        <w:jc w:val="center"/>
        <w:rPr>
          <w:b/>
        </w:rPr>
      </w:pPr>
      <w:r>
        <w:rPr>
          <w:b/>
        </w:rPr>
        <w:t>Article 45</w:t>
      </w:r>
    </w:p>
    <w:p w:rsidR="008701C9" w:rsidRPr="00933EA2" w:rsidRDefault="008701C9" w:rsidP="00933EA2">
      <w:pPr>
        <w:keepNext/>
        <w:keepLines/>
        <w:rPr>
          <w:b/>
        </w:rPr>
      </w:pPr>
    </w:p>
    <w:p w:rsidR="008701C9" w:rsidRPr="00933EA2" w:rsidRDefault="00BC35EB" w:rsidP="00933EA2">
      <w:pPr>
        <w:pStyle w:val="BodyText"/>
        <w:jc w:val="both"/>
      </w:pPr>
      <w:r>
        <w:t>1. In the last paragraph of Article 8 of the above-mentioned Decree No 2019-1061 of 17 October 2019, the words ‘the above-mentioned Decree of 12 May 2010’ are replaced by the words ‘Decree No XXXX-XXXX of XXXXX on the regulatory procedures of the National Gambling Authority (CPAB1930945D)’.</w:t>
      </w:r>
    </w:p>
    <w:p w:rsidR="00C342AB" w:rsidRPr="00933EA2" w:rsidRDefault="00C342AB" w:rsidP="00933EA2">
      <w:pPr>
        <w:pStyle w:val="BodyText"/>
        <w:jc w:val="both"/>
      </w:pPr>
    </w:p>
    <w:p w:rsidR="00142531" w:rsidRPr="00933EA2" w:rsidRDefault="00834E0B" w:rsidP="00933EA2">
      <w:pPr>
        <w:keepNext/>
        <w:keepLines/>
        <w:spacing w:after="200" w:line="276" w:lineRule="auto"/>
        <w:jc w:val="center"/>
        <w:rPr>
          <w:rFonts w:eastAsiaTheme="minorHAnsi"/>
          <w:b/>
        </w:rPr>
      </w:pPr>
      <w:r>
        <w:rPr>
          <w:rFonts w:eastAsiaTheme="minorHAnsi"/>
          <w:b/>
        </w:rPr>
        <w:lastRenderedPageBreak/>
        <w:t>TITLE VII: REGULATION OF COMMERCIAL COMMUNICATIONS PROMOTING GAMBLING OPERATORS AND INFORMING PLAYERS AS TO THE RISKS ASSOCIATED WITH GAMBLING PRACTICES</w:t>
      </w:r>
    </w:p>
    <w:p w:rsidR="00142531" w:rsidRDefault="00C342AB" w:rsidP="00933EA2">
      <w:pPr>
        <w:pStyle w:val="BodyText"/>
        <w:keepNext/>
        <w:keepLines/>
        <w:jc w:val="center"/>
        <w:rPr>
          <w:b/>
        </w:rPr>
      </w:pPr>
      <w:r>
        <w:rPr>
          <w:b/>
        </w:rPr>
        <w:t>Article 46</w:t>
      </w:r>
    </w:p>
    <w:p w:rsidR="00933EA2" w:rsidRPr="00933EA2" w:rsidRDefault="00933EA2" w:rsidP="00933EA2">
      <w:pPr>
        <w:keepNext/>
        <w:keepLines/>
        <w:rPr>
          <w:b/>
        </w:rPr>
      </w:pPr>
    </w:p>
    <w:p w:rsidR="00142531" w:rsidRPr="00933EA2" w:rsidRDefault="00142531" w:rsidP="00933EA2">
      <w:pPr>
        <w:pStyle w:val="BodyText"/>
        <w:jc w:val="both"/>
      </w:pPr>
      <w:r>
        <w:t>At the start of Title II of Book III of the Internal Security Code, a preliminary chapter shall be inserted, worded as follows:</w:t>
      </w:r>
    </w:p>
    <w:p w:rsidR="00142531" w:rsidRPr="00933EA2" w:rsidRDefault="00142531" w:rsidP="00933EA2">
      <w:pPr>
        <w:pStyle w:val="BodyText"/>
      </w:pPr>
      <w:r>
        <w:t>‘</w:t>
      </w:r>
      <w:r>
        <w:rPr>
          <w:i/>
        </w:rPr>
        <w:t>Preliminary chapter</w:t>
      </w:r>
    </w:p>
    <w:p w:rsidR="00142531" w:rsidRPr="00933EA2" w:rsidRDefault="00142531" w:rsidP="00933EA2">
      <w:pPr>
        <w:pStyle w:val="BodyText"/>
      </w:pPr>
      <w:r>
        <w:rPr>
          <w:i/>
        </w:rPr>
        <w:t>Common provisions</w:t>
      </w:r>
    </w:p>
    <w:p w:rsidR="00142531" w:rsidRPr="00933EA2" w:rsidRDefault="00142531" w:rsidP="00933EA2">
      <w:pPr>
        <w:pStyle w:val="BodyText"/>
        <w:tabs>
          <w:tab w:val="left" w:pos="1659"/>
        </w:tabs>
      </w:pPr>
      <w:r>
        <w:rPr>
          <w:i/>
        </w:rPr>
        <w:t>Section 1</w:t>
      </w:r>
      <w:r>
        <w:tab/>
      </w:r>
    </w:p>
    <w:p w:rsidR="00142531" w:rsidRPr="00933EA2" w:rsidRDefault="00142531" w:rsidP="00933EA2">
      <w:pPr>
        <w:pStyle w:val="BodyText"/>
      </w:pPr>
      <w:r>
        <w:rPr>
          <w:i/>
        </w:rPr>
        <w:t>Prohibition on selling gambling to minors</w:t>
      </w:r>
    </w:p>
    <w:p w:rsidR="00142531" w:rsidRPr="00933EA2" w:rsidRDefault="00142531" w:rsidP="00933EA2">
      <w:pPr>
        <w:pStyle w:val="BodyText"/>
        <w:jc w:val="both"/>
      </w:pPr>
      <w:r>
        <w:rPr>
          <w:i/>
        </w:rPr>
        <w:t xml:space="preserve">Article D320-1. - </w:t>
      </w:r>
      <w:r>
        <w:t>A poster recalling the provisions of Articles L320-8 and L320-9 shall be displayed visibly to the public at lottery, sports betting and horse-racing betting registration terminals. An order of the Minister for Health shall determine the templates of these posters and their display locations.</w:t>
      </w:r>
    </w:p>
    <w:p w:rsidR="00142531" w:rsidRPr="00933EA2" w:rsidRDefault="00142531" w:rsidP="00933EA2">
      <w:pPr>
        <w:pStyle w:val="BodyText"/>
        <w:spacing w:before="120"/>
      </w:pPr>
      <w:r>
        <w:rPr>
          <w:i/>
        </w:rPr>
        <w:t>Section 2</w:t>
      </w:r>
    </w:p>
    <w:p w:rsidR="00142531" w:rsidRPr="00933EA2" w:rsidRDefault="00142531" w:rsidP="00933EA2">
      <w:pPr>
        <w:pStyle w:val="BodyText"/>
        <w:spacing w:before="120"/>
      </w:pPr>
      <w:r>
        <w:rPr>
          <w:i/>
        </w:rPr>
        <w:t>Commercial communication promoting a gambling operator</w:t>
      </w:r>
    </w:p>
    <w:p w:rsidR="00142531" w:rsidRPr="00933EA2" w:rsidRDefault="00142531" w:rsidP="00933EA2">
      <w:pPr>
        <w:spacing w:before="120" w:after="120"/>
        <w:jc w:val="both"/>
      </w:pPr>
      <w:r>
        <w:t>‘</w:t>
      </w:r>
      <w:r>
        <w:rPr>
          <w:i/>
        </w:rPr>
        <w:t>Article D320-2</w:t>
      </w:r>
      <w:r>
        <w:t>. - Any commercial communication promoting a gambling operator shall be accompanied by a warning message against the risks associated with the practice of gambling. This message, which must appear on every advertising or promotional medium, shall notably include the number of the online communication service of the public gambling assistance service set up under the responsibility of the National Public Health Agency.</w:t>
      </w:r>
    </w:p>
    <w:p w:rsidR="00142531" w:rsidRPr="00933EA2" w:rsidRDefault="00142531" w:rsidP="00933EA2">
      <w:pPr>
        <w:spacing w:before="120" w:after="120"/>
        <w:jc w:val="both"/>
      </w:pPr>
      <w:r>
        <w:t>It shall be presented in an accessible and easily readable way that is consistent with its public health message and clearly distinguishable from any advertising or promotional message that accompanies it.</w:t>
      </w:r>
    </w:p>
    <w:p w:rsidR="00142531" w:rsidRPr="00933EA2" w:rsidRDefault="00142531" w:rsidP="00933EA2">
      <w:pPr>
        <w:spacing w:before="120" w:after="120"/>
        <w:jc w:val="both"/>
      </w:pPr>
      <w:r>
        <w:t>An order of the Minister for Health shall specify the content of this message and the way in which it should be displayed and distributed.</w:t>
      </w:r>
    </w:p>
    <w:p w:rsidR="00142531" w:rsidRPr="00933EA2" w:rsidRDefault="00142531" w:rsidP="00933EA2">
      <w:pPr>
        <w:spacing w:before="120" w:after="120"/>
        <w:jc w:val="both"/>
      </w:pPr>
      <w:r>
        <w:rPr>
          <w:i/>
        </w:rPr>
        <w:t>Article D320-3.</w:t>
      </w:r>
      <w:r>
        <w:t xml:space="preserve"> - Where advertising, sponsorship or promotional messages are broadcast in cinemas or by audiovisual communication services, the warning messages referred to in Article D320-2 shall either be:</w:t>
      </w:r>
    </w:p>
    <w:p w:rsidR="00142531" w:rsidRPr="00933EA2" w:rsidRDefault="001D2F2A" w:rsidP="00933EA2">
      <w:pPr>
        <w:spacing w:before="120" w:after="120"/>
        <w:jc w:val="both"/>
      </w:pPr>
      <w:r>
        <w:t>1. included in a fixed or drop-down banner that is maintained throughout the transmission time of the advertising message; this banner shall cover at least 7 % of the height of the screen;</w:t>
      </w:r>
    </w:p>
    <w:p w:rsidR="00142531" w:rsidRPr="00933EA2" w:rsidRDefault="001D2F2A" w:rsidP="00933EA2">
      <w:pPr>
        <w:spacing w:before="120" w:after="120"/>
        <w:jc w:val="both"/>
      </w:pPr>
      <w:r>
        <w:t>2. or presented on a screen immediately following the advertising message.</w:t>
      </w:r>
    </w:p>
    <w:p w:rsidR="00142531" w:rsidRPr="00933EA2" w:rsidRDefault="00142531" w:rsidP="00933EA2">
      <w:pPr>
        <w:spacing w:before="120" w:after="120"/>
        <w:jc w:val="both"/>
      </w:pPr>
      <w:r>
        <w:rPr>
          <w:i/>
        </w:rPr>
        <w:t>Article D320-4.</w:t>
      </w:r>
      <w:r>
        <w:t xml:space="preserve"> - When advertising or promotional messages are broadcast on the radio, the warning message referred to in Article D320-2 shall be broadcast immediately after the advertising message.</w:t>
      </w:r>
    </w:p>
    <w:p w:rsidR="00142531" w:rsidRPr="00933EA2" w:rsidRDefault="00142531" w:rsidP="00933EA2">
      <w:pPr>
        <w:spacing w:before="120" w:after="120"/>
        <w:jc w:val="both"/>
      </w:pPr>
      <w:r>
        <w:rPr>
          <w:i/>
        </w:rPr>
        <w:t>Article D320-5.</w:t>
      </w:r>
      <w:r>
        <w:t xml:space="preserve"> The presentation of the warning message mentioned in Article D320-2 shall respect the principles set out in Articles D320-8 and D320-9, and the best practices defined by the profession and by the Higher Audiovisual Council.</w:t>
      </w:r>
    </w:p>
    <w:p w:rsidR="00142531" w:rsidRPr="00933EA2" w:rsidRDefault="00142531" w:rsidP="00933EA2">
      <w:pPr>
        <w:spacing w:before="120" w:after="120"/>
        <w:jc w:val="both"/>
      </w:pPr>
      <w:r>
        <w:rPr>
          <w:i/>
        </w:rPr>
        <w:t>Article D320-6.</w:t>
      </w:r>
      <w:r>
        <w:t xml:space="preserve"> - When advertising or promotional messages are distributed via printed media, the warning message mentioned in Article D320-2 shall be placed in a horizontal space reserved for the text and covering at least 7 % of the advertising space.</w:t>
      </w:r>
    </w:p>
    <w:p w:rsidR="00142531" w:rsidRPr="00933EA2" w:rsidRDefault="00142531" w:rsidP="00933EA2">
      <w:pPr>
        <w:spacing w:before="120" w:after="120"/>
        <w:jc w:val="both"/>
      </w:pPr>
      <w:r>
        <w:lastRenderedPageBreak/>
        <w:t>Where several advertising or promotional messages promoting the same gambling operator appear on the same medium, the warning message mentioned in Article D320-2 need appear only once in a banner covering at least 7 % of the surface of the medium.</w:t>
      </w:r>
    </w:p>
    <w:p w:rsidR="00142531" w:rsidRPr="00933EA2" w:rsidRDefault="00142531" w:rsidP="00933EA2">
      <w:pPr>
        <w:spacing w:before="120" w:after="120"/>
        <w:jc w:val="both"/>
      </w:pPr>
      <w:r>
        <w:rPr>
          <w:i/>
        </w:rPr>
        <w:t>Article D320-7.</w:t>
      </w:r>
      <w:r>
        <w:t xml:space="preserve"> – The provisions of Article D320-6 shall not apply to sporting items marketed or made available by sports federations, the organisers of sports events mentioned in the first paragraph of Article L331-5 of the Sports Code or the sporting associations and companies mentioned in Articles L122-1 and L122-2 respectively of the same Code.</w:t>
      </w:r>
    </w:p>
    <w:p w:rsidR="00142531" w:rsidRPr="00933EA2" w:rsidRDefault="00142531" w:rsidP="00933EA2">
      <w:pPr>
        <w:spacing w:before="120" w:after="120"/>
        <w:jc w:val="both"/>
      </w:pPr>
      <w:r>
        <w:rPr>
          <w:i/>
        </w:rPr>
        <w:t>Article D320-8. –</w:t>
      </w:r>
      <w:r>
        <w:t xml:space="preserve"> Where advertising, sponsorship or promotional messages are broadcast via online public communication services, the warning message referred to in Article D320-2 shall appear at the same time as the advertising or promotional message accompanying it. This message shall be displayed in such a way that the player, when they click on it, is returned to the online communication service of the public gambling assistance service set up under the responsibility of the National Public Health Agency.</w:t>
      </w:r>
    </w:p>
    <w:p w:rsidR="00142531" w:rsidRPr="00933EA2" w:rsidRDefault="00142531" w:rsidP="00933EA2">
      <w:pPr>
        <w:spacing w:before="120" w:after="120"/>
        <w:jc w:val="both"/>
      </w:pPr>
      <w:r>
        <w:t>This message shall be presented in an accessible and easily readable way that is consistent with its public health message and clearly distinguishable from any advertising message that accompanies it.</w:t>
      </w:r>
    </w:p>
    <w:p w:rsidR="001D2F2A" w:rsidRPr="00933EA2" w:rsidRDefault="001D2F2A" w:rsidP="00933EA2">
      <w:pPr>
        <w:spacing w:before="120" w:after="120"/>
        <w:jc w:val="both"/>
        <w:rPr>
          <w:i/>
        </w:rPr>
      </w:pPr>
    </w:p>
    <w:p w:rsidR="00142531" w:rsidRPr="00933EA2" w:rsidRDefault="00142531" w:rsidP="00933EA2">
      <w:pPr>
        <w:spacing w:before="120" w:after="120"/>
        <w:jc w:val="both"/>
      </w:pPr>
      <w:r>
        <w:rPr>
          <w:i/>
        </w:rPr>
        <w:t>Section 3</w:t>
      </w:r>
    </w:p>
    <w:p w:rsidR="00142531" w:rsidRPr="00933EA2" w:rsidRDefault="00142531" w:rsidP="00933EA2">
      <w:pPr>
        <w:spacing w:before="120" w:after="120"/>
        <w:jc w:val="both"/>
      </w:pPr>
      <w:r>
        <w:rPr>
          <w:i/>
        </w:rPr>
        <w:t>Prohibition of commercial communications promoting gambling operators on certain media</w:t>
      </w:r>
    </w:p>
    <w:p w:rsidR="00142531" w:rsidRPr="00933EA2" w:rsidRDefault="00142531" w:rsidP="00933EA2">
      <w:pPr>
        <w:spacing w:before="120" w:after="120"/>
        <w:jc w:val="both"/>
      </w:pPr>
      <w:r>
        <w:rPr>
          <w:i/>
        </w:rPr>
        <w:t xml:space="preserve">Article D320-9. - </w:t>
      </w:r>
      <w:r>
        <w:t>Any commercial communication promoting a gambling operator shall be prohibited:</w:t>
      </w:r>
    </w:p>
    <w:p w:rsidR="00142531" w:rsidRPr="00933EA2" w:rsidRDefault="001D2F2A" w:rsidP="00933EA2">
      <w:pPr>
        <w:spacing w:before="120" w:after="120"/>
        <w:jc w:val="both"/>
      </w:pPr>
      <w:r>
        <w:t>1. if it encourages excessive gambling or trivialises or promotes this type of practice;</w:t>
      </w:r>
    </w:p>
    <w:p w:rsidR="00142531" w:rsidRPr="00933EA2" w:rsidRDefault="001D2F2A" w:rsidP="00933EA2">
      <w:pPr>
        <w:spacing w:before="120" w:after="120"/>
        <w:jc w:val="both"/>
      </w:pPr>
      <w:r>
        <w:t>2. if it suggests that gambling contributes to social success;</w:t>
      </w:r>
    </w:p>
    <w:p w:rsidR="00142531" w:rsidRPr="00933EA2" w:rsidRDefault="001D2F2A" w:rsidP="00933EA2">
      <w:pPr>
        <w:spacing w:before="120" w:after="120"/>
        <w:jc w:val="both"/>
      </w:pPr>
      <w:r>
        <w:t>3. if it contains unfounded statements about the chances of players winning or the winnings that they can hope to make;</w:t>
      </w:r>
    </w:p>
    <w:p w:rsidR="00142531" w:rsidRPr="00933EA2" w:rsidRDefault="001D2F2A" w:rsidP="00933EA2">
      <w:pPr>
        <w:spacing w:before="120" w:after="120"/>
        <w:jc w:val="both"/>
      </w:pPr>
      <w:r>
        <w:t>4. if it suggests that gambling might be a solution to personal, professional, social or psychological difficulties;</w:t>
      </w:r>
    </w:p>
    <w:p w:rsidR="0096792E" w:rsidRPr="00933EA2" w:rsidRDefault="001D2F2A" w:rsidP="00933EA2">
      <w:pPr>
        <w:spacing w:before="120" w:after="120"/>
        <w:jc w:val="both"/>
      </w:pPr>
      <w:r>
        <w:t>5. if it presents gambling as an activity through which one might earn a living or as an alternative to paid work.</w:t>
      </w:r>
    </w:p>
    <w:p w:rsidR="00142531" w:rsidRPr="00933EA2" w:rsidRDefault="00142531" w:rsidP="00933EA2">
      <w:pPr>
        <w:spacing w:before="120" w:after="120"/>
        <w:jc w:val="both"/>
      </w:pPr>
      <w:r>
        <w:rPr>
          <w:i/>
        </w:rPr>
        <w:t>Article D320-10.</w:t>
      </w:r>
      <w:r>
        <w:t>- The following shall be forbidden in commercial communications promoting gambling:</w:t>
      </w:r>
    </w:p>
    <w:p w:rsidR="00142531" w:rsidRPr="00933EA2" w:rsidRDefault="001D2F2A" w:rsidP="00933EA2">
      <w:pPr>
        <w:spacing w:before="120" w:after="120"/>
        <w:jc w:val="both"/>
      </w:pPr>
      <w:r>
        <w:t>1. any portrayal of minors or any representation of minors making purchases;</w:t>
      </w:r>
    </w:p>
    <w:p w:rsidR="00142531" w:rsidRPr="00933EA2" w:rsidRDefault="001D2F2A" w:rsidP="00933EA2">
      <w:pPr>
        <w:spacing w:before="120" w:after="120"/>
        <w:jc w:val="both"/>
      </w:pPr>
      <w:r>
        <w:t>2. any advertising encouraging minors to consider that gambling is a natural part of their free time;</w:t>
      </w:r>
    </w:p>
    <w:p w:rsidR="00142531" w:rsidRPr="00933EA2" w:rsidRDefault="001D2F2A" w:rsidP="00933EA2">
      <w:pPr>
        <w:spacing w:before="120" w:after="120"/>
        <w:jc w:val="both"/>
      </w:pPr>
      <w:r>
        <w:t>3. any portrayal of celebrities or characters belonging to the world of minors;</w:t>
      </w:r>
    </w:p>
    <w:p w:rsidR="00142531" w:rsidRPr="00933EA2" w:rsidRDefault="001D2F2A" w:rsidP="00933EA2">
      <w:pPr>
        <w:spacing w:before="120" w:after="120"/>
        <w:jc w:val="both"/>
      </w:pPr>
      <w:r>
        <w:t>4. any advertising aimed at children or teenagers, or which is particularly attractive to them, particularly because of visual, audio, verbal or written elements.</w:t>
      </w:r>
    </w:p>
    <w:p w:rsidR="00142531" w:rsidRPr="00933EA2" w:rsidRDefault="00142531" w:rsidP="00933EA2">
      <w:pPr>
        <w:spacing w:after="200" w:line="276" w:lineRule="auto"/>
        <w:jc w:val="both"/>
        <w:rPr>
          <w:rFonts w:eastAsiaTheme="minorHAnsi"/>
          <w:b/>
        </w:rPr>
      </w:pPr>
    </w:p>
    <w:p w:rsidR="00142531" w:rsidRPr="00933EA2" w:rsidRDefault="00142531" w:rsidP="00933EA2">
      <w:pPr>
        <w:keepNext/>
        <w:keepLines/>
        <w:spacing w:after="200" w:line="276" w:lineRule="auto"/>
        <w:jc w:val="center"/>
        <w:rPr>
          <w:rFonts w:eastAsiaTheme="minorHAnsi"/>
          <w:b/>
        </w:rPr>
      </w:pPr>
      <w:r>
        <w:rPr>
          <w:rFonts w:eastAsiaTheme="minorHAnsi"/>
          <w:b/>
        </w:rPr>
        <w:lastRenderedPageBreak/>
        <w:t>TITLE VIII: PROVISIONS RELATING TO REGULATION OF THE OFFER OF LOTTERY AND SPORTS BETTING THROUGH A PHYSICAL DISTRIBUTION NETWORK</w:t>
      </w:r>
    </w:p>
    <w:p w:rsidR="00142531" w:rsidRDefault="00C342AB" w:rsidP="00933EA2">
      <w:pPr>
        <w:pStyle w:val="BodyText"/>
        <w:keepNext/>
        <w:keepLines/>
        <w:jc w:val="center"/>
        <w:rPr>
          <w:b/>
        </w:rPr>
      </w:pPr>
      <w:r>
        <w:rPr>
          <w:b/>
        </w:rPr>
        <w:t>Article 47</w:t>
      </w:r>
    </w:p>
    <w:p w:rsidR="00933EA2" w:rsidRPr="00933EA2" w:rsidRDefault="00933EA2" w:rsidP="00933EA2">
      <w:pPr>
        <w:keepNext/>
        <w:keepLines/>
        <w:rPr>
          <w:b/>
        </w:rPr>
      </w:pPr>
    </w:p>
    <w:p w:rsidR="00142531" w:rsidRPr="00933EA2" w:rsidRDefault="00142531" w:rsidP="00933EA2">
      <w:pPr>
        <w:spacing w:after="200" w:line="276" w:lineRule="auto"/>
        <w:jc w:val="both"/>
        <w:rPr>
          <w:rFonts w:eastAsiaTheme="minorHAnsi"/>
        </w:rPr>
      </w:pPr>
      <w:r>
        <w:t>After Chapter II of Title II of Book III of the same Code, a Chapter II </w:t>
      </w:r>
      <w:r>
        <w:rPr>
          <w:rFonts w:eastAsiaTheme="minorHAnsi"/>
          <w:i/>
        </w:rPr>
        <w:t>ter</w:t>
      </w:r>
      <w:r>
        <w:t xml:space="preserve"> and a Chapter II </w:t>
      </w:r>
      <w:r>
        <w:rPr>
          <w:rFonts w:eastAsiaTheme="minorHAnsi"/>
          <w:i/>
        </w:rPr>
        <w:t xml:space="preserve">quater </w:t>
      </w:r>
      <w:r>
        <w:t>are inserted, worded as follows:</w:t>
      </w:r>
    </w:p>
    <w:p w:rsidR="00142531" w:rsidRPr="00933EA2" w:rsidRDefault="00142531" w:rsidP="00933EA2">
      <w:pPr>
        <w:spacing w:after="200" w:line="276" w:lineRule="auto"/>
        <w:jc w:val="both"/>
        <w:rPr>
          <w:rFonts w:eastAsiaTheme="minorHAnsi"/>
        </w:rPr>
      </w:pPr>
      <w:r>
        <w:t>‘</w:t>
      </w:r>
      <w:r>
        <w:rPr>
          <w:rFonts w:eastAsiaTheme="minorHAnsi"/>
          <w:i/>
        </w:rPr>
        <w:t>Chapter II ter</w:t>
      </w:r>
    </w:p>
    <w:p w:rsidR="00142531" w:rsidRPr="00933EA2" w:rsidRDefault="00142531" w:rsidP="00933EA2">
      <w:pPr>
        <w:spacing w:after="200" w:line="276" w:lineRule="auto"/>
        <w:jc w:val="both"/>
        <w:rPr>
          <w:rFonts w:eastAsiaTheme="minorHAnsi"/>
        </w:rPr>
      </w:pPr>
      <w:r>
        <w:rPr>
          <w:rFonts w:eastAsiaTheme="minorHAnsi"/>
          <w:i/>
        </w:rPr>
        <w:t>Lottery games subject to the exclusive rights regime</w:t>
      </w:r>
    </w:p>
    <w:p w:rsidR="00142531" w:rsidRPr="00933EA2" w:rsidRDefault="00142531" w:rsidP="00933EA2">
      <w:pPr>
        <w:spacing w:after="200" w:line="276" w:lineRule="auto"/>
        <w:jc w:val="both"/>
        <w:rPr>
          <w:rFonts w:eastAsiaTheme="minorHAnsi"/>
        </w:rPr>
      </w:pPr>
      <w:r>
        <w:rPr>
          <w:i/>
        </w:rPr>
        <w:t>Article D322-9.</w:t>
      </w:r>
      <w:r>
        <w:t xml:space="preserve"> – The stakes are the amounts paid to La Française des Jeux by the players and assigned directly to the game.</w:t>
      </w:r>
    </w:p>
    <w:p w:rsidR="00142531" w:rsidRPr="00933EA2" w:rsidRDefault="00142531" w:rsidP="00933EA2">
      <w:pPr>
        <w:spacing w:after="200" w:line="276" w:lineRule="auto"/>
        <w:jc w:val="both"/>
        <w:rPr>
          <w:rFonts w:eastAsiaTheme="minorHAnsi"/>
        </w:rPr>
      </w:pPr>
      <w:r>
        <w:rPr>
          <w:i/>
        </w:rPr>
        <w:t>Article D322-10.</w:t>
      </w:r>
      <w:r>
        <w:t xml:space="preserve"> – On average for all lottery games and for each game individually, the player’s mathematical expectation of winning must be between 45 % and 75 % of the total stake.</w:t>
      </w:r>
    </w:p>
    <w:p w:rsidR="00142531" w:rsidRPr="00933EA2" w:rsidRDefault="00142531" w:rsidP="00933EA2">
      <w:pPr>
        <w:spacing w:after="200" w:line="276" w:lineRule="auto"/>
        <w:jc w:val="both"/>
        <w:rPr>
          <w:rFonts w:eastAsiaTheme="minorHAnsi"/>
        </w:rPr>
      </w:pPr>
      <w:r>
        <w:t>The shares of the amounts bet on lottery games assigned to winnings are as follows:</w:t>
      </w:r>
    </w:p>
    <w:p w:rsidR="00142531" w:rsidRPr="00933EA2" w:rsidRDefault="001D2F2A" w:rsidP="00933EA2">
      <w:pPr>
        <w:spacing w:after="200" w:line="276" w:lineRule="auto"/>
        <w:jc w:val="both"/>
        <w:rPr>
          <w:rFonts w:eastAsiaTheme="minorHAnsi"/>
        </w:rPr>
      </w:pPr>
      <w:r>
        <w:t>1. for draw-type games, the share assigned to the winners shall be between 50 % and 60 % for each traditional draw-type game, between 59 % and 70 % for each additional draw-type game and between 65 % and 72 % for each successive draw-type game;</w:t>
      </w:r>
    </w:p>
    <w:p w:rsidR="00142531" w:rsidRPr="00933EA2" w:rsidRDefault="001D2F2A" w:rsidP="00933EA2">
      <w:pPr>
        <w:spacing w:after="200" w:line="276" w:lineRule="auto"/>
        <w:jc w:val="both"/>
        <w:rPr>
          <w:rFonts w:eastAsiaTheme="minorHAnsi"/>
        </w:rPr>
      </w:pPr>
      <w:r>
        <w:t>2. for instant games, the share assigned to the winners shall be between 62 % and 75 % for each traditional scratch game, between 65 % and 75 % for each game with an immediate random element and between 60 % and 70 % for each additional instant game;</w:t>
      </w:r>
    </w:p>
    <w:p w:rsidR="00142531" w:rsidRPr="00933EA2" w:rsidRDefault="001D2F2A" w:rsidP="00933EA2">
      <w:pPr>
        <w:spacing w:after="200" w:line="276" w:lineRule="auto"/>
        <w:jc w:val="both"/>
        <w:rPr>
          <w:rFonts w:eastAsiaTheme="minorHAnsi"/>
        </w:rPr>
      </w:pPr>
      <w:r>
        <w:t>3. for all scratch games, online and through a physical distribution network, and on a significant number of issues, the average share assigned to winners shall be at least 50 % and at most 70.5 % of the nominal value of the issues.</w:t>
      </w:r>
    </w:p>
    <w:p w:rsidR="00142531" w:rsidRPr="00933EA2" w:rsidRDefault="00142531" w:rsidP="00933EA2">
      <w:pPr>
        <w:spacing w:after="200" w:line="276" w:lineRule="auto"/>
        <w:jc w:val="both"/>
        <w:rPr>
          <w:rFonts w:eastAsiaTheme="minorHAnsi"/>
        </w:rPr>
      </w:pPr>
      <w:r>
        <w:rPr>
          <w:i/>
        </w:rPr>
        <w:t>Article D322-11.</w:t>
      </w:r>
      <w:r>
        <w:rPr>
          <w:rFonts w:eastAsiaTheme="minorHAnsi"/>
          <w:i/>
        </w:rPr>
        <w:t xml:space="preserve"> </w:t>
      </w:r>
      <w:r>
        <w:t>– Games with an immediate random element, defined in Article L322-9-2(2), may not be offered on terminals without human intervention made available to players at the lottery registration points mentioned in the second paragraph of Article L320-5.</w:t>
      </w:r>
    </w:p>
    <w:p w:rsidR="00142531" w:rsidRPr="00933EA2" w:rsidRDefault="00142531" w:rsidP="00933EA2">
      <w:pPr>
        <w:spacing w:after="200" w:line="276" w:lineRule="auto"/>
        <w:jc w:val="both"/>
        <w:rPr>
          <w:rFonts w:eastAsiaTheme="minorHAnsi"/>
        </w:rPr>
      </w:pPr>
      <w:r>
        <w:rPr>
          <w:i/>
        </w:rPr>
        <w:t>Article D322-12.</w:t>
      </w:r>
      <w:r>
        <w:t xml:space="preserve"> – The lottery games that La Française des Jeux is authorised to operate shall be based on events, results of random assignments or draws that may include numbers, letters, colours, signs or symbols, or sequences of numbers, letters, colours, signs or symbols. Their operation may permit the individual or group participation of multiple players. The mechanics of the games may allow the player to perform actions or make choices that may affect the game settings, such as the frequency or amount of the winnings, or the share of the stakes assigned to the winnings.</w:t>
      </w:r>
    </w:p>
    <w:p w:rsidR="00142531" w:rsidRPr="00933EA2" w:rsidRDefault="00142531" w:rsidP="00933EA2">
      <w:pPr>
        <w:spacing w:after="200" w:line="276" w:lineRule="auto"/>
        <w:jc w:val="both"/>
        <w:rPr>
          <w:rFonts w:eastAsiaTheme="minorHAnsi"/>
        </w:rPr>
      </w:pPr>
      <w:r>
        <w:t>These games may be offered in multiplayer format, thereby permitting multiple players or groups or communities of players to participate confrontationally, collaboratively or a combination of the two.</w:t>
      </w:r>
    </w:p>
    <w:p w:rsidR="00142531" w:rsidRPr="00933EA2" w:rsidRDefault="00142531" w:rsidP="00933EA2">
      <w:pPr>
        <w:spacing w:after="200" w:line="276" w:lineRule="auto"/>
        <w:jc w:val="both"/>
        <w:rPr>
          <w:rFonts w:eastAsiaTheme="minorHAnsi"/>
        </w:rPr>
      </w:pPr>
      <w:r>
        <w:rPr>
          <w:i/>
        </w:rPr>
        <w:lastRenderedPageBreak/>
        <w:t>Article D322-13.</w:t>
      </w:r>
      <w:r>
        <w:t xml:space="preserve"> – Players shall participate in the games referred to in Article D322-12 through the La Française des Jeux physical distribution network and persons authorised by it, under the conditions defined in Article R322-18-1, or an online public communication service.</w:t>
      </w:r>
    </w:p>
    <w:p w:rsidR="00142531" w:rsidRPr="00933EA2" w:rsidRDefault="00142531" w:rsidP="00933EA2">
      <w:pPr>
        <w:spacing w:after="200" w:line="276" w:lineRule="auto"/>
        <w:jc w:val="both"/>
        <w:rPr>
          <w:rFonts w:eastAsiaTheme="minorHAnsi"/>
        </w:rPr>
      </w:pPr>
      <w:r>
        <w:rPr>
          <w:i/>
        </w:rPr>
        <w:t>Article D322-14.</w:t>
      </w:r>
      <w:r>
        <w:t xml:space="preserve"> – The La Française des Jeux lottery games offer shall be regulated as follows:</w:t>
      </w:r>
    </w:p>
    <w:p w:rsidR="00142531" w:rsidRPr="00933EA2" w:rsidRDefault="001D2F2A" w:rsidP="00933EA2">
      <w:pPr>
        <w:spacing w:after="200" w:line="276" w:lineRule="auto"/>
        <w:jc w:val="both"/>
        <w:rPr>
          <w:rFonts w:eastAsiaTheme="minorHAnsi"/>
        </w:rPr>
      </w:pPr>
      <w:r>
        <w:t>1. the number of lottery games operated simultaneously through a physical distribution network, all ranges combined, shall be limited to a maximum of 40 games;</w:t>
      </w:r>
    </w:p>
    <w:p w:rsidR="00142531" w:rsidRPr="00933EA2" w:rsidRDefault="001D2F2A" w:rsidP="00933EA2">
      <w:pPr>
        <w:spacing w:after="200" w:line="276" w:lineRule="auto"/>
        <w:jc w:val="both"/>
        <w:rPr>
          <w:rFonts w:eastAsiaTheme="minorHAnsi"/>
        </w:rPr>
      </w:pPr>
      <w:r>
        <w:t>2. the number of lottery games operated simultaneously online, all categories of games combined, shall be limited to a maximum of 100 games;</w:t>
      </w:r>
    </w:p>
    <w:p w:rsidR="00142531" w:rsidRPr="00933EA2" w:rsidRDefault="001D2F2A" w:rsidP="00933EA2">
      <w:pPr>
        <w:spacing w:after="200" w:line="276" w:lineRule="auto"/>
        <w:jc w:val="both"/>
        <w:rPr>
          <w:rFonts w:eastAsiaTheme="minorHAnsi"/>
        </w:rPr>
      </w:pPr>
      <w:r>
        <w:t>3. the rules of the game shall limit the total amount of winnings actually paid out to the winners, for each decisive random event, to EUR 250 000 000 for the first prize of each lottery game and EUR 100 000 000 for lottery games based on the counterparty principle.</w:t>
      </w:r>
    </w:p>
    <w:p w:rsidR="00142531" w:rsidRPr="00933EA2" w:rsidRDefault="00142531" w:rsidP="00933EA2">
      <w:pPr>
        <w:spacing w:after="200" w:line="276" w:lineRule="auto"/>
        <w:jc w:val="both"/>
        <w:rPr>
          <w:rFonts w:eastAsiaTheme="minorHAnsi"/>
        </w:rPr>
      </w:pPr>
      <w:r>
        <w:rPr>
          <w:i/>
        </w:rPr>
        <w:t>Article D322-15.</w:t>
      </w:r>
      <w:r>
        <w:t xml:space="preserve"> – The attribution of winnings or prizes to winners shall be determined by chance or an event such as a player action. A given lottery game may combine multiple methods of determining the winnings or prizes and awarding them to the winners.</w:t>
      </w:r>
    </w:p>
    <w:p w:rsidR="00142531" w:rsidRPr="00933EA2" w:rsidRDefault="00142531" w:rsidP="00933EA2">
      <w:pPr>
        <w:spacing w:after="200" w:line="276" w:lineRule="auto"/>
        <w:jc w:val="both"/>
        <w:rPr>
          <w:rFonts w:eastAsiaTheme="minorHAnsi"/>
        </w:rPr>
      </w:pPr>
      <w:r>
        <w:rPr>
          <w:i/>
        </w:rPr>
        <w:t>Article D322-16.</w:t>
      </w:r>
      <w:r>
        <w:t xml:space="preserve"> – The random event is said to be ‘anterior’ when the winnings or prizes are randomly assigned to the winning game medium in the form of a hidden inscription before it is made available to the public.</w:t>
      </w:r>
    </w:p>
    <w:p w:rsidR="00142531" w:rsidRPr="00933EA2" w:rsidRDefault="00142531" w:rsidP="00933EA2">
      <w:pPr>
        <w:spacing w:after="200" w:line="276" w:lineRule="auto"/>
        <w:jc w:val="both"/>
        <w:rPr>
          <w:rFonts w:eastAsiaTheme="minorHAnsi"/>
        </w:rPr>
      </w:pPr>
      <w:r>
        <w:t>It is said to be ‘concomitant’ when it is triggered by an event such as a player interacting with the medium via an appropriate device or process.</w:t>
      </w:r>
    </w:p>
    <w:p w:rsidR="00142531" w:rsidRPr="00933EA2" w:rsidRDefault="00142531" w:rsidP="00933EA2">
      <w:pPr>
        <w:spacing w:after="200" w:line="276" w:lineRule="auto"/>
        <w:jc w:val="both"/>
        <w:rPr>
          <w:rFonts w:eastAsiaTheme="minorHAnsi"/>
        </w:rPr>
      </w:pPr>
      <w:r>
        <w:t>It is said to be ‘posterior’ when it is based on the results of one or more random draws or assignments, which may involve numbers, letters, colours, signs or symbols or sequences of numbers, letters, colours, signs or symbols.</w:t>
      </w:r>
    </w:p>
    <w:p w:rsidR="00142531" w:rsidRPr="00933EA2" w:rsidRDefault="00142531" w:rsidP="00933EA2">
      <w:pPr>
        <w:spacing w:after="200" w:line="276" w:lineRule="auto"/>
        <w:jc w:val="both"/>
        <w:rPr>
          <w:rFonts w:eastAsiaTheme="minorHAnsi"/>
        </w:rPr>
      </w:pPr>
      <w:r>
        <w:t xml:space="preserve"> </w:t>
      </w:r>
      <w:r>
        <w:rPr>
          <w:i/>
        </w:rPr>
        <w:t>Article D322-17.</w:t>
      </w:r>
      <w:r>
        <w:t xml:space="preserve"> – The winnings or prizes attributed to the winners may be in cash or in kind. Winnings attributed in kind shall be entered in the accounts at their market value.</w:t>
      </w:r>
    </w:p>
    <w:p w:rsidR="00142531" w:rsidRPr="00933EA2" w:rsidRDefault="00142531" w:rsidP="00933EA2">
      <w:pPr>
        <w:spacing w:after="200" w:line="276" w:lineRule="auto"/>
        <w:jc w:val="both"/>
        <w:rPr>
          <w:rFonts w:eastAsiaTheme="minorHAnsi"/>
        </w:rPr>
      </w:pPr>
      <w:r>
        <w:rPr>
          <w:i/>
        </w:rPr>
        <w:t>Article D322-18.</w:t>
      </w:r>
      <w:r>
        <w:t xml:space="preserve"> – When a given lottery game applies the principles of both distribution and counterparty, each part of the game shall be subject to compliance with the corresponding principles.</w:t>
      </w:r>
    </w:p>
    <w:p w:rsidR="00142531" w:rsidRPr="00933EA2" w:rsidRDefault="00142531" w:rsidP="00933EA2">
      <w:pPr>
        <w:spacing w:after="200" w:line="276" w:lineRule="auto"/>
        <w:jc w:val="both"/>
        <w:rPr>
          <w:rFonts w:eastAsiaTheme="minorHAnsi"/>
        </w:rPr>
      </w:pPr>
      <w:r>
        <w:rPr>
          <w:rFonts w:eastAsiaTheme="minorHAnsi"/>
          <w:i/>
        </w:rPr>
        <w:t>Chapter II quater</w:t>
      </w:r>
    </w:p>
    <w:p w:rsidR="00142531" w:rsidRPr="00933EA2" w:rsidRDefault="00142531" w:rsidP="00933EA2">
      <w:pPr>
        <w:spacing w:after="200" w:line="276" w:lineRule="auto"/>
        <w:jc w:val="both"/>
        <w:rPr>
          <w:rFonts w:eastAsiaTheme="minorHAnsi"/>
        </w:rPr>
      </w:pPr>
      <w:r>
        <w:rPr>
          <w:rFonts w:eastAsiaTheme="minorHAnsi"/>
          <w:i/>
        </w:rPr>
        <w:t>Sports and horse-racing betting</w:t>
      </w:r>
    </w:p>
    <w:p w:rsidR="00142531" w:rsidRPr="00933EA2" w:rsidRDefault="00142531" w:rsidP="00933EA2">
      <w:pPr>
        <w:spacing w:after="200" w:line="276" w:lineRule="auto"/>
        <w:jc w:val="both"/>
        <w:rPr>
          <w:rFonts w:eastAsiaTheme="minorHAnsi"/>
        </w:rPr>
      </w:pPr>
      <w:r>
        <w:rPr>
          <w:i/>
        </w:rPr>
        <w:t>Article D322-19.</w:t>
      </w:r>
      <w:r>
        <w:t xml:space="preserve"> – In the case of all of the sports betting mentioned in Article L322-13 marketed by La Française des Jeux through a physical distribution network, the share of the stakes assigned to winnings shall not exceed an average of 76.5 % over a calendar year.</w:t>
      </w:r>
    </w:p>
    <w:p w:rsidR="00142531" w:rsidRPr="00933EA2" w:rsidRDefault="00142531" w:rsidP="00933EA2">
      <w:pPr>
        <w:spacing w:after="200" w:line="276" w:lineRule="auto"/>
        <w:jc w:val="both"/>
        <w:rPr>
          <w:rFonts w:eastAsiaTheme="minorHAnsi"/>
        </w:rPr>
      </w:pPr>
      <w:r>
        <w:rPr>
          <w:i/>
        </w:rPr>
        <w:t>Article D322-20.</w:t>
      </w:r>
      <w:r>
        <w:t xml:space="preserve"> – The assignment of winnings or prizes to winners shall be determined by the results of sports events. A given sports betting game may combine multiple methods of determining the winnings or prizes and awarding them to the winners.</w:t>
      </w:r>
    </w:p>
    <w:p w:rsidR="00142531" w:rsidRPr="00933EA2" w:rsidRDefault="00142531" w:rsidP="00933EA2">
      <w:pPr>
        <w:spacing w:after="200" w:line="276" w:lineRule="auto"/>
        <w:jc w:val="both"/>
        <w:rPr>
          <w:rFonts w:eastAsiaTheme="minorHAnsi"/>
        </w:rPr>
      </w:pPr>
      <w:r>
        <w:rPr>
          <w:i/>
        </w:rPr>
        <w:lastRenderedPageBreak/>
        <w:t>Article D322-21.</w:t>
      </w:r>
      <w:r>
        <w:t xml:space="preserve"> – The winnings or prizes attributed to the winners may be in cash or in kind. Winnings attributed in kind shall be entered in the accounts at their market value.</w:t>
      </w:r>
    </w:p>
    <w:p w:rsidR="00142531" w:rsidRPr="00933EA2" w:rsidRDefault="00142531" w:rsidP="00933EA2">
      <w:pPr>
        <w:spacing w:after="200" w:line="276" w:lineRule="auto"/>
        <w:jc w:val="both"/>
        <w:rPr>
          <w:rFonts w:eastAsiaTheme="minorHAnsi"/>
        </w:rPr>
      </w:pPr>
      <w:r>
        <w:rPr>
          <w:i/>
        </w:rPr>
        <w:t>Article D322-22.</w:t>
      </w:r>
      <w:r>
        <w:t xml:space="preserve"> – When a given sports betting game uses the principles of both distribution and counterparty, each part of the game shall be subject to compliance with the corresponding principles.</w:t>
      </w:r>
    </w:p>
    <w:p w:rsidR="00142531" w:rsidRPr="00933EA2" w:rsidRDefault="00142531" w:rsidP="00933EA2">
      <w:pPr>
        <w:keepNext/>
        <w:keepLines/>
        <w:spacing w:after="200" w:line="276" w:lineRule="auto"/>
        <w:jc w:val="center"/>
        <w:rPr>
          <w:rFonts w:eastAsiaTheme="minorHAnsi"/>
          <w:b/>
        </w:rPr>
      </w:pPr>
      <w:r>
        <w:rPr>
          <w:rFonts w:eastAsiaTheme="minorHAnsi"/>
          <w:b/>
        </w:rPr>
        <w:t>TITLE IX: MISCELLANEOUS PROVISIONS</w:t>
      </w:r>
    </w:p>
    <w:p w:rsidR="00142531" w:rsidRPr="00933EA2" w:rsidRDefault="00142531" w:rsidP="00933EA2">
      <w:pPr>
        <w:pStyle w:val="BodyText"/>
        <w:keepNext/>
        <w:keepLines/>
        <w:jc w:val="center"/>
        <w:rPr>
          <w:b/>
        </w:rPr>
      </w:pPr>
      <w:r>
        <w:rPr>
          <w:b/>
        </w:rPr>
        <w:t>Article 48</w:t>
      </w:r>
    </w:p>
    <w:p w:rsidR="00142531" w:rsidRPr="00933EA2" w:rsidRDefault="00142531" w:rsidP="00933EA2">
      <w:pPr>
        <w:keepNext/>
        <w:keepLines/>
        <w:rPr>
          <w:b/>
        </w:rPr>
      </w:pPr>
    </w:p>
    <w:p w:rsidR="00142531" w:rsidRPr="00933EA2" w:rsidRDefault="00142531" w:rsidP="00933EA2">
      <w:pPr>
        <w:pStyle w:val="BodyText"/>
        <w:jc w:val="both"/>
      </w:pPr>
      <w:r>
        <w:t>Decree No 2019-1061 of 17 October 2019 is amended as follows:</w:t>
      </w:r>
    </w:p>
    <w:p w:rsidR="00142531" w:rsidRPr="00933EA2" w:rsidRDefault="00B84182" w:rsidP="00933EA2">
      <w:pPr>
        <w:pStyle w:val="BodyText"/>
        <w:jc w:val="both"/>
        <w:rPr>
          <w:rFonts w:eastAsia="Calibri"/>
        </w:rPr>
      </w:pPr>
      <w:r>
        <w:t>1. Article 8 is amended as follows:</w:t>
      </w:r>
    </w:p>
    <w:p w:rsidR="00142531" w:rsidRPr="00933EA2" w:rsidRDefault="00F77C81" w:rsidP="00933EA2">
      <w:pPr>
        <w:pStyle w:val="BodyText"/>
        <w:jc w:val="both"/>
      </w:pPr>
      <w:r>
        <w:t>a) the first paragraph, the third to seventh paragraphs, the ninth to sixteenth paragraphs and the first paragraph of part II are deleted;</w:t>
      </w:r>
    </w:p>
    <w:p w:rsidR="00142531" w:rsidRPr="00933EA2" w:rsidRDefault="00F77C81" w:rsidP="00933EA2">
      <w:pPr>
        <w:pStyle w:val="BodyText"/>
        <w:jc w:val="both"/>
      </w:pPr>
      <w:r>
        <w:t>b) the second paragraph is supplemented by the words: ‘mentioned in Articles L322-9-1 and L322-9-2 of the Internal Security Code’;</w:t>
      </w:r>
    </w:p>
    <w:p w:rsidR="00142531" w:rsidRPr="00933EA2" w:rsidRDefault="00F77C81" w:rsidP="00933EA2">
      <w:pPr>
        <w:pStyle w:val="BodyText"/>
        <w:jc w:val="both"/>
      </w:pPr>
      <w:r>
        <w:t>c) in the eighth paragraph, the words: ‘in this article’ are replaced by the words: ‘in Articles D322-10 and D322-19 of the Internal Security Code’;</w:t>
      </w:r>
    </w:p>
    <w:p w:rsidR="00142531" w:rsidRPr="00933EA2" w:rsidRDefault="00C5585F" w:rsidP="00933EA2">
      <w:pPr>
        <w:pStyle w:val="BodyText"/>
        <w:jc w:val="both"/>
      </w:pPr>
      <w:r>
        <w:t>d</w:t>
      </w:r>
      <w:r w:rsidR="00F77C81">
        <w:t>) in the seventeenth paragraph, the words: ‘in point 2 of this part I’ are replaced by the words: ‘in Article D322-14’;</w:t>
      </w:r>
    </w:p>
    <w:p w:rsidR="00142531" w:rsidRPr="00933EA2" w:rsidRDefault="003A7FAA" w:rsidP="00933EA2">
      <w:pPr>
        <w:pStyle w:val="BodyText"/>
        <w:jc w:val="both"/>
      </w:pPr>
      <w:r>
        <w:t>2. Article 9 is amended as follows:</w:t>
      </w:r>
    </w:p>
    <w:p w:rsidR="00142531" w:rsidRPr="00933EA2" w:rsidRDefault="00F77C81" w:rsidP="00933EA2">
      <w:pPr>
        <w:pStyle w:val="BodyText"/>
        <w:jc w:val="both"/>
      </w:pPr>
      <w:r>
        <w:t>a) in the first paragraph, the letter: ‘I. – is deleted;</w:t>
      </w:r>
    </w:p>
    <w:p w:rsidR="00142531" w:rsidRPr="00933EA2" w:rsidRDefault="00F77C81" w:rsidP="00933EA2">
      <w:pPr>
        <w:pStyle w:val="BodyText"/>
        <w:jc w:val="both"/>
      </w:pPr>
      <w:r>
        <w:t>b) part II is repealed;</w:t>
      </w:r>
    </w:p>
    <w:p w:rsidR="00142531" w:rsidRPr="00933EA2" w:rsidRDefault="003A7FAA" w:rsidP="00933EA2">
      <w:pPr>
        <w:pStyle w:val="BodyText"/>
        <w:jc w:val="both"/>
      </w:pPr>
      <w:r>
        <w:t>3. the first paragraph of Article 11 is deleted;</w:t>
      </w:r>
    </w:p>
    <w:p w:rsidR="00142531" w:rsidRPr="00933EA2" w:rsidRDefault="003A7FAA" w:rsidP="00933EA2">
      <w:pPr>
        <w:pStyle w:val="BodyText"/>
        <w:jc w:val="both"/>
      </w:pPr>
      <w:r>
        <w:t>4. Articles 10 and 16 are repealed.</w:t>
      </w:r>
    </w:p>
    <w:p w:rsidR="00142531" w:rsidRDefault="00C342AB" w:rsidP="00933EA2">
      <w:pPr>
        <w:pStyle w:val="BodyText"/>
        <w:jc w:val="center"/>
        <w:rPr>
          <w:b/>
        </w:rPr>
      </w:pPr>
      <w:r>
        <w:rPr>
          <w:b/>
        </w:rPr>
        <w:t>Article 49</w:t>
      </w:r>
    </w:p>
    <w:p w:rsidR="00933EA2" w:rsidRPr="00933EA2" w:rsidRDefault="00933EA2" w:rsidP="00933EA2">
      <w:pPr>
        <w:keepNext/>
        <w:keepLines/>
        <w:rPr>
          <w:b/>
        </w:rPr>
      </w:pPr>
    </w:p>
    <w:p w:rsidR="003A46B9" w:rsidRPr="00933EA2" w:rsidRDefault="00142531" w:rsidP="00933EA2">
      <w:pPr>
        <w:pStyle w:val="BodyText"/>
        <w:jc w:val="both"/>
      </w:pPr>
      <w:r>
        <w:t>Decree No 2010-624 of 8 June 2010 on the regulation of commercial communications promoting gambling operators and informing players as to the risks associated with gambling practices is repealed with the exception of Article 1 thereof.</w:t>
      </w:r>
    </w:p>
    <w:p w:rsidR="003A46B9" w:rsidRPr="00933EA2" w:rsidRDefault="003A46B9" w:rsidP="00933EA2">
      <w:pPr>
        <w:pStyle w:val="BodyText"/>
        <w:jc w:val="both"/>
      </w:pPr>
      <w:r>
        <w:t>Article 1 of the aforementioned Decree of 8 June 2010 is repealed on the date of entry into force of the order provided for in Article D320-2 of the Internal Security Code.</w:t>
      </w:r>
    </w:p>
    <w:p w:rsidR="00142531" w:rsidRPr="00933EA2" w:rsidRDefault="00142531" w:rsidP="00933EA2">
      <w:pPr>
        <w:pStyle w:val="BodyText"/>
        <w:jc w:val="both"/>
      </w:pPr>
    </w:p>
    <w:p w:rsidR="00142531" w:rsidRPr="00933EA2" w:rsidRDefault="00142531" w:rsidP="00933EA2">
      <w:pPr>
        <w:keepNext/>
        <w:keepLines/>
        <w:pageBreakBefore/>
        <w:spacing w:after="200" w:line="276" w:lineRule="auto"/>
        <w:jc w:val="center"/>
        <w:rPr>
          <w:rFonts w:eastAsiaTheme="minorHAnsi"/>
          <w:b/>
        </w:rPr>
      </w:pPr>
      <w:r>
        <w:rPr>
          <w:rFonts w:eastAsiaTheme="minorHAnsi"/>
          <w:b/>
        </w:rPr>
        <w:lastRenderedPageBreak/>
        <w:t>TITLE X: PROVISIONS RELATING TO OVERSEAS FRANCE</w:t>
      </w:r>
    </w:p>
    <w:p w:rsidR="00142531" w:rsidRDefault="00C342AB" w:rsidP="00933EA2">
      <w:pPr>
        <w:pStyle w:val="BodyText"/>
        <w:keepNext/>
        <w:keepLines/>
        <w:jc w:val="center"/>
        <w:rPr>
          <w:b/>
        </w:rPr>
      </w:pPr>
      <w:r>
        <w:rPr>
          <w:b/>
        </w:rPr>
        <w:t>Article 50</w:t>
      </w:r>
    </w:p>
    <w:p w:rsidR="00933EA2" w:rsidRPr="00933EA2" w:rsidRDefault="00933EA2" w:rsidP="00933EA2">
      <w:pPr>
        <w:pStyle w:val="BodyText"/>
        <w:keepNext/>
        <w:keepLines/>
        <w:jc w:val="center"/>
        <w:rPr>
          <w:b/>
        </w:rPr>
      </w:pPr>
    </w:p>
    <w:p w:rsidR="00142531" w:rsidRPr="00933EA2" w:rsidRDefault="00142531" w:rsidP="00933EA2">
      <w:pPr>
        <w:spacing w:before="120" w:after="120"/>
        <w:jc w:val="both"/>
      </w:pPr>
      <w:r>
        <w:t>Title VI of Book III of the Internal Security Code is amended as follows:</w:t>
      </w:r>
    </w:p>
    <w:p w:rsidR="00142531" w:rsidRPr="00933EA2" w:rsidRDefault="00142531" w:rsidP="00933EA2">
      <w:pPr>
        <w:spacing w:before="120" w:after="120"/>
        <w:jc w:val="both"/>
      </w:pPr>
      <w:r>
        <w:t>1. After Article R344-1, an Article D344-1-1</w:t>
      </w:r>
      <w:bookmarkStart w:id="0" w:name="_GoBack"/>
      <w:bookmarkEnd w:id="0"/>
      <w:r>
        <w:t xml:space="preserve"> is inserted, worded as follows:</w:t>
      </w:r>
    </w:p>
    <w:p w:rsidR="00142531" w:rsidRPr="00933EA2" w:rsidRDefault="00142531" w:rsidP="00933EA2">
      <w:pPr>
        <w:spacing w:before="120" w:after="120"/>
        <w:jc w:val="both"/>
      </w:pPr>
      <w:r>
        <w:t>‘</w:t>
      </w:r>
      <w:r>
        <w:rPr>
          <w:i/>
        </w:rPr>
        <w:t>Article D344-1-1</w:t>
      </w:r>
      <w:r>
        <w:t>. – The provisions of this book mentioned in the left-hand column of the table below, as worded in the right column of the same table, shall apply in French Polynesia:</w:t>
      </w:r>
    </w:p>
    <w:p w:rsidR="00142531" w:rsidRPr="00933EA2" w:rsidRDefault="00142531" w:rsidP="00933EA2">
      <w:pPr>
        <w:spacing w:before="120" w:after="120"/>
      </w:pPr>
    </w:p>
    <w:tbl>
      <w:tblPr>
        <w:tblW w:w="0" w:type="auto"/>
        <w:tblInd w:w="-15" w:type="dxa"/>
        <w:tblLayout w:type="fixed"/>
        <w:tblLook w:val="0000" w:firstRow="0" w:lastRow="0" w:firstColumn="0" w:lastColumn="0" w:noHBand="0" w:noVBand="0"/>
      </w:tblPr>
      <w:tblGrid>
        <w:gridCol w:w="4747"/>
        <w:gridCol w:w="4777"/>
      </w:tblGrid>
      <w:tr w:rsidR="00142531" w:rsidRPr="00933EA2" w:rsidTr="00933EA2">
        <w:trPr>
          <w:cantSplit/>
        </w:trPr>
        <w:tc>
          <w:tcPr>
            <w:tcW w:w="4747" w:type="dxa"/>
            <w:tcBorders>
              <w:top w:val="single" w:sz="4" w:space="0" w:color="000000"/>
              <w:left w:val="single" w:sz="4" w:space="0" w:color="000000"/>
              <w:bottom w:val="single" w:sz="4" w:space="0" w:color="000000"/>
            </w:tcBorders>
            <w:shd w:val="clear" w:color="auto" w:fill="auto"/>
          </w:tcPr>
          <w:p w:rsidR="00142531" w:rsidRPr="00933EA2" w:rsidRDefault="00142531" w:rsidP="00933EA2">
            <w:pPr>
              <w:spacing w:before="120" w:after="120"/>
              <w:jc w:val="center"/>
            </w:pPr>
            <w:r>
              <w:t>APPLICABLE PROVISIONS</w:t>
            </w:r>
          </w:p>
        </w:tc>
        <w:tc>
          <w:tcPr>
            <w:tcW w:w="4777" w:type="dxa"/>
            <w:tcBorders>
              <w:top w:val="single" w:sz="4" w:space="0" w:color="000000"/>
              <w:left w:val="single" w:sz="4" w:space="0" w:color="000000"/>
              <w:bottom w:val="single" w:sz="4" w:space="0" w:color="000000"/>
              <w:right w:val="single" w:sz="4" w:space="0" w:color="000000"/>
            </w:tcBorders>
            <w:shd w:val="clear" w:color="auto" w:fill="auto"/>
          </w:tcPr>
          <w:p w:rsidR="00142531" w:rsidRPr="00933EA2" w:rsidRDefault="00142531" w:rsidP="00933EA2">
            <w:pPr>
              <w:spacing w:before="120" w:after="120"/>
              <w:jc w:val="center"/>
            </w:pPr>
            <w:r>
              <w:t>AS DRAFTED</w:t>
            </w:r>
          </w:p>
        </w:tc>
      </w:tr>
      <w:tr w:rsidR="00142531" w:rsidRPr="00933EA2" w:rsidTr="00933EA2">
        <w:trPr>
          <w:cantSplit/>
        </w:trPr>
        <w:tc>
          <w:tcPr>
            <w:tcW w:w="9524" w:type="dxa"/>
            <w:gridSpan w:val="2"/>
            <w:tcBorders>
              <w:top w:val="single" w:sz="4" w:space="0" w:color="000000"/>
              <w:left w:val="single" w:sz="4" w:space="0" w:color="000000"/>
              <w:bottom w:val="single" w:sz="4" w:space="0" w:color="000000"/>
              <w:right w:val="single" w:sz="4" w:space="0" w:color="000000"/>
            </w:tcBorders>
            <w:shd w:val="clear" w:color="auto" w:fill="auto"/>
          </w:tcPr>
          <w:p w:rsidR="00142531" w:rsidRPr="00933EA2" w:rsidRDefault="00142531" w:rsidP="00933EA2">
            <w:pPr>
              <w:spacing w:before="120" w:after="120"/>
              <w:jc w:val="both"/>
            </w:pPr>
            <w:r>
              <w:t>In Title II</w:t>
            </w:r>
          </w:p>
        </w:tc>
      </w:tr>
      <w:tr w:rsidR="00142531" w:rsidRPr="00933EA2" w:rsidTr="00933EA2">
        <w:trPr>
          <w:cantSplit/>
        </w:trPr>
        <w:tc>
          <w:tcPr>
            <w:tcW w:w="4747" w:type="dxa"/>
            <w:tcBorders>
              <w:top w:val="single" w:sz="4" w:space="0" w:color="000000"/>
              <w:left w:val="single" w:sz="4" w:space="0" w:color="000000"/>
              <w:bottom w:val="single" w:sz="4" w:space="0" w:color="000000"/>
            </w:tcBorders>
            <w:shd w:val="clear" w:color="auto" w:fill="auto"/>
          </w:tcPr>
          <w:p w:rsidR="00142531" w:rsidRPr="00933EA2" w:rsidRDefault="00142531" w:rsidP="00933EA2">
            <w:pPr>
              <w:spacing w:before="120" w:after="120"/>
              <w:jc w:val="both"/>
            </w:pPr>
            <w:r>
              <w:t>D320-1 to D320-10</w:t>
            </w:r>
          </w:p>
        </w:tc>
        <w:tc>
          <w:tcPr>
            <w:tcW w:w="4777" w:type="dxa"/>
            <w:tcBorders>
              <w:top w:val="single" w:sz="4" w:space="0" w:color="000000"/>
              <w:left w:val="single" w:sz="4" w:space="0" w:color="000000"/>
              <w:bottom w:val="single" w:sz="4" w:space="0" w:color="000000"/>
              <w:right w:val="single" w:sz="4" w:space="0" w:color="000000"/>
            </w:tcBorders>
            <w:shd w:val="clear" w:color="auto" w:fill="auto"/>
          </w:tcPr>
          <w:p w:rsidR="00142531" w:rsidRPr="00933EA2" w:rsidRDefault="00142531" w:rsidP="00933EA2">
            <w:pPr>
              <w:spacing w:before="120" w:after="120"/>
              <w:jc w:val="both"/>
            </w:pPr>
            <w:r>
              <w:t>Resulting from Decree No XXX of XXX</w:t>
            </w:r>
          </w:p>
        </w:tc>
      </w:tr>
      <w:tr w:rsidR="00142531" w:rsidRPr="00933EA2" w:rsidTr="00933EA2">
        <w:trPr>
          <w:cantSplit/>
        </w:trPr>
        <w:tc>
          <w:tcPr>
            <w:tcW w:w="4747" w:type="dxa"/>
            <w:tcBorders>
              <w:top w:val="single" w:sz="4" w:space="0" w:color="000000"/>
              <w:left w:val="single" w:sz="4" w:space="0" w:color="000000"/>
              <w:bottom w:val="single" w:sz="4" w:space="0" w:color="000000"/>
            </w:tcBorders>
            <w:shd w:val="clear" w:color="auto" w:fill="auto"/>
          </w:tcPr>
          <w:p w:rsidR="00142531" w:rsidRPr="00933EA2" w:rsidRDefault="00142531" w:rsidP="00933EA2">
            <w:pPr>
              <w:spacing w:before="120" w:after="120"/>
              <w:jc w:val="both"/>
              <w:rPr>
                <w:bCs/>
                <w:iCs/>
              </w:rPr>
            </w:pPr>
            <w:r>
              <w:t>D322-9 to D322-22</w:t>
            </w:r>
          </w:p>
        </w:tc>
        <w:tc>
          <w:tcPr>
            <w:tcW w:w="4777" w:type="dxa"/>
            <w:tcBorders>
              <w:top w:val="single" w:sz="4" w:space="0" w:color="000000"/>
              <w:left w:val="single" w:sz="4" w:space="0" w:color="000000"/>
              <w:bottom w:val="single" w:sz="4" w:space="0" w:color="000000"/>
              <w:right w:val="single" w:sz="4" w:space="0" w:color="000000"/>
            </w:tcBorders>
            <w:shd w:val="clear" w:color="auto" w:fill="auto"/>
          </w:tcPr>
          <w:p w:rsidR="00142531" w:rsidRPr="00933EA2" w:rsidRDefault="00142531" w:rsidP="00933EA2">
            <w:pPr>
              <w:spacing w:before="120" w:after="120"/>
              <w:jc w:val="both"/>
            </w:pPr>
            <w:r>
              <w:t>Resulting from Decree No XXX of XXX</w:t>
            </w:r>
          </w:p>
        </w:tc>
      </w:tr>
    </w:tbl>
    <w:p w:rsidR="00142531" w:rsidRPr="00933EA2" w:rsidRDefault="00142531" w:rsidP="00933EA2">
      <w:pPr>
        <w:spacing w:before="120" w:after="120"/>
        <w:jc w:val="right"/>
      </w:pPr>
    </w:p>
    <w:p w:rsidR="00142531" w:rsidRPr="00933EA2" w:rsidRDefault="00F77C81" w:rsidP="00933EA2">
      <w:pPr>
        <w:spacing w:before="120" w:after="120"/>
        <w:jc w:val="both"/>
      </w:pPr>
      <w:r>
        <w:t>2. Article D345-2 is amended as follows:</w:t>
      </w:r>
    </w:p>
    <w:p w:rsidR="00142531" w:rsidRPr="00933EA2" w:rsidRDefault="00142531" w:rsidP="00933EA2">
      <w:pPr>
        <w:spacing w:before="120" w:after="120"/>
        <w:jc w:val="both"/>
      </w:pPr>
      <w:r>
        <w:t>a) After the line:</w:t>
      </w:r>
    </w:p>
    <w:p w:rsidR="00142531" w:rsidRPr="00933EA2" w:rsidRDefault="00142531" w:rsidP="00933EA2">
      <w:pPr>
        <w:spacing w:before="120" w:after="120"/>
        <w:jc w:val="both"/>
      </w:pPr>
    </w:p>
    <w:tbl>
      <w:tblPr>
        <w:tblW w:w="0" w:type="auto"/>
        <w:tblInd w:w="-15" w:type="dxa"/>
        <w:tblLayout w:type="fixed"/>
        <w:tblLook w:val="0000" w:firstRow="0" w:lastRow="0" w:firstColumn="0" w:lastColumn="0" w:noHBand="0" w:noVBand="0"/>
      </w:tblPr>
      <w:tblGrid>
        <w:gridCol w:w="9524"/>
      </w:tblGrid>
      <w:tr w:rsidR="00142531" w:rsidRPr="00933EA2" w:rsidTr="00933EA2">
        <w:trPr>
          <w:cantSplit/>
        </w:trPr>
        <w:tc>
          <w:tcPr>
            <w:tcW w:w="9524" w:type="dxa"/>
            <w:tcBorders>
              <w:top w:val="single" w:sz="4" w:space="0" w:color="000000"/>
              <w:left w:val="single" w:sz="4" w:space="0" w:color="000000"/>
              <w:bottom w:val="single" w:sz="4" w:space="0" w:color="000000"/>
              <w:right w:val="single" w:sz="4" w:space="0" w:color="000000"/>
            </w:tcBorders>
            <w:shd w:val="clear" w:color="auto" w:fill="auto"/>
          </w:tcPr>
          <w:p w:rsidR="00142531" w:rsidRPr="00933EA2" w:rsidRDefault="00142531" w:rsidP="00933EA2">
            <w:pPr>
              <w:spacing w:before="120" w:after="120"/>
              <w:jc w:val="both"/>
            </w:pPr>
            <w:r>
              <w:t>In Title II</w:t>
            </w:r>
          </w:p>
        </w:tc>
      </w:tr>
    </w:tbl>
    <w:p w:rsidR="00142531" w:rsidRPr="00933EA2" w:rsidRDefault="00142531" w:rsidP="00933EA2">
      <w:pPr>
        <w:spacing w:before="120" w:after="120"/>
        <w:jc w:val="right"/>
      </w:pPr>
    </w:p>
    <w:p w:rsidR="00142531" w:rsidRPr="00933EA2" w:rsidRDefault="00142531" w:rsidP="00933EA2">
      <w:pPr>
        <w:spacing w:before="120" w:after="120"/>
        <w:jc w:val="both"/>
      </w:pPr>
      <w:r>
        <w:t>the following line is inserted:</w:t>
      </w:r>
    </w:p>
    <w:p w:rsidR="00142531" w:rsidRPr="00933EA2" w:rsidRDefault="00142531" w:rsidP="00933EA2">
      <w:pPr>
        <w:spacing w:before="120" w:after="120"/>
        <w:jc w:val="both"/>
      </w:pPr>
      <w:r>
        <w:t>‘</w:t>
      </w:r>
    </w:p>
    <w:tbl>
      <w:tblPr>
        <w:tblW w:w="0" w:type="auto"/>
        <w:tblInd w:w="-15" w:type="dxa"/>
        <w:tblLayout w:type="fixed"/>
        <w:tblLook w:val="0000" w:firstRow="0" w:lastRow="0" w:firstColumn="0" w:lastColumn="0" w:noHBand="0" w:noVBand="0"/>
      </w:tblPr>
      <w:tblGrid>
        <w:gridCol w:w="4747"/>
        <w:gridCol w:w="4777"/>
      </w:tblGrid>
      <w:tr w:rsidR="00142531" w:rsidRPr="00933EA2" w:rsidTr="00933EA2">
        <w:trPr>
          <w:cantSplit/>
        </w:trPr>
        <w:tc>
          <w:tcPr>
            <w:tcW w:w="4747" w:type="dxa"/>
            <w:tcBorders>
              <w:top w:val="single" w:sz="4" w:space="0" w:color="000000"/>
              <w:left w:val="single" w:sz="4" w:space="0" w:color="000000"/>
              <w:bottom w:val="single" w:sz="4" w:space="0" w:color="000000"/>
            </w:tcBorders>
            <w:shd w:val="clear" w:color="auto" w:fill="auto"/>
          </w:tcPr>
          <w:p w:rsidR="00142531" w:rsidRPr="00933EA2" w:rsidRDefault="00142531" w:rsidP="00933EA2">
            <w:pPr>
              <w:spacing w:before="120" w:after="120"/>
              <w:jc w:val="both"/>
            </w:pPr>
            <w:r>
              <w:t>D320-1 to D320-10</w:t>
            </w:r>
          </w:p>
        </w:tc>
        <w:tc>
          <w:tcPr>
            <w:tcW w:w="4777" w:type="dxa"/>
            <w:tcBorders>
              <w:top w:val="single" w:sz="4" w:space="0" w:color="000000"/>
              <w:left w:val="single" w:sz="4" w:space="0" w:color="000000"/>
              <w:bottom w:val="single" w:sz="4" w:space="0" w:color="000000"/>
              <w:right w:val="single" w:sz="4" w:space="0" w:color="000000"/>
            </w:tcBorders>
            <w:shd w:val="clear" w:color="auto" w:fill="auto"/>
          </w:tcPr>
          <w:p w:rsidR="00142531" w:rsidRPr="00933EA2" w:rsidRDefault="00142531" w:rsidP="00933EA2">
            <w:pPr>
              <w:spacing w:before="120" w:after="120"/>
              <w:jc w:val="both"/>
            </w:pPr>
            <w:r>
              <w:t>Resulting from Decree No XXX of XXX</w:t>
            </w:r>
          </w:p>
        </w:tc>
      </w:tr>
    </w:tbl>
    <w:p w:rsidR="00142531" w:rsidRPr="00933EA2" w:rsidRDefault="00142531" w:rsidP="00933EA2">
      <w:pPr>
        <w:spacing w:before="120" w:after="120"/>
        <w:jc w:val="right"/>
      </w:pPr>
    </w:p>
    <w:p w:rsidR="00142531" w:rsidRPr="00933EA2" w:rsidRDefault="00142531" w:rsidP="00933EA2">
      <w:pPr>
        <w:spacing w:before="120" w:after="120"/>
        <w:jc w:val="both"/>
      </w:pPr>
      <w:r>
        <w:t>b) After the line:</w:t>
      </w:r>
    </w:p>
    <w:p w:rsidR="00142531" w:rsidRPr="00933EA2" w:rsidRDefault="00142531" w:rsidP="00933EA2">
      <w:pPr>
        <w:spacing w:before="120" w:after="120"/>
        <w:jc w:val="both"/>
      </w:pPr>
    </w:p>
    <w:tbl>
      <w:tblPr>
        <w:tblW w:w="0" w:type="auto"/>
        <w:tblInd w:w="-15" w:type="dxa"/>
        <w:tblLayout w:type="fixed"/>
        <w:tblLook w:val="0000" w:firstRow="0" w:lastRow="0" w:firstColumn="0" w:lastColumn="0" w:noHBand="0" w:noVBand="0"/>
      </w:tblPr>
      <w:tblGrid>
        <w:gridCol w:w="4747"/>
        <w:gridCol w:w="4777"/>
      </w:tblGrid>
      <w:tr w:rsidR="00142531" w:rsidRPr="00933EA2" w:rsidTr="00933EA2">
        <w:trPr>
          <w:cantSplit/>
        </w:trPr>
        <w:tc>
          <w:tcPr>
            <w:tcW w:w="4747" w:type="dxa"/>
            <w:tcBorders>
              <w:top w:val="single" w:sz="4" w:space="0" w:color="000000"/>
              <w:left w:val="single" w:sz="4" w:space="0" w:color="000000"/>
              <w:bottom w:val="single" w:sz="4" w:space="0" w:color="000000"/>
            </w:tcBorders>
            <w:shd w:val="clear" w:color="auto" w:fill="auto"/>
          </w:tcPr>
          <w:p w:rsidR="00142531" w:rsidRPr="00933EA2" w:rsidRDefault="00142531" w:rsidP="00933EA2">
            <w:pPr>
              <w:spacing w:before="120" w:after="120"/>
              <w:jc w:val="both"/>
            </w:pPr>
            <w:r>
              <w:t>‘D322-4</w:t>
            </w:r>
          </w:p>
        </w:tc>
        <w:tc>
          <w:tcPr>
            <w:tcW w:w="4777" w:type="dxa"/>
            <w:tcBorders>
              <w:top w:val="single" w:sz="4" w:space="0" w:color="000000"/>
              <w:left w:val="single" w:sz="4" w:space="0" w:color="000000"/>
              <w:bottom w:val="single" w:sz="4" w:space="0" w:color="000000"/>
              <w:right w:val="single" w:sz="4" w:space="0" w:color="000000"/>
            </w:tcBorders>
            <w:shd w:val="clear" w:color="auto" w:fill="auto"/>
          </w:tcPr>
          <w:p w:rsidR="00142531" w:rsidRPr="00933EA2" w:rsidRDefault="00142531" w:rsidP="00933EA2">
            <w:pPr>
              <w:spacing w:before="120" w:after="120"/>
              <w:jc w:val="both"/>
            </w:pPr>
            <w:r>
              <w:t>Resulting from Decree No 2014-1253 of 27 October 2014 on the provisions of books III, VI and VII of the regulatory part of the Internal Security Code (Decrees in Council of State and simple decrees)’,</w:t>
            </w:r>
          </w:p>
        </w:tc>
      </w:tr>
    </w:tbl>
    <w:p w:rsidR="00142531" w:rsidRPr="00933EA2" w:rsidRDefault="00142531" w:rsidP="00933EA2">
      <w:pPr>
        <w:spacing w:before="120" w:after="120"/>
        <w:jc w:val="right"/>
      </w:pPr>
    </w:p>
    <w:p w:rsidR="00142531" w:rsidRPr="00933EA2" w:rsidRDefault="00142531" w:rsidP="00933EA2">
      <w:pPr>
        <w:spacing w:before="120" w:after="120"/>
        <w:jc w:val="both"/>
      </w:pPr>
      <w:r>
        <w:t>the following line is inserted:</w:t>
      </w:r>
    </w:p>
    <w:p w:rsidR="00142531" w:rsidRPr="00933EA2" w:rsidRDefault="00142531" w:rsidP="00933EA2">
      <w:pPr>
        <w:spacing w:before="120" w:after="120"/>
        <w:jc w:val="both"/>
      </w:pPr>
      <w:r>
        <w:t>‘</w:t>
      </w:r>
    </w:p>
    <w:tbl>
      <w:tblPr>
        <w:tblW w:w="0" w:type="auto"/>
        <w:tblInd w:w="-15" w:type="dxa"/>
        <w:tblLayout w:type="fixed"/>
        <w:tblLook w:val="0000" w:firstRow="0" w:lastRow="0" w:firstColumn="0" w:lastColumn="0" w:noHBand="0" w:noVBand="0"/>
      </w:tblPr>
      <w:tblGrid>
        <w:gridCol w:w="4747"/>
        <w:gridCol w:w="4777"/>
      </w:tblGrid>
      <w:tr w:rsidR="00142531" w:rsidRPr="00933EA2" w:rsidTr="00933EA2">
        <w:trPr>
          <w:cantSplit/>
        </w:trPr>
        <w:tc>
          <w:tcPr>
            <w:tcW w:w="4747" w:type="dxa"/>
            <w:tcBorders>
              <w:top w:val="single" w:sz="4" w:space="0" w:color="000000"/>
              <w:left w:val="single" w:sz="4" w:space="0" w:color="000000"/>
              <w:bottom w:val="single" w:sz="4" w:space="0" w:color="000000"/>
            </w:tcBorders>
            <w:shd w:val="clear" w:color="auto" w:fill="auto"/>
          </w:tcPr>
          <w:p w:rsidR="00142531" w:rsidRPr="00933EA2" w:rsidRDefault="00142531" w:rsidP="00933EA2">
            <w:pPr>
              <w:spacing w:before="120" w:after="120"/>
              <w:jc w:val="both"/>
            </w:pPr>
            <w:r>
              <w:t>D322-9 to D322-22</w:t>
            </w:r>
          </w:p>
        </w:tc>
        <w:tc>
          <w:tcPr>
            <w:tcW w:w="4777" w:type="dxa"/>
            <w:tcBorders>
              <w:top w:val="single" w:sz="4" w:space="0" w:color="000000"/>
              <w:left w:val="single" w:sz="4" w:space="0" w:color="000000"/>
              <w:bottom w:val="single" w:sz="4" w:space="0" w:color="000000"/>
              <w:right w:val="single" w:sz="4" w:space="0" w:color="000000"/>
            </w:tcBorders>
            <w:shd w:val="clear" w:color="auto" w:fill="auto"/>
          </w:tcPr>
          <w:p w:rsidR="00142531" w:rsidRPr="00933EA2" w:rsidRDefault="00142531" w:rsidP="00933EA2">
            <w:pPr>
              <w:spacing w:before="120" w:after="120"/>
              <w:jc w:val="both"/>
            </w:pPr>
            <w:r>
              <w:t>Resulting from Decree No XXX of XXX</w:t>
            </w:r>
          </w:p>
        </w:tc>
      </w:tr>
    </w:tbl>
    <w:p w:rsidR="00142531" w:rsidRPr="00933EA2" w:rsidRDefault="00142531" w:rsidP="00933EA2">
      <w:pPr>
        <w:spacing w:before="120" w:after="120"/>
        <w:jc w:val="right"/>
      </w:pPr>
    </w:p>
    <w:p w:rsidR="00142531" w:rsidRPr="00933EA2" w:rsidRDefault="00142531" w:rsidP="00933EA2">
      <w:pPr>
        <w:spacing w:before="120" w:after="120"/>
        <w:jc w:val="both"/>
      </w:pPr>
      <w:r>
        <w:t>3. After Article R346-1-1, an Article D346-1-2 is inserted, worded as follows:</w:t>
      </w:r>
    </w:p>
    <w:p w:rsidR="00142531" w:rsidRPr="00933EA2" w:rsidRDefault="00142531" w:rsidP="00933EA2">
      <w:pPr>
        <w:spacing w:before="120" w:after="120"/>
        <w:jc w:val="both"/>
      </w:pPr>
      <w:r>
        <w:t>‘</w:t>
      </w:r>
      <w:r>
        <w:rPr>
          <w:i/>
        </w:rPr>
        <w:t>Article D346-1-2</w:t>
      </w:r>
      <w:r>
        <w:t>. – The provisions of this book mentioned in the left-hand column of the table below, as worded in the right column of the same table, shall apply on the islands of Wallis and Futuna:</w:t>
      </w:r>
    </w:p>
    <w:p w:rsidR="00142531" w:rsidRPr="00933EA2" w:rsidRDefault="00142531" w:rsidP="00933EA2">
      <w:pPr>
        <w:spacing w:before="120" w:after="120"/>
      </w:pPr>
    </w:p>
    <w:tbl>
      <w:tblPr>
        <w:tblW w:w="0" w:type="auto"/>
        <w:tblInd w:w="-15" w:type="dxa"/>
        <w:tblLayout w:type="fixed"/>
        <w:tblLook w:val="0000" w:firstRow="0" w:lastRow="0" w:firstColumn="0" w:lastColumn="0" w:noHBand="0" w:noVBand="0"/>
      </w:tblPr>
      <w:tblGrid>
        <w:gridCol w:w="4747"/>
        <w:gridCol w:w="4777"/>
      </w:tblGrid>
      <w:tr w:rsidR="00142531" w:rsidRPr="00933EA2" w:rsidTr="00933EA2">
        <w:trPr>
          <w:cantSplit/>
        </w:trPr>
        <w:tc>
          <w:tcPr>
            <w:tcW w:w="4747" w:type="dxa"/>
            <w:tcBorders>
              <w:top w:val="single" w:sz="4" w:space="0" w:color="000000"/>
              <w:left w:val="single" w:sz="4" w:space="0" w:color="000000"/>
              <w:bottom w:val="single" w:sz="4" w:space="0" w:color="000000"/>
            </w:tcBorders>
            <w:shd w:val="clear" w:color="auto" w:fill="auto"/>
          </w:tcPr>
          <w:p w:rsidR="00142531" w:rsidRPr="00933EA2" w:rsidRDefault="00142531" w:rsidP="00933EA2">
            <w:pPr>
              <w:spacing w:before="120" w:after="120"/>
              <w:jc w:val="center"/>
            </w:pPr>
            <w:r>
              <w:t>APPLICABLE PROVISIONS</w:t>
            </w:r>
          </w:p>
        </w:tc>
        <w:tc>
          <w:tcPr>
            <w:tcW w:w="4777" w:type="dxa"/>
            <w:tcBorders>
              <w:top w:val="single" w:sz="4" w:space="0" w:color="000000"/>
              <w:left w:val="single" w:sz="4" w:space="0" w:color="000000"/>
              <w:bottom w:val="single" w:sz="4" w:space="0" w:color="000000"/>
              <w:right w:val="single" w:sz="4" w:space="0" w:color="000000"/>
            </w:tcBorders>
            <w:shd w:val="clear" w:color="auto" w:fill="auto"/>
          </w:tcPr>
          <w:p w:rsidR="00142531" w:rsidRPr="00933EA2" w:rsidRDefault="00142531" w:rsidP="00933EA2">
            <w:pPr>
              <w:spacing w:before="120" w:after="120"/>
              <w:jc w:val="center"/>
            </w:pPr>
            <w:r>
              <w:t>AS DRAFTED</w:t>
            </w:r>
          </w:p>
        </w:tc>
      </w:tr>
      <w:tr w:rsidR="00142531" w:rsidRPr="00933EA2" w:rsidTr="00933EA2">
        <w:trPr>
          <w:cantSplit/>
        </w:trPr>
        <w:tc>
          <w:tcPr>
            <w:tcW w:w="9524" w:type="dxa"/>
            <w:gridSpan w:val="2"/>
            <w:tcBorders>
              <w:top w:val="single" w:sz="4" w:space="0" w:color="000000"/>
              <w:left w:val="single" w:sz="4" w:space="0" w:color="000000"/>
              <w:bottom w:val="single" w:sz="4" w:space="0" w:color="000000"/>
              <w:right w:val="single" w:sz="4" w:space="0" w:color="000000"/>
            </w:tcBorders>
            <w:shd w:val="clear" w:color="auto" w:fill="auto"/>
          </w:tcPr>
          <w:p w:rsidR="00142531" w:rsidRPr="00933EA2" w:rsidRDefault="00142531" w:rsidP="00933EA2">
            <w:pPr>
              <w:spacing w:before="120" w:after="120"/>
              <w:jc w:val="both"/>
            </w:pPr>
            <w:r>
              <w:t>In Title II</w:t>
            </w:r>
          </w:p>
        </w:tc>
      </w:tr>
      <w:tr w:rsidR="00142531" w:rsidRPr="00933EA2" w:rsidTr="00933EA2">
        <w:trPr>
          <w:cantSplit/>
        </w:trPr>
        <w:tc>
          <w:tcPr>
            <w:tcW w:w="4747" w:type="dxa"/>
            <w:tcBorders>
              <w:top w:val="single" w:sz="4" w:space="0" w:color="000000"/>
              <w:left w:val="single" w:sz="4" w:space="0" w:color="000000"/>
              <w:bottom w:val="single" w:sz="4" w:space="0" w:color="000000"/>
            </w:tcBorders>
            <w:shd w:val="clear" w:color="auto" w:fill="auto"/>
          </w:tcPr>
          <w:p w:rsidR="00142531" w:rsidRPr="00933EA2" w:rsidRDefault="00142531" w:rsidP="00933EA2">
            <w:pPr>
              <w:spacing w:before="120" w:after="120"/>
              <w:jc w:val="both"/>
            </w:pPr>
            <w:r>
              <w:t>D320-1 to D320-10</w:t>
            </w:r>
          </w:p>
        </w:tc>
        <w:tc>
          <w:tcPr>
            <w:tcW w:w="4777" w:type="dxa"/>
            <w:tcBorders>
              <w:top w:val="single" w:sz="4" w:space="0" w:color="000000"/>
              <w:left w:val="single" w:sz="4" w:space="0" w:color="000000"/>
              <w:bottom w:val="single" w:sz="4" w:space="0" w:color="000000"/>
              <w:right w:val="single" w:sz="4" w:space="0" w:color="000000"/>
            </w:tcBorders>
            <w:shd w:val="clear" w:color="auto" w:fill="auto"/>
          </w:tcPr>
          <w:p w:rsidR="00142531" w:rsidRPr="00933EA2" w:rsidRDefault="00142531" w:rsidP="00933EA2">
            <w:pPr>
              <w:spacing w:before="120" w:after="120"/>
              <w:jc w:val="both"/>
            </w:pPr>
            <w:r>
              <w:t>Resulting from Decree No XXX of XXX</w:t>
            </w:r>
          </w:p>
        </w:tc>
      </w:tr>
      <w:tr w:rsidR="00142531" w:rsidRPr="00933EA2" w:rsidTr="00933EA2">
        <w:trPr>
          <w:cantSplit/>
        </w:trPr>
        <w:tc>
          <w:tcPr>
            <w:tcW w:w="4747" w:type="dxa"/>
            <w:tcBorders>
              <w:top w:val="single" w:sz="4" w:space="0" w:color="000000"/>
              <w:left w:val="single" w:sz="4" w:space="0" w:color="000000"/>
              <w:bottom w:val="single" w:sz="4" w:space="0" w:color="000000"/>
            </w:tcBorders>
            <w:shd w:val="clear" w:color="auto" w:fill="auto"/>
          </w:tcPr>
          <w:p w:rsidR="00142531" w:rsidRPr="00933EA2" w:rsidRDefault="00142531" w:rsidP="00933EA2">
            <w:pPr>
              <w:spacing w:before="120" w:after="120"/>
              <w:jc w:val="both"/>
            </w:pPr>
            <w:r>
              <w:t>D322-9 to D322-22</w:t>
            </w:r>
          </w:p>
        </w:tc>
        <w:tc>
          <w:tcPr>
            <w:tcW w:w="4777" w:type="dxa"/>
            <w:tcBorders>
              <w:top w:val="single" w:sz="4" w:space="0" w:color="000000"/>
              <w:left w:val="single" w:sz="4" w:space="0" w:color="000000"/>
              <w:bottom w:val="single" w:sz="4" w:space="0" w:color="000000"/>
              <w:right w:val="single" w:sz="4" w:space="0" w:color="000000"/>
            </w:tcBorders>
            <w:shd w:val="clear" w:color="auto" w:fill="auto"/>
          </w:tcPr>
          <w:p w:rsidR="00142531" w:rsidRPr="00933EA2" w:rsidRDefault="00142531" w:rsidP="00933EA2">
            <w:pPr>
              <w:spacing w:before="120" w:after="120"/>
              <w:jc w:val="both"/>
            </w:pPr>
            <w:r>
              <w:t>Resulting from Decree No XXX of XXX</w:t>
            </w:r>
          </w:p>
        </w:tc>
      </w:tr>
    </w:tbl>
    <w:p w:rsidR="00142531" w:rsidRPr="00933EA2" w:rsidRDefault="00142531" w:rsidP="00933EA2">
      <w:pPr>
        <w:spacing w:before="120" w:after="120"/>
        <w:jc w:val="right"/>
      </w:pPr>
    </w:p>
    <w:p w:rsidR="00142531" w:rsidRPr="00933EA2" w:rsidRDefault="00142531" w:rsidP="00933EA2">
      <w:pPr>
        <w:spacing w:before="120" w:after="120"/>
        <w:jc w:val="both"/>
      </w:pPr>
      <w:r>
        <w:t>4. Chapter VII is supplemented by an Article D347-1, worded as follows:</w:t>
      </w:r>
    </w:p>
    <w:p w:rsidR="00142531" w:rsidRPr="00933EA2" w:rsidRDefault="00142531" w:rsidP="00933EA2">
      <w:pPr>
        <w:spacing w:before="120" w:after="120"/>
        <w:jc w:val="both"/>
      </w:pPr>
      <w:r>
        <w:t>‘</w:t>
      </w:r>
      <w:r>
        <w:rPr>
          <w:i/>
        </w:rPr>
        <w:t>Article D347-1.</w:t>
      </w:r>
      <w:r>
        <w:t xml:space="preserve"> – The provisions of this book mentioned in the left-hand column of the table below, as worded in the right column of the same table, shall apply in the French Southern and Antarctic Lands:</w:t>
      </w:r>
    </w:p>
    <w:p w:rsidR="00142531" w:rsidRPr="00933EA2" w:rsidRDefault="00142531" w:rsidP="00933EA2">
      <w:pPr>
        <w:spacing w:before="120" w:after="120"/>
      </w:pPr>
    </w:p>
    <w:tbl>
      <w:tblPr>
        <w:tblW w:w="0" w:type="auto"/>
        <w:tblInd w:w="-15" w:type="dxa"/>
        <w:tblLayout w:type="fixed"/>
        <w:tblLook w:val="0000" w:firstRow="0" w:lastRow="0" w:firstColumn="0" w:lastColumn="0" w:noHBand="0" w:noVBand="0"/>
      </w:tblPr>
      <w:tblGrid>
        <w:gridCol w:w="4747"/>
        <w:gridCol w:w="4777"/>
      </w:tblGrid>
      <w:tr w:rsidR="00142531" w:rsidRPr="00933EA2" w:rsidTr="00933EA2">
        <w:trPr>
          <w:cantSplit/>
        </w:trPr>
        <w:tc>
          <w:tcPr>
            <w:tcW w:w="4747" w:type="dxa"/>
            <w:tcBorders>
              <w:top w:val="single" w:sz="4" w:space="0" w:color="000000"/>
              <w:left w:val="single" w:sz="4" w:space="0" w:color="000000"/>
              <w:bottom w:val="single" w:sz="4" w:space="0" w:color="000000"/>
            </w:tcBorders>
            <w:shd w:val="clear" w:color="auto" w:fill="auto"/>
          </w:tcPr>
          <w:p w:rsidR="00142531" w:rsidRPr="00933EA2" w:rsidRDefault="00142531" w:rsidP="00933EA2">
            <w:pPr>
              <w:spacing w:before="120" w:after="120"/>
              <w:jc w:val="center"/>
            </w:pPr>
            <w:r>
              <w:t>APPLICABLE PROVISIONS</w:t>
            </w:r>
          </w:p>
        </w:tc>
        <w:tc>
          <w:tcPr>
            <w:tcW w:w="4777" w:type="dxa"/>
            <w:tcBorders>
              <w:top w:val="single" w:sz="4" w:space="0" w:color="000000"/>
              <w:left w:val="single" w:sz="4" w:space="0" w:color="000000"/>
              <w:bottom w:val="single" w:sz="4" w:space="0" w:color="000000"/>
              <w:right w:val="single" w:sz="4" w:space="0" w:color="000000"/>
            </w:tcBorders>
            <w:shd w:val="clear" w:color="auto" w:fill="auto"/>
          </w:tcPr>
          <w:p w:rsidR="00142531" w:rsidRPr="00933EA2" w:rsidRDefault="00142531" w:rsidP="00933EA2">
            <w:pPr>
              <w:spacing w:before="120" w:after="120"/>
              <w:jc w:val="center"/>
            </w:pPr>
            <w:r>
              <w:t>AS DRAFTED</w:t>
            </w:r>
          </w:p>
        </w:tc>
      </w:tr>
      <w:tr w:rsidR="00142531" w:rsidRPr="00933EA2" w:rsidTr="00933EA2">
        <w:trPr>
          <w:cantSplit/>
        </w:trPr>
        <w:tc>
          <w:tcPr>
            <w:tcW w:w="9524" w:type="dxa"/>
            <w:gridSpan w:val="2"/>
            <w:tcBorders>
              <w:top w:val="single" w:sz="4" w:space="0" w:color="000000"/>
              <w:left w:val="single" w:sz="4" w:space="0" w:color="000000"/>
              <w:bottom w:val="single" w:sz="4" w:space="0" w:color="000000"/>
              <w:right w:val="single" w:sz="4" w:space="0" w:color="000000"/>
            </w:tcBorders>
            <w:shd w:val="clear" w:color="auto" w:fill="auto"/>
          </w:tcPr>
          <w:p w:rsidR="00142531" w:rsidRPr="00933EA2" w:rsidRDefault="00142531" w:rsidP="00933EA2">
            <w:pPr>
              <w:spacing w:before="120" w:after="120"/>
              <w:jc w:val="both"/>
            </w:pPr>
            <w:r>
              <w:t>In Title II</w:t>
            </w:r>
          </w:p>
        </w:tc>
      </w:tr>
      <w:tr w:rsidR="00142531" w:rsidRPr="00933EA2" w:rsidTr="00933EA2">
        <w:trPr>
          <w:cantSplit/>
        </w:trPr>
        <w:tc>
          <w:tcPr>
            <w:tcW w:w="4747" w:type="dxa"/>
            <w:tcBorders>
              <w:top w:val="single" w:sz="4" w:space="0" w:color="000000"/>
              <w:left w:val="single" w:sz="4" w:space="0" w:color="000000"/>
              <w:bottom w:val="single" w:sz="4" w:space="0" w:color="000000"/>
            </w:tcBorders>
            <w:shd w:val="clear" w:color="auto" w:fill="auto"/>
          </w:tcPr>
          <w:p w:rsidR="00142531" w:rsidRPr="00933EA2" w:rsidRDefault="00142531" w:rsidP="00933EA2">
            <w:pPr>
              <w:spacing w:before="120" w:after="120"/>
              <w:jc w:val="both"/>
            </w:pPr>
            <w:r>
              <w:t>D320-1 to D320-10</w:t>
            </w:r>
          </w:p>
        </w:tc>
        <w:tc>
          <w:tcPr>
            <w:tcW w:w="4777" w:type="dxa"/>
            <w:tcBorders>
              <w:top w:val="single" w:sz="4" w:space="0" w:color="000000"/>
              <w:left w:val="single" w:sz="4" w:space="0" w:color="000000"/>
              <w:bottom w:val="single" w:sz="4" w:space="0" w:color="000000"/>
              <w:right w:val="single" w:sz="4" w:space="0" w:color="000000"/>
            </w:tcBorders>
            <w:shd w:val="clear" w:color="auto" w:fill="auto"/>
          </w:tcPr>
          <w:p w:rsidR="00142531" w:rsidRPr="00933EA2" w:rsidRDefault="00142531" w:rsidP="00933EA2">
            <w:pPr>
              <w:spacing w:before="120" w:after="120"/>
              <w:jc w:val="both"/>
            </w:pPr>
            <w:r>
              <w:t>Resulting from Decree No XXX of XXX</w:t>
            </w:r>
          </w:p>
        </w:tc>
      </w:tr>
      <w:tr w:rsidR="00142531" w:rsidRPr="00933EA2" w:rsidTr="00933EA2">
        <w:trPr>
          <w:cantSplit/>
        </w:trPr>
        <w:tc>
          <w:tcPr>
            <w:tcW w:w="4747" w:type="dxa"/>
            <w:tcBorders>
              <w:top w:val="single" w:sz="4" w:space="0" w:color="000000"/>
              <w:left w:val="single" w:sz="4" w:space="0" w:color="000000"/>
              <w:bottom w:val="single" w:sz="4" w:space="0" w:color="000000"/>
            </w:tcBorders>
            <w:shd w:val="clear" w:color="auto" w:fill="auto"/>
          </w:tcPr>
          <w:p w:rsidR="00142531" w:rsidRPr="00933EA2" w:rsidRDefault="00142531" w:rsidP="00933EA2">
            <w:pPr>
              <w:spacing w:before="120" w:after="120"/>
              <w:jc w:val="both"/>
            </w:pPr>
            <w:r>
              <w:t>D322-9 to D322-22</w:t>
            </w:r>
          </w:p>
        </w:tc>
        <w:tc>
          <w:tcPr>
            <w:tcW w:w="4777" w:type="dxa"/>
            <w:tcBorders>
              <w:top w:val="single" w:sz="4" w:space="0" w:color="000000"/>
              <w:left w:val="single" w:sz="4" w:space="0" w:color="000000"/>
              <w:bottom w:val="single" w:sz="4" w:space="0" w:color="000000"/>
              <w:right w:val="single" w:sz="4" w:space="0" w:color="000000"/>
            </w:tcBorders>
            <w:shd w:val="clear" w:color="auto" w:fill="auto"/>
          </w:tcPr>
          <w:p w:rsidR="00142531" w:rsidRPr="00933EA2" w:rsidRDefault="00142531" w:rsidP="00933EA2">
            <w:pPr>
              <w:spacing w:before="120" w:after="120"/>
              <w:jc w:val="both"/>
            </w:pPr>
            <w:r>
              <w:t>Resulting from Decree No XXX of XXX</w:t>
            </w:r>
          </w:p>
        </w:tc>
      </w:tr>
    </w:tbl>
    <w:p w:rsidR="00142531" w:rsidRPr="00933EA2" w:rsidRDefault="00142531" w:rsidP="00933EA2">
      <w:pPr>
        <w:spacing w:after="200" w:line="276" w:lineRule="auto"/>
        <w:jc w:val="both"/>
        <w:rPr>
          <w:rFonts w:eastAsiaTheme="minorHAnsi"/>
          <w:b/>
        </w:rPr>
      </w:pPr>
    </w:p>
    <w:p w:rsidR="00834E0B" w:rsidRPr="00933EA2" w:rsidRDefault="00142531" w:rsidP="00933EA2">
      <w:pPr>
        <w:keepNext/>
        <w:keepLines/>
        <w:spacing w:after="200" w:line="276" w:lineRule="auto"/>
        <w:jc w:val="center"/>
        <w:rPr>
          <w:rFonts w:eastAsiaTheme="minorHAnsi"/>
          <w:b/>
        </w:rPr>
      </w:pPr>
      <w:r>
        <w:rPr>
          <w:rFonts w:eastAsiaTheme="minorHAnsi"/>
          <w:b/>
        </w:rPr>
        <w:t>TITLE XI: FINAL AND TRANSITIONAL PROVISIONS</w:t>
      </w:r>
    </w:p>
    <w:p w:rsidR="00834E0B" w:rsidRDefault="00C342AB" w:rsidP="00933EA2">
      <w:pPr>
        <w:pStyle w:val="BodyText"/>
        <w:keepNext/>
        <w:keepLines/>
        <w:jc w:val="center"/>
        <w:rPr>
          <w:b/>
        </w:rPr>
      </w:pPr>
      <w:r>
        <w:rPr>
          <w:b/>
        </w:rPr>
        <w:t>Article 51</w:t>
      </w:r>
    </w:p>
    <w:p w:rsidR="00933EA2" w:rsidRPr="00933EA2" w:rsidRDefault="00933EA2" w:rsidP="00933EA2">
      <w:pPr>
        <w:keepNext/>
        <w:keepLines/>
        <w:rPr>
          <w:b/>
        </w:rPr>
      </w:pPr>
    </w:p>
    <w:p w:rsidR="00834E0B" w:rsidRPr="00933EA2" w:rsidRDefault="00834E0B" w:rsidP="00933EA2">
      <w:pPr>
        <w:spacing w:after="200" w:line="276" w:lineRule="auto"/>
        <w:jc w:val="both"/>
        <w:rPr>
          <w:rFonts w:eastAsiaTheme="minorHAnsi"/>
        </w:rPr>
      </w:pPr>
      <w:r>
        <w:t>The following are repealed:</w:t>
      </w:r>
    </w:p>
    <w:p w:rsidR="00834E0B" w:rsidRPr="00933EA2" w:rsidRDefault="00834E0B" w:rsidP="00933EA2">
      <w:pPr>
        <w:spacing w:after="200" w:line="276" w:lineRule="auto"/>
        <w:jc w:val="both"/>
        <w:rPr>
          <w:rFonts w:eastAsiaTheme="minorHAnsi"/>
        </w:rPr>
      </w:pPr>
      <w:r>
        <w:t>- Decree No 2010-605 of 4 June 2010 concerning the maximum ratio of amounts paid on average to players by licensed online horse-race and sports betting operators;</w:t>
      </w:r>
    </w:p>
    <w:p w:rsidR="00834E0B" w:rsidRPr="00933EA2" w:rsidRDefault="00834E0B" w:rsidP="00933EA2">
      <w:pPr>
        <w:spacing w:after="200" w:line="276" w:lineRule="auto"/>
        <w:jc w:val="both"/>
        <w:rPr>
          <w:rFonts w:eastAsiaTheme="minorHAnsi"/>
        </w:rPr>
      </w:pPr>
      <w:r>
        <w:t>- Decree No 2010-614 of 7 June 2010 on the conditions for marketing rights relating to the organisation of bets in connection with a sports event or competition;</w:t>
      </w:r>
    </w:p>
    <w:p w:rsidR="00834E0B" w:rsidRPr="00933EA2" w:rsidRDefault="00834E0B" w:rsidP="00933EA2">
      <w:pPr>
        <w:spacing w:after="200" w:line="276" w:lineRule="auto"/>
        <w:jc w:val="both"/>
        <w:rPr>
          <w:rFonts w:eastAsiaTheme="minorHAnsi"/>
        </w:rPr>
      </w:pPr>
      <w:r>
        <w:t>- Decree No 2010-483 of 12 May 2010 on the sports competitions and types of sports results defined by the Online gambling regulatory authority (ARJEL).</w:t>
      </w:r>
    </w:p>
    <w:p w:rsidR="004A5445" w:rsidRPr="00933EA2" w:rsidRDefault="004A5445" w:rsidP="00933EA2">
      <w:pPr>
        <w:pStyle w:val="BodyText"/>
      </w:pPr>
    </w:p>
    <w:p w:rsidR="00045126" w:rsidRPr="00933EA2" w:rsidRDefault="004A5445" w:rsidP="00933EA2">
      <w:pPr>
        <w:pStyle w:val="BodyText"/>
        <w:keepNext/>
        <w:keepLines/>
        <w:jc w:val="center"/>
        <w:rPr>
          <w:b/>
        </w:rPr>
      </w:pPr>
      <w:r>
        <w:rPr>
          <w:b/>
        </w:rPr>
        <w:lastRenderedPageBreak/>
        <w:t>Article 52</w:t>
      </w:r>
    </w:p>
    <w:p w:rsidR="004A5445" w:rsidRPr="00933EA2" w:rsidRDefault="004A5445" w:rsidP="00933EA2">
      <w:pPr>
        <w:keepNext/>
        <w:keepLines/>
        <w:rPr>
          <w:b/>
        </w:rPr>
      </w:pPr>
    </w:p>
    <w:p w:rsidR="00F77C81" w:rsidRPr="00933EA2" w:rsidRDefault="00F77C81" w:rsidP="00933EA2">
      <w:pPr>
        <w:spacing w:after="200" w:line="276" w:lineRule="auto"/>
        <w:jc w:val="both"/>
        <w:rPr>
          <w:rFonts w:eastAsiaTheme="minorHAnsi"/>
        </w:rPr>
      </w:pPr>
      <w:r>
        <w:t>This decree shall enter into force on 15 March 2020, with the exception of Articles 45 and 46, which shall enter into force as of the first meeting of the board of the National Gambling Authority and Articles D320-10 and D320-12 of the Internal Security Code as worded as a result of this decree, which shall enter into force on 1 April 2020.</w:t>
      </w:r>
    </w:p>
    <w:p w:rsidR="00F77C81" w:rsidRDefault="00C342AB" w:rsidP="00933EA2">
      <w:pPr>
        <w:pStyle w:val="BodyText"/>
        <w:keepNext/>
        <w:keepLines/>
        <w:jc w:val="center"/>
        <w:rPr>
          <w:b/>
        </w:rPr>
      </w:pPr>
      <w:r>
        <w:rPr>
          <w:b/>
        </w:rPr>
        <w:t>Article 53</w:t>
      </w:r>
    </w:p>
    <w:p w:rsidR="00933EA2" w:rsidRPr="00933EA2" w:rsidRDefault="00933EA2" w:rsidP="00933EA2">
      <w:pPr>
        <w:keepNext/>
        <w:keepLines/>
        <w:rPr>
          <w:b/>
        </w:rPr>
      </w:pPr>
    </w:p>
    <w:p w:rsidR="00045126" w:rsidRPr="00933EA2" w:rsidRDefault="00E47B2C" w:rsidP="00933EA2">
      <w:pPr>
        <w:spacing w:after="200" w:line="276" w:lineRule="auto"/>
        <w:jc w:val="both"/>
        <w:rPr>
          <w:rFonts w:eastAsiaTheme="minorHAnsi"/>
        </w:rPr>
      </w:pPr>
      <w:r>
        <w:t xml:space="preserve">The Minister for Solidarity and Health, the Minister of Economy and Finance and the Minister for Public Action and Accounts shall be responsible, each in their field of influence, for the implementation of this decree, which shall be published in the </w:t>
      </w:r>
      <w:r>
        <w:rPr>
          <w:i/>
        </w:rPr>
        <w:t>Official Journal</w:t>
      </w:r>
      <w:r>
        <w:t xml:space="preserve"> of the French Republic.</w:t>
      </w:r>
    </w:p>
    <w:p w:rsidR="00045126" w:rsidRPr="00933EA2" w:rsidRDefault="00045126" w:rsidP="00933EA2">
      <w:pPr>
        <w:jc w:val="both"/>
      </w:pPr>
    </w:p>
    <w:p w:rsidR="00045126" w:rsidRPr="00933EA2" w:rsidRDefault="00045126" w:rsidP="00933EA2">
      <w:pPr>
        <w:pStyle w:val="SNDate"/>
      </w:pPr>
      <w:r>
        <w:t>Done on [date]</w:t>
      </w:r>
    </w:p>
    <w:p w:rsidR="00045126" w:rsidRPr="00933EA2" w:rsidRDefault="00045126" w:rsidP="00933EA2">
      <w:pPr>
        <w:pStyle w:val="SNContreseing"/>
      </w:pPr>
      <w:r>
        <w:t>By the Prime Minister:</w:t>
      </w:r>
    </w:p>
    <w:p w:rsidR="002639F9" w:rsidRPr="00933EA2" w:rsidRDefault="002639F9" w:rsidP="00933EA2">
      <w:pPr>
        <w:pStyle w:val="SNSignatureGauche"/>
      </w:pPr>
    </w:p>
    <w:p w:rsidR="002639F9" w:rsidRPr="00933EA2" w:rsidRDefault="002639F9" w:rsidP="00933EA2">
      <w:pPr>
        <w:pStyle w:val="SNSignatureGauche"/>
      </w:pPr>
      <w:r>
        <w:t>The Minister for Health,</w:t>
      </w:r>
    </w:p>
    <w:p w:rsidR="002639F9" w:rsidRPr="00933EA2" w:rsidRDefault="002639F9" w:rsidP="00933EA2">
      <w:pPr>
        <w:pStyle w:val="SNSignatureGauche"/>
      </w:pPr>
      <w:r>
        <w:t>The Minister of Economy and Finance,</w:t>
      </w:r>
    </w:p>
    <w:p w:rsidR="0084714D" w:rsidRPr="00933EA2" w:rsidRDefault="00045126" w:rsidP="00933EA2">
      <w:pPr>
        <w:pStyle w:val="SNSignatureGauche"/>
      </w:pPr>
      <w:r>
        <w:lastRenderedPageBreak/>
        <w:t>The Minister for Public Action and Accounts,</w:t>
      </w:r>
    </w:p>
    <w:p w:rsidR="002639F9" w:rsidRPr="00933EA2" w:rsidRDefault="002639F9" w:rsidP="00933EA2">
      <w:r>
        <w:tab/>
        <w:t>The Minister for the Interior,</w:t>
      </w:r>
    </w:p>
    <w:p w:rsidR="0084714D" w:rsidRPr="00933EA2" w:rsidRDefault="0084714D" w:rsidP="00933EA2">
      <w:r>
        <w:tab/>
      </w:r>
    </w:p>
    <w:p w:rsidR="0084714D" w:rsidRPr="00933EA2" w:rsidRDefault="0084714D" w:rsidP="00933EA2"/>
    <w:p w:rsidR="0084714D" w:rsidRPr="00933EA2" w:rsidRDefault="0084714D" w:rsidP="00933EA2">
      <w:r>
        <w:tab/>
      </w:r>
    </w:p>
    <w:p w:rsidR="0084714D" w:rsidRPr="00933EA2" w:rsidRDefault="0084714D" w:rsidP="00933EA2"/>
    <w:p w:rsidR="0084714D" w:rsidRPr="00933EA2" w:rsidRDefault="0084714D" w:rsidP="00933EA2"/>
    <w:p w:rsidR="0084714D" w:rsidRPr="00933EA2" w:rsidRDefault="0084714D" w:rsidP="00933EA2">
      <w:r>
        <w:tab/>
      </w:r>
    </w:p>
    <w:p w:rsidR="0084714D" w:rsidRPr="00933EA2" w:rsidRDefault="0084714D" w:rsidP="00933EA2"/>
    <w:p w:rsidR="0084714D" w:rsidRPr="00933EA2" w:rsidRDefault="0084714D" w:rsidP="00933EA2"/>
    <w:p w:rsidR="0084714D" w:rsidRPr="00933EA2" w:rsidRDefault="0084714D" w:rsidP="00933EA2"/>
    <w:p w:rsidR="0084714D" w:rsidRPr="00933EA2" w:rsidRDefault="0084714D" w:rsidP="00933EA2">
      <w:r>
        <w:tab/>
        <w:t>The Minister for Sport,</w:t>
      </w:r>
    </w:p>
    <w:p w:rsidR="00045126" w:rsidRPr="00933EA2" w:rsidRDefault="00045126" w:rsidP="00933EA2">
      <w:pPr>
        <w:pStyle w:val="SNSignatureprnomnomDroite"/>
      </w:pPr>
    </w:p>
    <w:p w:rsidR="00FA6DCF" w:rsidRPr="00933EA2" w:rsidRDefault="00FA6DCF" w:rsidP="00933EA2"/>
    <w:sectPr w:rsidR="00FA6DCF" w:rsidRPr="00933EA2">
      <w:pgSz w:w="11906" w:h="16838"/>
      <w:pgMar w:top="1134" w:right="1418" w:bottom="1418"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AD13AB"/>
    <w:multiLevelType w:val="hybridMultilevel"/>
    <w:tmpl w:val="9D22A510"/>
    <w:lvl w:ilvl="0" w:tplc="7352B29C">
      <w:start w:val="1"/>
      <w:numFmt w:val="bullet"/>
      <w:lvlText w:val="-"/>
      <w:lvlJc w:val="left"/>
      <w:pPr>
        <w:ind w:left="36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2E105388"/>
    <w:multiLevelType w:val="hybridMultilevel"/>
    <w:tmpl w:val="51688AC2"/>
    <w:lvl w:ilvl="0" w:tplc="A358F4A0">
      <w:start w:val="1"/>
      <w:numFmt w:val="bullet"/>
      <w:lvlText w:val="-"/>
      <w:lvlJc w:val="left"/>
      <w:pPr>
        <w:ind w:left="36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390705FC"/>
    <w:multiLevelType w:val="hybridMultilevel"/>
    <w:tmpl w:val="62164F08"/>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56DE4FB9"/>
    <w:multiLevelType w:val="hybridMultilevel"/>
    <w:tmpl w:val="5B147600"/>
    <w:lvl w:ilvl="0" w:tplc="FB9E8B52">
      <w:numFmt w:val="bullet"/>
      <w:lvlText w:val="-"/>
      <w:lvlJc w:val="left"/>
      <w:pPr>
        <w:ind w:left="1065" w:hanging="705"/>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doNotHyphenateCaps/>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5126"/>
    <w:rsid w:val="00045126"/>
    <w:rsid w:val="000546D5"/>
    <w:rsid w:val="000B249A"/>
    <w:rsid w:val="00116832"/>
    <w:rsid w:val="00142531"/>
    <w:rsid w:val="001441BB"/>
    <w:rsid w:val="001A3887"/>
    <w:rsid w:val="001A748C"/>
    <w:rsid w:val="001C08C5"/>
    <w:rsid w:val="001D2F2A"/>
    <w:rsid w:val="001D5634"/>
    <w:rsid w:val="00236A47"/>
    <w:rsid w:val="00240CB2"/>
    <w:rsid w:val="002639F9"/>
    <w:rsid w:val="00274506"/>
    <w:rsid w:val="0028694A"/>
    <w:rsid w:val="0030487E"/>
    <w:rsid w:val="00342260"/>
    <w:rsid w:val="00361A86"/>
    <w:rsid w:val="003640D7"/>
    <w:rsid w:val="003A46B9"/>
    <w:rsid w:val="003A7FAA"/>
    <w:rsid w:val="003E77DA"/>
    <w:rsid w:val="00452EF3"/>
    <w:rsid w:val="004A5445"/>
    <w:rsid w:val="004A5492"/>
    <w:rsid w:val="0053784D"/>
    <w:rsid w:val="005460E9"/>
    <w:rsid w:val="00591BC1"/>
    <w:rsid w:val="00605C60"/>
    <w:rsid w:val="006E57E4"/>
    <w:rsid w:val="006F46AB"/>
    <w:rsid w:val="00757561"/>
    <w:rsid w:val="00794988"/>
    <w:rsid w:val="007A780D"/>
    <w:rsid w:val="007C0916"/>
    <w:rsid w:val="007E61D1"/>
    <w:rsid w:val="00805098"/>
    <w:rsid w:val="00813F86"/>
    <w:rsid w:val="008332C7"/>
    <w:rsid w:val="0083472E"/>
    <w:rsid w:val="00834E0B"/>
    <w:rsid w:val="0084714D"/>
    <w:rsid w:val="008701C9"/>
    <w:rsid w:val="0087707C"/>
    <w:rsid w:val="00897E35"/>
    <w:rsid w:val="008B0867"/>
    <w:rsid w:val="0091270F"/>
    <w:rsid w:val="00933EA2"/>
    <w:rsid w:val="0096792E"/>
    <w:rsid w:val="00B148A7"/>
    <w:rsid w:val="00B267A3"/>
    <w:rsid w:val="00B705CF"/>
    <w:rsid w:val="00B84182"/>
    <w:rsid w:val="00B8530E"/>
    <w:rsid w:val="00B86A8C"/>
    <w:rsid w:val="00BC35EB"/>
    <w:rsid w:val="00BD5FA1"/>
    <w:rsid w:val="00C342AB"/>
    <w:rsid w:val="00C5585F"/>
    <w:rsid w:val="00CD4953"/>
    <w:rsid w:val="00CE7325"/>
    <w:rsid w:val="00D13FBA"/>
    <w:rsid w:val="00D546FF"/>
    <w:rsid w:val="00DC5B05"/>
    <w:rsid w:val="00DD75EA"/>
    <w:rsid w:val="00E47B2C"/>
    <w:rsid w:val="00E60B45"/>
    <w:rsid w:val="00E83532"/>
    <w:rsid w:val="00E93956"/>
    <w:rsid w:val="00EB04CB"/>
    <w:rsid w:val="00F25772"/>
    <w:rsid w:val="00F52FE4"/>
    <w:rsid w:val="00F77C81"/>
    <w:rsid w:val="00FA6DCF"/>
  </w:rsids>
  <m:mathPr>
    <m:mathFont m:val="Cambria Math"/>
    <m:brkBin m:val="before"/>
    <m:brkBinSub m:val="--"/>
    <m:smallFrac m:val="0"/>
    <m:dispDef/>
    <m:lMargin m:val="0"/>
    <m:rMargin m:val="0"/>
    <m:defJc m:val="centerGroup"/>
    <m:wrapIndent m:val="1440"/>
    <m:intLim m:val="subSup"/>
    <m:naryLim m:val="undOvr"/>
  </m:mathPr>
  <w:themeFontLang w:val="fr-FR"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39E0A74-7BC4-49AB-B314-5DDEBE6A56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GB" w:bidi="en-GB"/>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45126"/>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NREPUBLIQUE">
    <w:name w:val="SNREPUBLIQUE"/>
    <w:basedOn w:val="Normal"/>
    <w:rsid w:val="00045126"/>
    <w:pPr>
      <w:jc w:val="center"/>
    </w:pPr>
    <w:rPr>
      <w:b/>
      <w:bCs/>
      <w:szCs w:val="20"/>
    </w:rPr>
  </w:style>
  <w:style w:type="paragraph" w:customStyle="1" w:styleId="SNNature">
    <w:name w:val="SNNature"/>
    <w:basedOn w:val="Normal"/>
    <w:next w:val="Normal"/>
    <w:autoRedefine/>
    <w:rsid w:val="00045126"/>
    <w:pPr>
      <w:widowControl w:val="0"/>
      <w:suppressLineNumbers/>
      <w:suppressAutoHyphens/>
      <w:spacing w:before="720" w:after="120"/>
      <w:jc w:val="center"/>
    </w:pPr>
    <w:rPr>
      <w:rFonts w:eastAsia="Lucida Sans Unicode"/>
      <w:b/>
      <w:bCs/>
    </w:rPr>
  </w:style>
  <w:style w:type="paragraph" w:customStyle="1" w:styleId="SNNORCentr">
    <w:name w:val="SNNOR+Centré"/>
    <w:next w:val="SNAutorit"/>
    <w:rsid w:val="00045126"/>
    <w:pPr>
      <w:spacing w:after="0" w:line="240" w:lineRule="auto"/>
      <w:jc w:val="center"/>
    </w:pPr>
    <w:rPr>
      <w:rFonts w:ascii="Times New Roman" w:eastAsia="Times New Roman" w:hAnsi="Times New Roman" w:cs="Times New Roman"/>
      <w:bCs/>
      <w:sz w:val="24"/>
      <w:szCs w:val="20"/>
    </w:rPr>
  </w:style>
  <w:style w:type="paragraph" w:customStyle="1" w:styleId="SNAutorit">
    <w:name w:val="SNAutorité"/>
    <w:basedOn w:val="Normal"/>
    <w:autoRedefine/>
    <w:rsid w:val="00045126"/>
    <w:pPr>
      <w:spacing w:before="720" w:after="240"/>
      <w:ind w:firstLine="720"/>
    </w:pPr>
    <w:rPr>
      <w:b/>
    </w:rPr>
  </w:style>
  <w:style w:type="paragraph" w:customStyle="1" w:styleId="SNSignatureprnomnomDroite">
    <w:name w:val="SNSignature prénom+nom Droite"/>
    <w:basedOn w:val="Normal"/>
    <w:next w:val="SNSignatureGauche"/>
    <w:rsid w:val="00045126"/>
    <w:pPr>
      <w:spacing w:before="120" w:after="120"/>
      <w:ind w:left="5041"/>
      <w:jc w:val="right"/>
    </w:pPr>
    <w:rPr>
      <w:color w:val="000000"/>
    </w:rPr>
  </w:style>
  <w:style w:type="paragraph" w:customStyle="1" w:styleId="SNSignatureGauche">
    <w:name w:val="SNSignatureGauche"/>
    <w:basedOn w:val="Normal"/>
    <w:next w:val="Normal"/>
    <w:autoRedefine/>
    <w:rsid w:val="002639F9"/>
    <w:pPr>
      <w:spacing w:before="120" w:after="1680"/>
      <w:ind w:left="720" w:right="4494"/>
      <w:jc w:val="both"/>
    </w:pPr>
  </w:style>
  <w:style w:type="paragraph" w:customStyle="1" w:styleId="SNTimbre">
    <w:name w:val="SNTimbre"/>
    <w:basedOn w:val="Normal"/>
    <w:link w:val="SNTimbreCar"/>
    <w:autoRedefine/>
    <w:rsid w:val="00045126"/>
    <w:pPr>
      <w:widowControl w:val="0"/>
      <w:suppressAutoHyphens/>
      <w:snapToGrid w:val="0"/>
      <w:spacing w:before="120"/>
      <w:jc w:val="center"/>
    </w:pPr>
    <w:rPr>
      <w:rFonts w:eastAsia="Lucida Sans Unicode"/>
    </w:rPr>
  </w:style>
  <w:style w:type="character" w:customStyle="1" w:styleId="SNTimbreCar">
    <w:name w:val="SNTimbre Car"/>
    <w:basedOn w:val="DefaultParagraphFont"/>
    <w:link w:val="SNTimbre"/>
    <w:rsid w:val="00045126"/>
    <w:rPr>
      <w:rFonts w:ascii="Times New Roman" w:eastAsia="Lucida Sans Unicode" w:hAnsi="Times New Roman" w:cs="Times New Roman"/>
      <w:sz w:val="24"/>
      <w:szCs w:val="24"/>
      <w:lang w:eastAsia="en-GB"/>
    </w:rPr>
  </w:style>
  <w:style w:type="paragraph" w:customStyle="1" w:styleId="SNRapport">
    <w:name w:val="SNRapport"/>
    <w:basedOn w:val="Normal"/>
    <w:autoRedefine/>
    <w:rsid w:val="00D13FBA"/>
    <w:pPr>
      <w:spacing w:before="240" w:after="120"/>
      <w:ind w:firstLine="720"/>
      <w:jc w:val="both"/>
    </w:pPr>
  </w:style>
  <w:style w:type="paragraph" w:customStyle="1" w:styleId="SNDate">
    <w:name w:val="SNDate"/>
    <w:basedOn w:val="Normal"/>
    <w:next w:val="SNContreseing"/>
    <w:link w:val="SNDateCar"/>
    <w:autoRedefine/>
    <w:rsid w:val="00045126"/>
    <w:pPr>
      <w:spacing w:before="480" w:after="2760"/>
      <w:ind w:firstLine="720"/>
    </w:pPr>
  </w:style>
  <w:style w:type="paragraph" w:customStyle="1" w:styleId="SNContreseing">
    <w:name w:val="SNContreseing"/>
    <w:basedOn w:val="Normal"/>
    <w:next w:val="SNSignatureGauche"/>
    <w:autoRedefine/>
    <w:rsid w:val="00045126"/>
    <w:pPr>
      <w:spacing w:before="480"/>
      <w:ind w:firstLine="720"/>
    </w:pPr>
  </w:style>
  <w:style w:type="character" w:customStyle="1" w:styleId="SNDateCar">
    <w:name w:val="SNDate Car"/>
    <w:basedOn w:val="DefaultParagraphFont"/>
    <w:link w:val="SNDate"/>
    <w:rsid w:val="00045126"/>
    <w:rPr>
      <w:rFonts w:ascii="Times New Roman" w:eastAsia="Times New Roman" w:hAnsi="Times New Roman" w:cs="Times New Roman"/>
      <w:sz w:val="24"/>
      <w:szCs w:val="24"/>
      <w:lang w:eastAsia="en-GB"/>
    </w:rPr>
  </w:style>
  <w:style w:type="paragraph" w:customStyle="1" w:styleId="SNActe">
    <w:name w:val="SNActe"/>
    <w:basedOn w:val="Normal"/>
    <w:autoRedefine/>
    <w:rsid w:val="00045126"/>
    <w:pPr>
      <w:spacing w:before="480" w:after="360"/>
      <w:jc w:val="center"/>
    </w:pPr>
    <w:rPr>
      <w:b/>
    </w:rPr>
  </w:style>
  <w:style w:type="paragraph" w:customStyle="1" w:styleId="SNArticle">
    <w:name w:val="SNArticle"/>
    <w:basedOn w:val="Normal"/>
    <w:next w:val="BodyText"/>
    <w:link w:val="SNArticleCar"/>
    <w:autoRedefine/>
    <w:rsid w:val="00045126"/>
    <w:pPr>
      <w:spacing w:before="240" w:after="240"/>
      <w:jc w:val="center"/>
    </w:pPr>
    <w:rPr>
      <w:b/>
    </w:rPr>
  </w:style>
  <w:style w:type="character" w:customStyle="1" w:styleId="SNArticleCar">
    <w:name w:val="SNArticle Car"/>
    <w:basedOn w:val="DefaultParagraphFont"/>
    <w:link w:val="SNArticle"/>
    <w:rsid w:val="00045126"/>
    <w:rPr>
      <w:rFonts w:ascii="Times New Roman" w:eastAsia="Times New Roman" w:hAnsi="Times New Roman" w:cs="Times New Roman"/>
      <w:b/>
      <w:sz w:val="24"/>
      <w:szCs w:val="24"/>
      <w:lang w:eastAsia="en-GB"/>
    </w:rPr>
  </w:style>
  <w:style w:type="paragraph" w:styleId="ListParagraph">
    <w:name w:val="List Paragraph"/>
    <w:basedOn w:val="Normal"/>
    <w:uiPriority w:val="34"/>
    <w:qFormat/>
    <w:rsid w:val="00045126"/>
    <w:pPr>
      <w:ind w:left="720"/>
      <w:contextualSpacing/>
    </w:pPr>
  </w:style>
  <w:style w:type="paragraph" w:styleId="BodyText">
    <w:name w:val="Body Text"/>
    <w:basedOn w:val="Normal"/>
    <w:link w:val="BodyTextChar"/>
    <w:uiPriority w:val="99"/>
    <w:semiHidden/>
    <w:unhideWhenUsed/>
    <w:rsid w:val="00045126"/>
    <w:pPr>
      <w:spacing w:after="120"/>
    </w:pPr>
  </w:style>
  <w:style w:type="character" w:customStyle="1" w:styleId="BodyTextChar">
    <w:name w:val="Body Text Char"/>
    <w:basedOn w:val="DefaultParagraphFont"/>
    <w:link w:val="BodyText"/>
    <w:uiPriority w:val="99"/>
    <w:semiHidden/>
    <w:rsid w:val="00045126"/>
    <w:rPr>
      <w:rFonts w:ascii="Times New Roman" w:eastAsia="Times New Roman" w:hAnsi="Times New Roman" w:cs="Times New Roman"/>
      <w:sz w:val="24"/>
      <w:szCs w:val="24"/>
      <w:lang w:eastAsia="en-GB"/>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sid w:val="007E61D1"/>
    <w:rPr>
      <w:sz w:val="20"/>
      <w:szCs w:val="20"/>
    </w:rPr>
  </w:style>
  <w:style w:type="paragraph" w:styleId="BalloonText">
    <w:name w:val="Balloon Text"/>
    <w:basedOn w:val="Normal"/>
    <w:link w:val="BalloonTextChar"/>
    <w:uiPriority w:val="99"/>
    <w:semiHidden/>
    <w:unhideWhenUsed/>
    <w:rsid w:val="007E61D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E61D1"/>
    <w:rPr>
      <w:rFonts w:ascii="Segoe UI" w:eastAsia="Times New Roman" w:hAnsi="Segoe UI" w:cs="Segoe UI"/>
      <w:sz w:val="18"/>
      <w:szCs w:val="18"/>
      <w:lang w:eastAsia="en-GB"/>
    </w:rPr>
  </w:style>
  <w:style w:type="character" w:styleId="Hyperlink">
    <w:name w:val="Hyperlink"/>
    <w:basedOn w:val="DefaultParagraphFont"/>
    <w:uiPriority w:val="99"/>
    <w:unhideWhenUsed/>
    <w:rsid w:val="0084714D"/>
    <w:rPr>
      <w:color w:val="0563C1" w:themeColor="hyperlink"/>
      <w:u w:val="single"/>
    </w:rPr>
  </w:style>
  <w:style w:type="paragraph" w:styleId="CommentSubject">
    <w:name w:val="annotation subject"/>
    <w:basedOn w:val="CommentText"/>
    <w:next w:val="CommentText"/>
    <w:link w:val="CommentSubjectChar"/>
    <w:uiPriority w:val="99"/>
    <w:semiHidden/>
    <w:unhideWhenUsed/>
    <w:rsid w:val="00236A47"/>
    <w:rPr>
      <w:b/>
      <w:bCs/>
    </w:rPr>
  </w:style>
  <w:style w:type="character" w:customStyle="1" w:styleId="CommentSubjectChar">
    <w:name w:val="Comment Subject Char"/>
    <w:basedOn w:val="CommentTextChar"/>
    <w:link w:val="CommentSubject"/>
    <w:uiPriority w:val="99"/>
    <w:semiHidden/>
    <w:rsid w:val="00236A47"/>
    <w:rPr>
      <w:rFonts w:ascii="Times New Roman" w:eastAsia="Times New Roman" w:hAnsi="Times New Roman" w:cs="Times New Roman"/>
      <w:b/>
      <w:bCs/>
      <w:sz w:val="20"/>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egifrance.gouv.fr/affichTexteArticle.do?cidTexte=JORFTEXT000022204510&amp;idArticle=JORFARTI000022204556&amp;categorieLien=cid" TargetMode="External"/><Relationship Id="rId3" Type="http://schemas.openxmlformats.org/officeDocument/2006/relationships/settings" Target="settings.xml"/><Relationship Id="rId7" Type="http://schemas.openxmlformats.org/officeDocument/2006/relationships/hyperlink" Target="http://www.legifrance.gouv.fr/jopdf/common/jo_pdf.jsp?numJO=0&amp;dateJO=20151021&amp;numTexte=6&amp;pageDebut=19518&amp;pageFin=19519"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legifrance.gouv.fr/affichTexteArticle.do?cidTexte=JORFTEXT000022204510&amp;idArticle=JORFARTI000022204556&amp;categorieLien=cid" TargetMode="External"/><Relationship Id="rId5" Type="http://schemas.openxmlformats.org/officeDocument/2006/relationships/hyperlink" Target="http://www.legifrance.gouv.fr/"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33</TotalTime>
  <Pages>23</Pages>
  <Words>7601</Words>
  <Characters>43332</Characters>
  <Application>Microsoft Office Word</Application>
  <DocSecurity>0</DocSecurity>
  <Lines>361</Lines>
  <Paragraphs>101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Secrétariat Général</Company>
  <LinksUpToDate>false</LinksUpToDate>
  <CharactersWithSpaces>50832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LAPERDRIX Erwann</dc:creator>
  <cp:keywords/>
  <dc:description/>
  <cp:lastModifiedBy>KARAGIANNI, Maria</cp:lastModifiedBy>
  <cp:revision>5</cp:revision>
  <cp:lastPrinted>2019-12-10T18:02:00Z</cp:lastPrinted>
  <dcterms:created xsi:type="dcterms:W3CDTF">2019-12-11T10:40:00Z</dcterms:created>
  <dcterms:modified xsi:type="dcterms:W3CDTF">2019-12-20T17:16:00Z</dcterms:modified>
</cp:coreProperties>
</file>