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EA2" w:rsidRPr="00933EA2" w:rsidRDefault="00933EA2" w:rsidP="00933EA2">
      <w:pPr>
        <w:rPr>
          <w:rFonts w:ascii="Courier New" w:hAnsi="Courier New" w:cs="Courier New"/>
          <w:sz w:val="20"/>
        </w:rPr>
      </w:pPr>
      <w:r>
        <w:rPr>
          <w:rFonts w:ascii="Courier New" w:hAnsi="Courier New"/>
          <w:sz w:val="20"/>
        </w:rPr>
        <w:t>1.</w:t>
      </w:r>
      <w:r w:rsidR="00D84837">
        <w:rPr>
          <w:rFonts w:ascii="Courier New" w:hAnsi="Courier New"/>
          <w:sz w:val="20"/>
        </w:rPr>
        <w:t xml:space="preserve"> </w:t>
      </w:r>
      <w:bookmarkStart w:id="0" w:name="_GoBack"/>
      <w:bookmarkEnd w:id="0"/>
      <w:r>
        <w:rPr>
          <w:rFonts w:ascii="Courier New" w:hAnsi="Courier New"/>
          <w:sz w:val="20"/>
        </w:rPr>
        <w:t>------IND- 2019 0632 F</w:t>
      </w:r>
      <w:r w:rsidR="00513BA8">
        <w:rPr>
          <w:rFonts w:ascii="Courier New" w:hAnsi="Courier New"/>
          <w:sz w:val="20"/>
        </w:rPr>
        <w:t>-</w:t>
      </w:r>
      <w:r>
        <w:rPr>
          <w:rFonts w:ascii="Courier New" w:hAnsi="Courier New"/>
          <w:sz w:val="20"/>
        </w:rPr>
        <w:t>- RO- ------ 20191224 --- --- PROJET</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045126" w:rsidRPr="00933EA2" w:rsidTr="00B86A8C">
        <w:trPr>
          <w:cantSplit/>
        </w:trPr>
        <w:tc>
          <w:tcPr>
            <w:tcW w:w="3982" w:type="dxa"/>
            <w:gridSpan w:val="3"/>
          </w:tcPr>
          <w:p w:rsidR="00045126" w:rsidRPr="00933EA2" w:rsidRDefault="00045126" w:rsidP="00933EA2">
            <w:pPr>
              <w:pStyle w:val="SNREPUBLIQUE"/>
            </w:pPr>
            <w:r>
              <w:t>REPUBLICA FRANCEZĂ</w:t>
            </w:r>
          </w:p>
        </w:tc>
      </w:tr>
      <w:tr w:rsidR="0091270F" w:rsidTr="00B86A8C">
        <w:trPr>
          <w:cantSplit/>
          <w:trHeight w:hRule="exact" w:val="113"/>
        </w:trPr>
        <w:tc>
          <w:tcPr>
            <w:tcW w:w="1527" w:type="dxa"/>
          </w:tcPr>
          <w:p w:rsidR="00045126" w:rsidRPr="00933EA2" w:rsidRDefault="00045126" w:rsidP="00933EA2"/>
        </w:tc>
        <w:tc>
          <w:tcPr>
            <w:tcW w:w="968" w:type="dxa"/>
          </w:tcPr>
          <w:p w:rsidR="00045126" w:rsidRPr="00933EA2" w:rsidRDefault="00045126" w:rsidP="00933EA2"/>
        </w:tc>
        <w:tc>
          <w:tcPr>
            <w:tcW w:w="1487" w:type="dxa"/>
          </w:tcPr>
          <w:p w:rsidR="00045126" w:rsidRPr="00933EA2" w:rsidRDefault="00045126" w:rsidP="00933EA2"/>
        </w:tc>
      </w:tr>
      <w:tr w:rsidR="00045126" w:rsidRPr="00933EA2" w:rsidTr="00B86A8C">
        <w:trPr>
          <w:cantSplit/>
        </w:trPr>
        <w:tc>
          <w:tcPr>
            <w:tcW w:w="3982" w:type="dxa"/>
            <w:gridSpan w:val="3"/>
          </w:tcPr>
          <w:p w:rsidR="00045126" w:rsidRPr="00933EA2" w:rsidRDefault="00045126" w:rsidP="00933EA2">
            <w:pPr>
              <w:pStyle w:val="SNTimbre"/>
              <w:widowControl/>
            </w:pPr>
            <w:r>
              <w:t>Ministerul Acțiunii și Conturilor Publice</w:t>
            </w:r>
          </w:p>
        </w:tc>
      </w:tr>
      <w:tr w:rsidR="0091270F" w:rsidTr="00B86A8C">
        <w:trPr>
          <w:cantSplit/>
          <w:trHeight w:hRule="exact" w:val="227"/>
        </w:trPr>
        <w:tc>
          <w:tcPr>
            <w:tcW w:w="1527" w:type="dxa"/>
          </w:tcPr>
          <w:p w:rsidR="00045126" w:rsidRPr="00933EA2" w:rsidRDefault="00045126" w:rsidP="00933EA2"/>
        </w:tc>
        <w:tc>
          <w:tcPr>
            <w:tcW w:w="968" w:type="dxa"/>
          </w:tcPr>
          <w:p w:rsidR="00045126" w:rsidRPr="00933EA2" w:rsidRDefault="00045126" w:rsidP="00933EA2"/>
        </w:tc>
        <w:tc>
          <w:tcPr>
            <w:tcW w:w="1487" w:type="dxa"/>
          </w:tcPr>
          <w:p w:rsidR="00045126" w:rsidRPr="00933EA2" w:rsidRDefault="00045126" w:rsidP="00933EA2"/>
        </w:tc>
      </w:tr>
      <w:tr w:rsidR="00045126" w:rsidRPr="00933EA2" w:rsidTr="00B86A8C">
        <w:trPr>
          <w:cantSplit/>
          <w:trHeight w:hRule="exact" w:val="227"/>
        </w:trPr>
        <w:tc>
          <w:tcPr>
            <w:tcW w:w="1527" w:type="dxa"/>
          </w:tcPr>
          <w:p w:rsidR="00045126" w:rsidRPr="00933EA2" w:rsidRDefault="00045126" w:rsidP="00933EA2"/>
        </w:tc>
        <w:tc>
          <w:tcPr>
            <w:tcW w:w="968" w:type="dxa"/>
          </w:tcPr>
          <w:p w:rsidR="00045126" w:rsidRPr="00933EA2" w:rsidRDefault="00045126" w:rsidP="00933EA2"/>
        </w:tc>
        <w:tc>
          <w:tcPr>
            <w:tcW w:w="1487" w:type="dxa"/>
          </w:tcPr>
          <w:p w:rsidR="00045126" w:rsidRPr="00933EA2" w:rsidRDefault="00045126" w:rsidP="00933EA2"/>
        </w:tc>
      </w:tr>
    </w:tbl>
    <w:p w:rsidR="00045126" w:rsidRPr="00933EA2" w:rsidRDefault="00045126" w:rsidP="00933EA2">
      <w:pPr>
        <w:pStyle w:val="SNNature"/>
        <w:keepNext/>
        <w:keepLines/>
        <w:widowControl/>
      </w:pPr>
      <w:r>
        <w:t>Proiect de decret privind metodele de reglementare ale Oficiului Național pentru Jocuri de Noroc</w:t>
      </w:r>
    </w:p>
    <w:p w:rsidR="00045126" w:rsidRPr="00933EA2" w:rsidRDefault="00045126" w:rsidP="00933EA2">
      <w:pPr>
        <w:pStyle w:val="SNNORCentr"/>
        <w:keepNext/>
        <w:keepLines/>
      </w:pPr>
      <w:r>
        <w:t>NR:CPAB1930945D</w:t>
      </w:r>
    </w:p>
    <w:p w:rsidR="00045126" w:rsidRPr="00933EA2" w:rsidRDefault="00045126" w:rsidP="00933EA2">
      <w:pPr>
        <w:pStyle w:val="SNAutorit"/>
        <w:keepNext/>
        <w:keepLines/>
        <w:jc w:val="both"/>
        <w:rPr>
          <w:b w:val="0"/>
          <w:i/>
        </w:rPr>
      </w:pPr>
      <w:r>
        <w:rPr>
          <w:i/>
        </w:rPr>
        <w:t>Categorii de public vizate:</w:t>
      </w:r>
      <w:r>
        <w:rPr>
          <w:b w:val="0"/>
          <w:i/>
        </w:rPr>
        <w:t>Oficiul Național pentru Jocuri de Noroc (ONJN), operatorii de jocuri de noroc sau de pariuri online, societatea La Française des jeux.</w:t>
      </w:r>
    </w:p>
    <w:p w:rsidR="00045126" w:rsidRPr="00933EA2" w:rsidRDefault="00045126" w:rsidP="00933EA2">
      <w:pPr>
        <w:pStyle w:val="SNAutorit"/>
        <w:spacing w:before="120"/>
        <w:jc w:val="both"/>
        <w:rPr>
          <w:b w:val="0"/>
          <w:i/>
        </w:rPr>
      </w:pPr>
      <w:r>
        <w:rPr>
          <w:i/>
        </w:rPr>
        <w:t>Obiect:</w:t>
      </w:r>
      <w:r>
        <w:rPr>
          <w:b w:val="0"/>
          <w:i/>
        </w:rPr>
        <w:t>metodele de reglementare ale oficiului național pentru jocuri de noroc</w:t>
      </w:r>
    </w:p>
    <w:p w:rsidR="00045126" w:rsidRPr="00933EA2" w:rsidRDefault="00045126" w:rsidP="00933EA2">
      <w:pPr>
        <w:pStyle w:val="SNAutorit"/>
        <w:spacing w:before="120"/>
        <w:jc w:val="both"/>
        <w:rPr>
          <w:b w:val="0"/>
          <w:i/>
        </w:rPr>
      </w:pPr>
      <w:r>
        <w:rPr>
          <w:i/>
        </w:rPr>
        <w:t>Intrare în vigoare:</w:t>
      </w:r>
      <w:r>
        <w:rPr>
          <w:b w:val="0"/>
          <w:i/>
        </w:rPr>
        <w:t>La data de 15 martie 2020, cu excepția articolelor 45 și 46 care intră în vigoare de la data primei reuniuni a colegiului Oficiului Național pentru Jocuri de Noroc și a articolelor D. 320-10 și D. 320-12 din Codul securității naționale, în formularea lor care reiese din prezentul decret, care intră în vigoare la 1 aprilie 2020.</w:t>
      </w:r>
    </w:p>
    <w:p w:rsidR="00045126" w:rsidRPr="00933EA2" w:rsidRDefault="00045126" w:rsidP="00933EA2">
      <w:pPr>
        <w:pStyle w:val="SNAutorit"/>
        <w:spacing w:before="120"/>
        <w:jc w:val="both"/>
        <w:rPr>
          <w:b w:val="0"/>
          <w:i/>
        </w:rPr>
      </w:pPr>
      <w:r>
        <w:rPr>
          <w:i/>
        </w:rPr>
        <w:t>Observație:</w:t>
      </w:r>
      <w:r>
        <w:rPr>
          <w:b w:val="0"/>
          <w:i/>
        </w:rPr>
        <w:t>articolul 137 din Legea nr. 486/2019 din 22 mai 2019 privind dezvoltarea și transformarea întreprinderilor prevede autorizarea ca guvernul să adopte, prin ordonanță, măsuri de reformare a reglementării sectorului jocurilor cu premii în bani și a jocurilor de noroc.</w:t>
      </w:r>
      <w:r w:rsidR="00870029">
        <w:rPr>
          <w:b w:val="0"/>
          <w:i/>
        </w:rPr>
        <w:t xml:space="preserve"> </w:t>
      </w:r>
      <w:r>
        <w:rPr>
          <w:b w:val="0"/>
          <w:i/>
        </w:rPr>
        <w:t>Domeniul de aplicare al autorizației include, de asemenea, metodele de reglementare a sectorului jocurilor de noroc, în special dispozițiile aplicabile autorității menționate la articolul 34 din Legea nr. 476/2010 din 12 mai 2010 privind deschiderea către concurenţă şi reglementarea sectorului jocurilor de noroc online, în scopul înființării unei autorități administrative de supraveghere și de reglementare independente care să ofere garanții că acționează în mod independent atunci când își îndeplinește sarcinile.</w:t>
      </w:r>
      <w:r w:rsidR="00870029">
        <w:rPr>
          <w:b w:val="0"/>
          <w:i/>
        </w:rPr>
        <w:t xml:space="preserve"> </w:t>
      </w:r>
      <w:r>
        <w:rPr>
          <w:b w:val="0"/>
          <w:i/>
        </w:rPr>
        <w:t>Scopul prezentului decret este de a specifica metodele de reglementare exercitate de Oficiul Național pentru Jocuri de Noroc.</w:t>
      </w:r>
    </w:p>
    <w:p w:rsidR="0084714D" w:rsidRPr="00933EA2" w:rsidRDefault="00045126" w:rsidP="00933EA2">
      <w:pPr>
        <w:pStyle w:val="SNAutorit"/>
        <w:spacing w:before="120"/>
        <w:jc w:val="both"/>
        <w:rPr>
          <w:b w:val="0"/>
          <w:i/>
        </w:rPr>
      </w:pPr>
      <w:r>
        <w:rPr>
          <w:i/>
        </w:rPr>
        <w:t>Trimiteri:</w:t>
      </w:r>
      <w:r>
        <w:rPr>
          <w:b w:val="0"/>
          <w:i/>
        </w:rPr>
        <w:t>prezentul decret și Codul securității naționale pe care îl modifică, în formularea care reiese din această modificare, pot fi consultate pe site-ul Légifrance (</w:t>
      </w:r>
      <w:hyperlink r:id="rId5" w:history="1">
        <w:r>
          <w:rPr>
            <w:rStyle w:val="Hyperlink"/>
            <w:b w:val="0"/>
            <w:i/>
          </w:rPr>
          <w:t>http://www.legifrance.gouv.fr</w:t>
        </w:r>
      </w:hyperlink>
      <w:r>
        <w:rPr>
          <w:b w:val="0"/>
          <w:i/>
        </w:rPr>
        <w:t>).</w:t>
      </w:r>
    </w:p>
    <w:p w:rsidR="00045126" w:rsidRPr="00933EA2" w:rsidRDefault="0084714D" w:rsidP="00933EA2">
      <w:pPr>
        <w:pStyle w:val="SNAutorit"/>
        <w:spacing w:before="120"/>
        <w:jc w:val="both"/>
        <w:rPr>
          <w:b w:val="0"/>
          <w:i/>
        </w:rPr>
      </w:pPr>
      <w:r>
        <w:t>Prim-ministrul,</w:t>
      </w:r>
    </w:p>
    <w:p w:rsidR="00045126" w:rsidRPr="00933EA2" w:rsidRDefault="00045126" w:rsidP="00933EA2">
      <w:pPr>
        <w:pStyle w:val="SNRapport"/>
      </w:pPr>
      <w:r>
        <w:t>În baza raportului ministrului finanțelor și economiei și al ministrului acțiunii și conturilor publice,</w:t>
      </w:r>
    </w:p>
    <w:p w:rsidR="0084714D" w:rsidRPr="00933EA2" w:rsidRDefault="0084714D" w:rsidP="00933EA2">
      <w:pPr>
        <w:pStyle w:val="SNRapport"/>
      </w:pPr>
      <w:r>
        <w:t>Având în vedere Directiva (UE) 2015/1535 a Parlamentului European şi a Consiliului din 9 septembrie 2015 referitoare la procedura de furnizare de informaţii în domeniul reglementărilor tehnice şi al normelor privind serviciile societăţii informaţionale,</w:t>
      </w:r>
    </w:p>
    <w:p w:rsidR="0084714D" w:rsidRPr="00933EA2" w:rsidRDefault="0084714D" w:rsidP="00933EA2">
      <w:pPr>
        <w:pStyle w:val="SNRapport"/>
      </w:pPr>
      <w:r>
        <w:t>Având în vedere Codul civil, în special articolul 1,</w:t>
      </w:r>
    </w:p>
    <w:p w:rsidR="00045126" w:rsidRPr="00933EA2" w:rsidRDefault="00045126" w:rsidP="00933EA2">
      <w:pPr>
        <w:pStyle w:val="SNRapport"/>
      </w:pPr>
      <w:r>
        <w:lastRenderedPageBreak/>
        <w:t>Având în vedere Codul monetar și financiar,</w:t>
      </w:r>
    </w:p>
    <w:p w:rsidR="00045126" w:rsidRPr="00933EA2" w:rsidRDefault="00045126" w:rsidP="00933EA2">
      <w:pPr>
        <w:pStyle w:val="SNRapport"/>
      </w:pPr>
      <w:r>
        <w:t>Având în vedere Codul securității naționale, în special partea III titlul IV,</w:t>
      </w:r>
    </w:p>
    <w:p w:rsidR="00D13FBA" w:rsidRPr="00933EA2" w:rsidRDefault="00D13FBA" w:rsidP="00933EA2">
      <w:pPr>
        <w:pStyle w:val="SNRapport"/>
      </w:pPr>
      <w:r>
        <w:t>Având în vedere Codul sportului,</w:t>
      </w:r>
    </w:p>
    <w:p w:rsidR="00045126" w:rsidRPr="00933EA2" w:rsidRDefault="00045126" w:rsidP="00933EA2">
      <w:pPr>
        <w:pStyle w:val="SNRapport"/>
      </w:pPr>
      <w:r>
        <w:t>Având în vedere Legea nr. 476/2010 din 12 mai 2010 privind deschiderea spre concurență și reglementarea sectorului jocurilor de noroc online, astfel cum a fost modificată,</w:t>
      </w:r>
    </w:p>
    <w:p w:rsidR="00142531" w:rsidRPr="00933EA2" w:rsidRDefault="00045126" w:rsidP="00933EA2">
      <w:pPr>
        <w:pStyle w:val="SNRapport"/>
      </w:pPr>
      <w:r>
        <w:t>Având în vedere Legea nr. 486/2019 din 22 mai 2019 privind dezvoltarea și transformarea întreprinderilor, în special articolul 137,</w:t>
      </w:r>
    </w:p>
    <w:p w:rsidR="00045126" w:rsidRPr="00933EA2" w:rsidRDefault="00045126" w:rsidP="00933EA2">
      <w:pPr>
        <w:pStyle w:val="SNRapport"/>
      </w:pPr>
      <w:r>
        <w:t>Având în vedere Ordonanța nr. 1015/2019 din 2 octombrie 2019 de reformare a reglementării în domeniul jocurilor de noroc,</w:t>
      </w:r>
    </w:p>
    <w:p w:rsidR="001A3887" w:rsidRPr="00933EA2" w:rsidRDefault="001A3887" w:rsidP="00933EA2">
      <w:pPr>
        <w:pStyle w:val="SNRapport"/>
      </w:pPr>
      <w:r>
        <w:rPr>
          <w:highlight w:val="yellow"/>
        </w:rPr>
        <w:t>Având în vedere Decretul nr. din XX XXXX XXXX privind modalitățile de furnizare a ofertei de jocuri și a datelor referitoare la jocuri (CPAB1926918D),</w:t>
      </w:r>
    </w:p>
    <w:p w:rsidR="00142531" w:rsidRPr="00933EA2" w:rsidRDefault="00BC35EB" w:rsidP="00933EA2">
      <w:pPr>
        <w:pStyle w:val="SNRapport"/>
      </w:pPr>
      <w:r>
        <w:t>Având în vedere Decretul nr. 1060/2019 din 17 octombrie 2019 privind procedurile de aplicare a controlului strict al statului asupra societății La Française des jeux,</w:t>
      </w:r>
    </w:p>
    <w:p w:rsidR="00142531" w:rsidRPr="00933EA2" w:rsidRDefault="00142531" w:rsidP="00933EA2">
      <w:pPr>
        <w:pStyle w:val="SNRapport"/>
      </w:pPr>
      <w:r>
        <w:t>Având în vedere Decretul nr. 1061/2019 din 17 octombrie 2019 referitor la oferta de jocuri a societății La Française des jeux și a grupului de interes economic „Pari mutuel urbain”,</w:t>
      </w:r>
    </w:p>
    <w:p w:rsidR="00045126" w:rsidRPr="00933EA2" w:rsidRDefault="00045126" w:rsidP="00933EA2">
      <w:pPr>
        <w:pStyle w:val="SNActe"/>
        <w:keepNext/>
        <w:keepLines/>
      </w:pPr>
      <w:r>
        <w:t>Hotărăște:</w:t>
      </w:r>
    </w:p>
    <w:p w:rsidR="007E61D1" w:rsidRPr="00933EA2" w:rsidRDefault="00DD75EA" w:rsidP="00933EA2">
      <w:pPr>
        <w:pStyle w:val="SNArticle"/>
        <w:keepNext/>
        <w:keepLines/>
      </w:pPr>
      <w:r>
        <w:t>TITLUL I:MODALITĂȚI DE CONTROL ȘI DE APLICARE A OBLIGAȚIILOR CARE LE REVIN OPERATORILOR DE JOCURI SAU PARIURI</w:t>
      </w:r>
    </w:p>
    <w:p w:rsidR="007E61D1" w:rsidRPr="00933EA2" w:rsidRDefault="007E61D1" w:rsidP="00933EA2">
      <w:pPr>
        <w:keepNext/>
        <w:keepLines/>
        <w:jc w:val="center"/>
        <w:rPr>
          <w:b/>
        </w:rPr>
      </w:pPr>
      <w:r>
        <w:rPr>
          <w:b/>
        </w:rPr>
        <w:t>Articolul 1</w:t>
      </w:r>
    </w:p>
    <w:p w:rsidR="00813F86" w:rsidRPr="00933EA2" w:rsidRDefault="00813F86" w:rsidP="00933EA2">
      <w:pPr>
        <w:keepNext/>
        <w:keepLines/>
        <w:jc w:val="both"/>
      </w:pPr>
    </w:p>
    <w:p w:rsidR="00794988" w:rsidRPr="00933EA2" w:rsidRDefault="00794988" w:rsidP="00933EA2">
      <w:pPr>
        <w:jc w:val="both"/>
      </w:pPr>
      <w:r>
        <w:t>În conformitate cu dispozițiile de la articolul 34 alineatul (2) punctul IX din Legea din 12 mai 2010 sus-menționată, societatea care operează un cazinou sau un club de jocuri și face parte dintr-un grup de societăți care operează cazinouri sau cluburi poate prezenta spre aprobare la Oficiul Național pentru Jocuri de Noroc un plan de acțiune comun pentru toate societățile din grupul respectiv.</w:t>
      </w:r>
      <w:r w:rsidR="00870029">
        <w:t xml:space="preserve"> </w:t>
      </w:r>
      <w:r>
        <w:t>Lista societăților care fac parte din grupul respectiv figurează astfel în planul de acțiune.</w:t>
      </w:r>
    </w:p>
    <w:p w:rsidR="00794988" w:rsidRPr="00933EA2" w:rsidRDefault="00794988" w:rsidP="00933EA2">
      <w:pPr>
        <w:jc w:val="both"/>
        <w:rPr>
          <w:rFonts w:asciiTheme="minorHAnsi" w:eastAsiaTheme="minorHAnsi" w:hAnsiTheme="minorHAnsi" w:cstheme="minorBidi"/>
          <w:sz w:val="20"/>
          <w:szCs w:val="20"/>
          <w:lang w:eastAsia="en-US"/>
        </w:rPr>
      </w:pPr>
    </w:p>
    <w:p w:rsidR="00794988" w:rsidRPr="00933EA2" w:rsidRDefault="00794988" w:rsidP="00933EA2">
      <w:pPr>
        <w:jc w:val="both"/>
      </w:pPr>
      <w:r>
        <w:t>În conformitate cu dispozițiile de la articolul 34 alineatul (2) punctul IX din Legea din 12 mai 2010 sus-menționată, o societate care operează două sau mai multe cazinouri și cluburi de jocuri poate prezenta spre aprobare la Oficiul Național pentru Jocuri de Noroc un plan de acțiune comun aplicabil în cazinourile sau cluburile respective.</w:t>
      </w:r>
      <w:r w:rsidR="00870029">
        <w:t xml:space="preserve"> </w:t>
      </w:r>
      <w:r>
        <w:t>Lista cazinourilor și a cluburilor de jocuri apare astfel în planul de acțiune.</w:t>
      </w:r>
    </w:p>
    <w:p w:rsidR="00794988" w:rsidRPr="00933EA2" w:rsidRDefault="00794988" w:rsidP="00933EA2">
      <w:pPr>
        <w:jc w:val="both"/>
      </w:pPr>
    </w:p>
    <w:p w:rsidR="007E61D1" w:rsidRPr="00933EA2" w:rsidRDefault="00794988" w:rsidP="00933EA2">
      <w:pPr>
        <w:jc w:val="both"/>
      </w:pPr>
      <w:r>
        <w:t>Atunci când se utilizează opțiunea prevăzută la alineatele (1) și (2), Oficiul Național pentru Jocuri de Noroc poate solicita comunicarea oricărui document sau a oricăror informații suplimentare înainte de a adopta o decizie cu privire la cererea de aprobare care i-a fost prezentată.</w:t>
      </w:r>
    </w:p>
    <w:p w:rsidR="00794988" w:rsidRPr="00933EA2" w:rsidRDefault="00794988" w:rsidP="00933EA2">
      <w:pPr>
        <w:jc w:val="both"/>
      </w:pPr>
    </w:p>
    <w:p w:rsidR="007E61D1" w:rsidRPr="00933EA2" w:rsidRDefault="007E61D1" w:rsidP="00933EA2">
      <w:pPr>
        <w:keepNext/>
        <w:keepLines/>
        <w:jc w:val="center"/>
        <w:rPr>
          <w:b/>
        </w:rPr>
      </w:pPr>
      <w:r>
        <w:rPr>
          <w:b/>
        </w:rPr>
        <w:lastRenderedPageBreak/>
        <w:t>Articolul 2</w:t>
      </w:r>
    </w:p>
    <w:p w:rsidR="007E61D1" w:rsidRPr="00933EA2" w:rsidRDefault="007E61D1" w:rsidP="00933EA2">
      <w:pPr>
        <w:keepNext/>
        <w:keepLines/>
        <w:jc w:val="both"/>
        <w:rPr>
          <w:b/>
        </w:rPr>
      </w:pPr>
    </w:p>
    <w:p w:rsidR="007E61D1" w:rsidRPr="00933EA2" w:rsidRDefault="007E61D1" w:rsidP="00933EA2">
      <w:pPr>
        <w:jc w:val="both"/>
      </w:pPr>
      <w:r>
        <w:t>În cazul hipodromurilor, planul de acțiune menționat la articolul 34 alineatul (2) punctul IX din Legea din 12 mai 2010 sus-menționată poate fi comun mai multor societăți de curse care operează hipodromurile respective, din momentul în care este aplicat de către toate societățile.</w:t>
      </w:r>
      <w:r w:rsidR="00870029">
        <w:t xml:space="preserve"> </w:t>
      </w:r>
      <w:r>
        <w:t>Lista societăților de curse și a hipodromurilor respective trebuie să fie prezentată în planul de acțiune.</w:t>
      </w:r>
      <w:r w:rsidR="00870029">
        <w:t xml:space="preserve"> </w:t>
      </w:r>
      <w:r>
        <w:t>Oficiul Național pentru Jocuri de Noroc poate solicita fiecărei societăți de curse să transmită orice document suplimentar care îi permite autorității să evalueze planul de acțiune al societății în vederea prevenirii practicării în mod excesiv și de către minori a jocurilor și în vederea promovării practicării la un nivel rezonabil a jocurilor de noroc, precum și bilanțul societății privind punerea în aplicare a planului menționat pentru anul precedent.</w:t>
      </w:r>
    </w:p>
    <w:p w:rsidR="007E61D1" w:rsidRPr="00933EA2" w:rsidRDefault="007E61D1" w:rsidP="00933EA2">
      <w:pPr>
        <w:jc w:val="both"/>
      </w:pPr>
    </w:p>
    <w:p w:rsidR="007E61D1" w:rsidRPr="00933EA2" w:rsidRDefault="007E61D1" w:rsidP="00933EA2">
      <w:pPr>
        <w:keepNext/>
        <w:keepLines/>
        <w:jc w:val="center"/>
        <w:rPr>
          <w:b/>
        </w:rPr>
      </w:pPr>
      <w:r>
        <w:rPr>
          <w:b/>
        </w:rPr>
        <w:t>Articolul 3</w:t>
      </w:r>
    </w:p>
    <w:p w:rsidR="007E61D1" w:rsidRPr="00933EA2" w:rsidRDefault="007E61D1" w:rsidP="00933EA2">
      <w:pPr>
        <w:keepNext/>
        <w:keepLines/>
        <w:jc w:val="both"/>
        <w:rPr>
          <w:b/>
        </w:rPr>
      </w:pPr>
    </w:p>
    <w:p w:rsidR="007E61D1" w:rsidRPr="00933EA2" w:rsidRDefault="007E61D1" w:rsidP="00933EA2">
      <w:pPr>
        <w:jc w:val="both"/>
      </w:pPr>
      <w:r>
        <w:t>În cazul hipodromurilor, societățile de curse pot fi scutite de la stabilirea clasificării riscurilor prevăzute la articolul L.561-4-1 din Codul monetar și financiar și de la procedurile de control intern prevăzute la articolul L 561-32 din același cod, în mod individual, în scopul unei puneri în aplicare comune la nivelul Federației Naționale a Curselor Hipice, care se subordonează Oficiului Național pentru Jocuri de Noroc, menționând lista societăților de curse și a hipodromurilor vizate.</w:t>
      </w:r>
      <w:r w:rsidR="00870029">
        <w:t xml:space="preserve"> </w:t>
      </w:r>
      <w:r>
        <w:t>Dacă există riscuri specifice, în special în ceea ce privește valoarea ofertei de pariuri și suma mizelor, procedurile trebuie adaptate în consecință.</w:t>
      </w:r>
      <w:r w:rsidR="00870029">
        <w:t xml:space="preserve"> </w:t>
      </w:r>
      <w:r>
        <w:t>Oficiul Național pentru Jocuri de Noroc poate solicita fiecărei societăți de curse să transmită orice document suplimentar care îi permite evaluarea acțiunilor sale în lupta împotriva spălării banilor și finanțării terorismului.</w:t>
      </w:r>
    </w:p>
    <w:p w:rsidR="007E61D1" w:rsidRPr="00933EA2" w:rsidRDefault="007E61D1" w:rsidP="00933EA2">
      <w:pPr>
        <w:jc w:val="both"/>
      </w:pPr>
    </w:p>
    <w:p w:rsidR="007E61D1" w:rsidRPr="00933EA2" w:rsidRDefault="007E61D1" w:rsidP="00933EA2">
      <w:pPr>
        <w:keepNext/>
        <w:keepLines/>
        <w:jc w:val="center"/>
        <w:rPr>
          <w:b/>
        </w:rPr>
      </w:pPr>
      <w:r>
        <w:rPr>
          <w:b/>
        </w:rPr>
        <w:t>Articolul 4</w:t>
      </w:r>
    </w:p>
    <w:p w:rsidR="007E61D1" w:rsidRPr="00933EA2" w:rsidRDefault="007E61D1" w:rsidP="00933EA2">
      <w:pPr>
        <w:keepNext/>
        <w:keepLines/>
        <w:jc w:val="both"/>
        <w:rPr>
          <w:b/>
        </w:rPr>
      </w:pPr>
    </w:p>
    <w:p w:rsidR="007E61D1" w:rsidRPr="00933EA2" w:rsidRDefault="007E61D1" w:rsidP="00933EA2">
      <w:pPr>
        <w:jc w:val="both"/>
      </w:pPr>
      <w:r>
        <w:t>În cazul hipodromurilor, controlul poate fi efectuat pe baza documentației comune a tuturor societăților de curse care utilizează același furnizor de servicii pentru furnizarea și întreținerea sistemelor lor informatice sau prin auditul sistemelor informatice furnizate de același furnizor de servicii.</w:t>
      </w:r>
      <w:r w:rsidR="00870029">
        <w:t xml:space="preserve"> </w:t>
      </w:r>
      <w:r>
        <w:t>Oficiul Național pentru Jocuri de Noroc poate solicita fiecărei societăți de curse să prezinte eventuale documente suplimentare.</w:t>
      </w:r>
    </w:p>
    <w:p w:rsidR="007E61D1" w:rsidRPr="00933EA2" w:rsidRDefault="007E61D1" w:rsidP="00933EA2">
      <w:pPr>
        <w:jc w:val="both"/>
      </w:pPr>
    </w:p>
    <w:p w:rsidR="007E61D1" w:rsidRPr="00933EA2" w:rsidRDefault="007E61D1" w:rsidP="00933EA2">
      <w:pPr>
        <w:keepNext/>
        <w:keepLines/>
        <w:jc w:val="center"/>
        <w:rPr>
          <w:b/>
        </w:rPr>
      </w:pPr>
      <w:r>
        <w:rPr>
          <w:b/>
        </w:rPr>
        <w:t>Articolul 5</w:t>
      </w:r>
    </w:p>
    <w:p w:rsidR="007E61D1" w:rsidRPr="00933EA2" w:rsidRDefault="007E61D1" w:rsidP="00933EA2">
      <w:pPr>
        <w:keepNext/>
        <w:keepLines/>
        <w:jc w:val="both"/>
        <w:rPr>
          <w:b/>
        </w:rPr>
      </w:pPr>
    </w:p>
    <w:p w:rsidR="007E61D1" w:rsidRPr="00933EA2" w:rsidRDefault="007E61D1" w:rsidP="00933EA2">
      <w:pPr>
        <w:jc w:val="both"/>
      </w:pPr>
      <w:r>
        <w:t>Înainte de luna martie a fiecărui an, operatorii care dețin drepturi exclusive prezintă Oficiului Național pentru Jocuri de Noroc un raport în care detaliază, pentru anul precedent, suma reală a bugetului care corespunde cel puțin cu 0,002 % din mize, proiectele de cercetare finanțate și însoțite de validarea organismului desemnat prin decretul XX XXXX XXXX sus-menționat (CPAB1926918D) și valoarea contribuției plătite, în conformitate cu dispozițiile de la articolul 3 din Legea din 12 mai 2010 sus-menționată.</w:t>
      </w:r>
    </w:p>
    <w:p w:rsidR="007E61D1" w:rsidRPr="00933EA2" w:rsidRDefault="007E61D1" w:rsidP="00933EA2">
      <w:pPr>
        <w:jc w:val="both"/>
      </w:pPr>
    </w:p>
    <w:p w:rsidR="007E61D1" w:rsidRPr="00933EA2" w:rsidRDefault="00DD75EA" w:rsidP="00933EA2">
      <w:pPr>
        <w:keepNext/>
        <w:keepLines/>
        <w:jc w:val="both"/>
      </w:pPr>
      <w:r>
        <w:rPr>
          <w:b/>
        </w:rPr>
        <w:t>TITLUL II:MODALITĂȚI ȘI CONDIȚII DE APROBARE A STRATEGIILOR DE PROMOVARE ALE OPERATORILOR DE JOCURI SAU DE PARIURI</w:t>
      </w:r>
    </w:p>
    <w:p w:rsidR="007E61D1" w:rsidRPr="00933EA2" w:rsidRDefault="007E61D1" w:rsidP="00933EA2">
      <w:pPr>
        <w:keepNext/>
        <w:keepLines/>
        <w:jc w:val="both"/>
      </w:pPr>
    </w:p>
    <w:p w:rsidR="007E61D1" w:rsidRPr="00933EA2" w:rsidRDefault="007E61D1" w:rsidP="00933EA2">
      <w:pPr>
        <w:keepNext/>
        <w:keepLines/>
        <w:tabs>
          <w:tab w:val="left" w:pos="225"/>
        </w:tabs>
        <w:jc w:val="center"/>
        <w:rPr>
          <w:b/>
          <w:bCs/>
        </w:rPr>
      </w:pPr>
      <w:r>
        <w:rPr>
          <w:b/>
          <w:bCs/>
        </w:rPr>
        <w:t>Articolul 6</w:t>
      </w:r>
    </w:p>
    <w:p w:rsidR="007E61D1" w:rsidRPr="00933EA2" w:rsidRDefault="007E61D1" w:rsidP="00933EA2">
      <w:pPr>
        <w:keepNext/>
        <w:keepLines/>
        <w:tabs>
          <w:tab w:val="left" w:pos="225"/>
        </w:tabs>
        <w:jc w:val="both"/>
        <w:rPr>
          <w:bCs/>
        </w:rPr>
      </w:pPr>
    </w:p>
    <w:p w:rsidR="007E61D1" w:rsidRPr="00933EA2" w:rsidRDefault="007E61D1" w:rsidP="00933EA2">
      <w:pPr>
        <w:keepNext/>
        <w:keepLines/>
        <w:tabs>
          <w:tab w:val="left" w:pos="225"/>
        </w:tabs>
        <w:jc w:val="both"/>
        <w:rPr>
          <w:bCs/>
        </w:rPr>
      </w:pPr>
      <w:r>
        <w:t>Înainte de data de 30 octombrie a fiecărui an, operatorii care dețin drepturi exclusive și operatorii de jocuri sau pariuri online prezintă spre aprobare strategia de promovare pe orice suport la Oficiul Național pentru Jocuri de Noroc.</w:t>
      </w:r>
    </w:p>
    <w:p w:rsidR="007E61D1" w:rsidRPr="00933EA2" w:rsidRDefault="007E61D1" w:rsidP="00933EA2">
      <w:pPr>
        <w:tabs>
          <w:tab w:val="left" w:pos="225"/>
        </w:tabs>
        <w:jc w:val="both"/>
        <w:rPr>
          <w:bCs/>
        </w:rPr>
      </w:pPr>
    </w:p>
    <w:p w:rsidR="007E61D1" w:rsidRPr="00933EA2" w:rsidRDefault="007E61D1" w:rsidP="00933EA2">
      <w:pPr>
        <w:keepNext/>
        <w:keepLines/>
        <w:tabs>
          <w:tab w:val="left" w:pos="225"/>
        </w:tabs>
        <w:jc w:val="center"/>
        <w:rPr>
          <w:b/>
          <w:bCs/>
        </w:rPr>
      </w:pPr>
      <w:r>
        <w:rPr>
          <w:b/>
          <w:bCs/>
        </w:rPr>
        <w:lastRenderedPageBreak/>
        <w:t>Articolul 7</w:t>
      </w:r>
    </w:p>
    <w:p w:rsidR="007E61D1" w:rsidRPr="00933EA2" w:rsidRDefault="007E61D1" w:rsidP="00933EA2">
      <w:pPr>
        <w:keepNext/>
        <w:keepLines/>
        <w:tabs>
          <w:tab w:val="left" w:pos="225"/>
        </w:tabs>
        <w:jc w:val="both"/>
        <w:rPr>
          <w:bCs/>
        </w:rPr>
      </w:pPr>
    </w:p>
    <w:p w:rsidR="007E61D1" w:rsidRPr="00933EA2" w:rsidRDefault="007E61D1" w:rsidP="00933EA2">
      <w:pPr>
        <w:tabs>
          <w:tab w:val="left" w:pos="225"/>
        </w:tabs>
        <w:jc w:val="both"/>
        <w:rPr>
          <w:bCs/>
        </w:rPr>
      </w:pPr>
      <w:r>
        <w:t>Strategia de promovare pe orice suport conține, în special, descrierea diferitelor suporturi și orice alt vector utilizat pentru promovarea ofertei de jocuri, o estimare a bugetelor alocate fiecărui vector și evoluția acestora pe parcursul anului în curs, o descriere a tipului de clienți vizați, diferitele jocuri avute în vedere și o evaluare a impactului acesteia în ceea ce privește primul obiectiv prezentat la articolul L. 320-3 din Codul securității naționale.</w:t>
      </w:r>
      <w:r w:rsidR="00870029">
        <w:t xml:space="preserve"> </w:t>
      </w:r>
      <w:r>
        <w:t>În cazul ofertelor comerciale care implică o gratuitate financiară pentru jucători, operatorul descrie mecanismele care le permit jucătorilor să beneficieze de aceste gratuități.</w:t>
      </w:r>
    </w:p>
    <w:p w:rsidR="007E61D1" w:rsidRPr="00933EA2" w:rsidRDefault="007E61D1" w:rsidP="00933EA2">
      <w:pPr>
        <w:tabs>
          <w:tab w:val="left" w:pos="225"/>
        </w:tabs>
        <w:jc w:val="both"/>
        <w:rPr>
          <w:bCs/>
        </w:rPr>
      </w:pPr>
      <w:r>
        <w:t>Pentru operatorii care dețin drepturi exclusive, strategia de promovare prezintă acțiuni de informare și prevenire destinate publicului și jucătorilor din rețeaua lor fizică de distribuție, pentru a îndeplini primul obiectiv prevăzut la articolul L. 320-3 din Codul securității naționale.</w:t>
      </w:r>
    </w:p>
    <w:p w:rsidR="007E61D1" w:rsidRPr="00933EA2" w:rsidRDefault="007E61D1" w:rsidP="00933EA2">
      <w:pPr>
        <w:tabs>
          <w:tab w:val="left" w:pos="225"/>
        </w:tabs>
        <w:jc w:val="both"/>
        <w:rPr>
          <w:bCs/>
        </w:rPr>
      </w:pPr>
    </w:p>
    <w:p w:rsidR="007E61D1" w:rsidRPr="00933EA2" w:rsidRDefault="007E61D1" w:rsidP="00933EA2">
      <w:pPr>
        <w:keepNext/>
        <w:keepLines/>
        <w:tabs>
          <w:tab w:val="left" w:pos="225"/>
        </w:tabs>
        <w:jc w:val="center"/>
        <w:rPr>
          <w:b/>
          <w:bCs/>
        </w:rPr>
      </w:pPr>
      <w:r>
        <w:rPr>
          <w:b/>
          <w:bCs/>
        </w:rPr>
        <w:t>Articolul 8</w:t>
      </w:r>
    </w:p>
    <w:p w:rsidR="007E61D1" w:rsidRPr="00933EA2" w:rsidRDefault="007E61D1" w:rsidP="00933EA2">
      <w:pPr>
        <w:keepNext/>
        <w:keepLines/>
        <w:tabs>
          <w:tab w:val="left" w:pos="225"/>
        </w:tabs>
        <w:jc w:val="both"/>
        <w:rPr>
          <w:bCs/>
        </w:rPr>
      </w:pPr>
    </w:p>
    <w:p w:rsidR="007E61D1" w:rsidRPr="00933EA2" w:rsidRDefault="007E61D1" w:rsidP="00933EA2">
      <w:pPr>
        <w:tabs>
          <w:tab w:val="left" w:pos="225"/>
        </w:tabs>
        <w:jc w:val="both"/>
        <w:rPr>
          <w:bCs/>
        </w:rPr>
      </w:pPr>
      <w:r>
        <w:t>Oficiul Național pentru Jocuri de Noroc examinează strategia de promovare a operatorilor în ceea ce privește îndeplinirea obiectivelor prevăzute la articolul L.320-3 din Codul securității naționale.</w:t>
      </w:r>
      <w:r w:rsidR="00870029">
        <w:t xml:space="preserve"> </w:t>
      </w:r>
      <w:r>
        <w:t>Oficiul poate solicita operatorului eventuale informații suplimentare cu privire la strategia sa de promovare.</w:t>
      </w:r>
    </w:p>
    <w:p w:rsidR="007E61D1" w:rsidRPr="00933EA2" w:rsidRDefault="007E61D1" w:rsidP="00933EA2">
      <w:pPr>
        <w:tabs>
          <w:tab w:val="left" w:pos="225"/>
        </w:tabs>
        <w:ind w:firstLine="708"/>
        <w:jc w:val="both"/>
        <w:rPr>
          <w:bCs/>
        </w:rPr>
      </w:pPr>
    </w:p>
    <w:p w:rsidR="007E61D1" w:rsidRPr="00933EA2" w:rsidRDefault="007E61D1" w:rsidP="00933EA2">
      <w:pPr>
        <w:keepNext/>
        <w:keepLines/>
        <w:tabs>
          <w:tab w:val="left" w:pos="225"/>
        </w:tabs>
        <w:jc w:val="center"/>
        <w:rPr>
          <w:b/>
          <w:bCs/>
        </w:rPr>
      </w:pPr>
      <w:r>
        <w:rPr>
          <w:b/>
          <w:bCs/>
        </w:rPr>
        <w:t>Articolul 9</w:t>
      </w:r>
    </w:p>
    <w:p w:rsidR="007E61D1" w:rsidRPr="00933EA2" w:rsidRDefault="007E61D1" w:rsidP="00933EA2">
      <w:pPr>
        <w:keepNext/>
        <w:keepLines/>
        <w:tabs>
          <w:tab w:val="left" w:pos="225"/>
        </w:tabs>
        <w:jc w:val="both"/>
        <w:rPr>
          <w:bCs/>
        </w:rPr>
      </w:pPr>
    </w:p>
    <w:p w:rsidR="007E61D1" w:rsidRPr="00933EA2" w:rsidRDefault="007E61D1" w:rsidP="00933EA2">
      <w:pPr>
        <w:tabs>
          <w:tab w:val="left" w:pos="225"/>
        </w:tabs>
        <w:jc w:val="both"/>
        <w:rPr>
          <w:bCs/>
        </w:rPr>
      </w:pPr>
      <w:r>
        <w:t>Decizia oficiului este notificată operatorului, în termen de două luni de la primirea strategiei sale de promovare.</w:t>
      </w:r>
      <w:r w:rsidR="00870029">
        <w:t xml:space="preserve"> </w:t>
      </w:r>
      <w:r>
        <w:t>Oficiul specifică, dacă este cazul, condițiile conform cărora se aprobă strategia de promovare.</w:t>
      </w:r>
    </w:p>
    <w:p w:rsidR="007E61D1" w:rsidRPr="00933EA2" w:rsidRDefault="007E61D1" w:rsidP="00933EA2">
      <w:pPr>
        <w:tabs>
          <w:tab w:val="left" w:pos="225"/>
        </w:tabs>
        <w:jc w:val="both"/>
        <w:rPr>
          <w:bCs/>
        </w:rPr>
      </w:pPr>
    </w:p>
    <w:p w:rsidR="007E61D1" w:rsidRPr="00933EA2" w:rsidRDefault="007E61D1" w:rsidP="00933EA2">
      <w:pPr>
        <w:keepNext/>
        <w:keepLines/>
        <w:tabs>
          <w:tab w:val="left" w:pos="225"/>
        </w:tabs>
        <w:jc w:val="center"/>
        <w:rPr>
          <w:b/>
          <w:bCs/>
        </w:rPr>
      </w:pPr>
      <w:r>
        <w:rPr>
          <w:b/>
          <w:bCs/>
        </w:rPr>
        <w:t>Articolul 10</w:t>
      </w:r>
    </w:p>
    <w:p w:rsidR="007E61D1" w:rsidRPr="00933EA2" w:rsidRDefault="007E61D1" w:rsidP="00933EA2">
      <w:pPr>
        <w:keepNext/>
        <w:keepLines/>
        <w:tabs>
          <w:tab w:val="left" w:pos="225"/>
        </w:tabs>
        <w:jc w:val="both"/>
        <w:rPr>
          <w:bCs/>
        </w:rPr>
      </w:pPr>
    </w:p>
    <w:p w:rsidR="007E61D1" w:rsidRPr="00933EA2" w:rsidRDefault="007E61D1" w:rsidP="00933EA2">
      <w:pPr>
        <w:tabs>
          <w:tab w:val="left" w:pos="225"/>
        </w:tabs>
        <w:jc w:val="both"/>
        <w:rPr>
          <w:bCs/>
        </w:rPr>
      </w:pPr>
      <w:r>
        <w:t>În cazul în care operatorul dorește să își modifice strategia de promovare pe parcursul anului, acesta informează Oficiul Național pentru Jocuri de Noroc cu cel puțin două luni înainte de punerea în aplicare a acțiunilor sau a măsurilor corespunzătoare acestei modificări.</w:t>
      </w:r>
      <w:r w:rsidR="00870029">
        <w:t xml:space="preserve"> </w:t>
      </w:r>
      <w:r>
        <w:t>Sub rezerva dispozițiilor de la articolul 8, oficiul decide cu privire la modificarea propusă în termen de două luni de la primirea notificării.</w:t>
      </w:r>
    </w:p>
    <w:p w:rsidR="007E61D1" w:rsidRPr="00933EA2" w:rsidRDefault="007E61D1" w:rsidP="00933EA2">
      <w:pPr>
        <w:tabs>
          <w:tab w:val="left" w:pos="225"/>
        </w:tabs>
        <w:jc w:val="both"/>
        <w:rPr>
          <w:bCs/>
        </w:rPr>
      </w:pPr>
    </w:p>
    <w:p w:rsidR="007E61D1" w:rsidRPr="00933EA2" w:rsidRDefault="00DD75EA" w:rsidP="00933EA2">
      <w:pPr>
        <w:keepNext/>
        <w:keepLines/>
        <w:tabs>
          <w:tab w:val="left" w:pos="225"/>
        </w:tabs>
        <w:jc w:val="center"/>
        <w:rPr>
          <w:bCs/>
        </w:rPr>
      </w:pPr>
      <w:r>
        <w:rPr>
          <w:b/>
        </w:rPr>
        <w:t>TITLUL III:MODALITĂȚI DE CERTIFICARE</w:t>
      </w:r>
    </w:p>
    <w:p w:rsidR="007E61D1" w:rsidRPr="00933EA2" w:rsidRDefault="007E61D1" w:rsidP="00933EA2">
      <w:pPr>
        <w:pStyle w:val="BodyText"/>
        <w:keepNext/>
        <w:keepLines/>
      </w:pPr>
    </w:p>
    <w:p w:rsidR="00DD75EA" w:rsidRPr="00933EA2" w:rsidRDefault="00DD75EA" w:rsidP="00933EA2">
      <w:pPr>
        <w:keepNext/>
        <w:keepLines/>
        <w:rPr>
          <w:b/>
        </w:rPr>
      </w:pPr>
      <w:r>
        <w:rPr>
          <w:b/>
        </w:rPr>
        <w:t>CAPITOLUL 1 - CONDIȚII DE ÎNREGISTRARE PE LISTA ORGANISMELOR DE CERTIFICARE</w:t>
      </w:r>
    </w:p>
    <w:p w:rsidR="00DD75EA" w:rsidRPr="00933EA2" w:rsidRDefault="00DD75EA" w:rsidP="00933EA2">
      <w:pPr>
        <w:keepNext/>
        <w:keepLines/>
        <w:rPr>
          <w:b/>
        </w:rPr>
      </w:pPr>
    </w:p>
    <w:p w:rsidR="00DD75EA" w:rsidRPr="00933EA2" w:rsidRDefault="00DD75EA" w:rsidP="00933EA2">
      <w:pPr>
        <w:keepNext/>
        <w:keepLines/>
        <w:jc w:val="center"/>
        <w:rPr>
          <w:b/>
        </w:rPr>
      </w:pPr>
      <w:r>
        <w:rPr>
          <w:b/>
        </w:rPr>
        <w:t>Articolul 11</w:t>
      </w:r>
    </w:p>
    <w:p w:rsidR="00DD75EA" w:rsidRPr="00933EA2" w:rsidRDefault="00DD75EA" w:rsidP="00933EA2">
      <w:pPr>
        <w:keepNext/>
        <w:keepLines/>
        <w:rPr>
          <w:b/>
        </w:rPr>
      </w:pPr>
    </w:p>
    <w:p w:rsidR="00DD75EA" w:rsidRPr="00933EA2" w:rsidRDefault="00DD75EA" w:rsidP="00933EA2">
      <w:pPr>
        <w:jc w:val="both"/>
      </w:pPr>
      <w:r>
        <w:t>Oficiul Național pentru Jocuri de Noroc stabilește și menține lista organizațiilor autorizate să îndeplinească activitățile de certificare menționate la articolul 23 alineatele (II) și (III) din Legea din 12 mai 2010 sus-menționată.</w:t>
      </w:r>
    </w:p>
    <w:p w:rsidR="00DD75EA" w:rsidRPr="00933EA2" w:rsidRDefault="00DD75EA" w:rsidP="00933EA2">
      <w:pPr>
        <w:jc w:val="both"/>
      </w:pPr>
      <w:r>
        <w:t>Această listă este publicată pe site-ul Oficiului Național pentru Jocuri de Noroc.</w:t>
      </w:r>
    </w:p>
    <w:p w:rsidR="00DD75EA" w:rsidRPr="00933EA2" w:rsidRDefault="00DD75EA" w:rsidP="00933EA2">
      <w:pPr>
        <w:jc w:val="both"/>
      </w:pPr>
    </w:p>
    <w:p w:rsidR="00DD75EA" w:rsidRPr="00933EA2" w:rsidRDefault="00DD75EA" w:rsidP="00933EA2">
      <w:pPr>
        <w:keepNext/>
        <w:keepLines/>
        <w:jc w:val="center"/>
        <w:rPr>
          <w:b/>
        </w:rPr>
      </w:pPr>
      <w:r>
        <w:rPr>
          <w:b/>
        </w:rPr>
        <w:t>Articolul 12</w:t>
      </w:r>
    </w:p>
    <w:p w:rsidR="00DD75EA" w:rsidRPr="00933EA2" w:rsidRDefault="00DD75EA" w:rsidP="00933EA2">
      <w:pPr>
        <w:keepNext/>
        <w:keepLines/>
        <w:rPr>
          <w:b/>
        </w:rPr>
      </w:pPr>
    </w:p>
    <w:p w:rsidR="00DD75EA" w:rsidRPr="00933EA2" w:rsidRDefault="00DD75EA" w:rsidP="00933EA2">
      <w:pPr>
        <w:jc w:val="both"/>
      </w:pPr>
      <w:r>
        <w:t>Pe lista menționată la articolul 11 pot fi înregistrate doar organismele:</w:t>
      </w:r>
    </w:p>
    <w:p w:rsidR="00DD75EA" w:rsidRPr="00933EA2" w:rsidRDefault="00DD75EA" w:rsidP="00933EA2">
      <w:pPr>
        <w:pStyle w:val="ListParagraph"/>
        <w:numPr>
          <w:ilvl w:val="0"/>
          <w:numId w:val="3"/>
        </w:numPr>
        <w:spacing w:after="200" w:line="276" w:lineRule="auto"/>
        <w:jc w:val="both"/>
      </w:pPr>
      <w:r>
        <w:t>stabilite într-un stat membru al Uniunii Europene sau într-un stat parte la Acordul privind Spațiul Economic European;</w:t>
      </w:r>
    </w:p>
    <w:p w:rsidR="00DD75EA" w:rsidRPr="00933EA2" w:rsidRDefault="00DD75EA" w:rsidP="00933EA2">
      <w:pPr>
        <w:pStyle w:val="ListParagraph"/>
        <w:numPr>
          <w:ilvl w:val="0"/>
          <w:numId w:val="3"/>
        </w:numPr>
        <w:spacing w:after="200" w:line="276" w:lineRule="auto"/>
        <w:jc w:val="both"/>
      </w:pPr>
      <w:r>
        <w:lastRenderedPageBreak/>
        <w:t>care au competențe suficiente și personal calificat corespunzător;</w:t>
      </w:r>
    </w:p>
    <w:p w:rsidR="00DD75EA" w:rsidRPr="00933EA2" w:rsidRDefault="00DD75EA" w:rsidP="00933EA2">
      <w:pPr>
        <w:pStyle w:val="ListParagraph"/>
        <w:numPr>
          <w:ilvl w:val="0"/>
          <w:numId w:val="3"/>
        </w:numPr>
        <w:spacing w:after="200" w:line="276" w:lineRule="auto"/>
        <w:jc w:val="both"/>
      </w:pPr>
      <w:r>
        <w:t>care își desfășoară activitățile de certificare în deplină independență și imparțialitate, în special, în conformitate cu dispozițiile de la articolul 17.</w:t>
      </w:r>
    </w:p>
    <w:p w:rsidR="00DD75EA" w:rsidRPr="00933EA2" w:rsidRDefault="00DD75EA" w:rsidP="00933EA2">
      <w:pPr>
        <w:pStyle w:val="ListParagraph"/>
        <w:ind w:left="1065"/>
        <w:jc w:val="both"/>
      </w:pPr>
    </w:p>
    <w:p w:rsidR="00DD75EA" w:rsidRPr="00933EA2" w:rsidRDefault="00DD75EA" w:rsidP="00933EA2">
      <w:pPr>
        <w:keepNext/>
        <w:keepLines/>
        <w:jc w:val="center"/>
        <w:rPr>
          <w:b/>
        </w:rPr>
      </w:pPr>
      <w:r>
        <w:rPr>
          <w:b/>
        </w:rPr>
        <w:t>Articolul 13</w:t>
      </w:r>
    </w:p>
    <w:p w:rsidR="00DD75EA" w:rsidRPr="00933EA2" w:rsidRDefault="00DD75EA" w:rsidP="00933EA2">
      <w:pPr>
        <w:keepNext/>
        <w:keepLines/>
        <w:rPr>
          <w:b/>
        </w:rPr>
      </w:pPr>
    </w:p>
    <w:p w:rsidR="00DD75EA" w:rsidRPr="00933EA2" w:rsidRDefault="00DD75EA" w:rsidP="00933EA2">
      <w:pPr>
        <w:jc w:val="both"/>
      </w:pPr>
      <w:r>
        <w:t>Dosarul de cerere de înregistrare pe lista organismelor de certificare este întocmit în limba franceză.</w:t>
      </w:r>
      <w:r w:rsidR="00870029">
        <w:t xml:space="preserve"> </w:t>
      </w:r>
      <w:r>
        <w:t>Acesta se transmite către Oficiul Național pentru Jocuri de Noroc în format electronic sau prin poștă sau se depune cu număr de înregistrare la sediul oficiului.</w:t>
      </w:r>
      <w:r w:rsidR="00870029">
        <w:t xml:space="preserve"> </w:t>
      </w:r>
      <w:r>
        <w:t>Oficiul Național pentru Jocuri de Noroc confirmă primirea prin orice mijloace și o înregistrează.</w:t>
      </w:r>
    </w:p>
    <w:p w:rsidR="00DD75EA" w:rsidRPr="00933EA2" w:rsidRDefault="00DD75EA" w:rsidP="00933EA2">
      <w:pPr>
        <w:jc w:val="both"/>
      </w:pPr>
    </w:p>
    <w:p w:rsidR="00DD75EA" w:rsidRPr="00933EA2" w:rsidRDefault="00DD75EA" w:rsidP="00933EA2">
      <w:pPr>
        <w:keepNext/>
        <w:keepLines/>
        <w:jc w:val="center"/>
        <w:rPr>
          <w:b/>
        </w:rPr>
      </w:pPr>
      <w:r>
        <w:rPr>
          <w:b/>
        </w:rPr>
        <w:t>Articolul 14</w:t>
      </w:r>
    </w:p>
    <w:p w:rsidR="00DD75EA" w:rsidRPr="00933EA2" w:rsidRDefault="00DD75EA" w:rsidP="00933EA2">
      <w:pPr>
        <w:keepNext/>
        <w:keepLines/>
        <w:jc w:val="both"/>
        <w:rPr>
          <w:b/>
        </w:rPr>
      </w:pPr>
    </w:p>
    <w:p w:rsidR="00DD75EA" w:rsidRPr="00933EA2" w:rsidRDefault="00DD75EA" w:rsidP="00933EA2">
      <w:pPr>
        <w:jc w:val="both"/>
      </w:pPr>
      <w:r>
        <w:t>Cererea de înregistrare pe lista organismelor de certificare face obiectul examinării de către Oficiul Național pentru Jocuri de Noroc în termen de două luni de la data primirii acesteia.</w:t>
      </w:r>
    </w:p>
    <w:p w:rsidR="00DD75EA" w:rsidRPr="00933EA2" w:rsidRDefault="00DD75EA" w:rsidP="00933EA2">
      <w:pPr>
        <w:jc w:val="both"/>
      </w:pPr>
      <w:r>
        <w:t>Dosarul de cerere de înregistrare include toate elementele care îi permit Oficiului Național pentru Jocuri de Noroc să se asigure că solicitantul are calitățile necesare pentru a fi înregistrat pe lista organismelor de certificare, și anume:</w:t>
      </w:r>
    </w:p>
    <w:p w:rsidR="00DD75EA" w:rsidRPr="00933EA2" w:rsidRDefault="00DD75EA" w:rsidP="00933EA2">
      <w:pPr>
        <w:pStyle w:val="ListParagraph"/>
        <w:numPr>
          <w:ilvl w:val="0"/>
          <w:numId w:val="3"/>
        </w:numPr>
        <w:spacing w:after="200" w:line="276" w:lineRule="auto"/>
        <w:jc w:val="both"/>
      </w:pPr>
      <w:r>
        <w:t>un document care atestă serviciile furnizate de solicitant, menționate de acesta, în domenii de expertiză similare celor abordate în cadrul certificării, precum și în perioadele de prestare a acestor servicii;</w:t>
      </w:r>
    </w:p>
    <w:p w:rsidR="00DD75EA" w:rsidRPr="00933EA2" w:rsidRDefault="00DD75EA" w:rsidP="00933EA2">
      <w:pPr>
        <w:pStyle w:val="ListParagraph"/>
        <w:numPr>
          <w:ilvl w:val="0"/>
          <w:numId w:val="3"/>
        </w:numPr>
        <w:spacing w:after="200" w:line="276" w:lineRule="auto"/>
        <w:jc w:val="both"/>
      </w:pPr>
      <w:r>
        <w:t>lista persoanelor desemnate să efectueze operațiunile de certificare, precum și curriculum vitae detaliate ale acestora;</w:t>
      </w:r>
    </w:p>
    <w:p w:rsidR="00DD75EA" w:rsidRPr="00933EA2" w:rsidRDefault="00DD75EA" w:rsidP="00933EA2">
      <w:pPr>
        <w:pStyle w:val="ListParagraph"/>
        <w:numPr>
          <w:ilvl w:val="0"/>
          <w:numId w:val="3"/>
        </w:numPr>
        <w:spacing w:after="200" w:line="276" w:lineRule="auto"/>
        <w:jc w:val="both"/>
      </w:pPr>
      <w:r>
        <w:t>rapoarte de analiză „tip” care evidențiază metodologiile utilizate și nivelul de detaliu a analizelor efectuate în cadrul auditurilor de control al aplicațiilor și al auditurilor de configurare a platformei de găzduire.</w:t>
      </w:r>
    </w:p>
    <w:p w:rsidR="00DD75EA" w:rsidRPr="00933EA2" w:rsidRDefault="00DD75EA" w:rsidP="00933EA2">
      <w:pPr>
        <w:jc w:val="both"/>
      </w:pPr>
      <w:r>
        <w:t>În cazul în care dosarul de cerere nu este complet, solicitantului i se transmite o scrisoare prin care i se solicită să trimită, într-un termen care nu poate depăși cincisprezece zile, documentul (documentele) care lipsește (lipsesc).</w:t>
      </w:r>
    </w:p>
    <w:p w:rsidR="00DD75EA" w:rsidRPr="00933EA2" w:rsidRDefault="00DD75EA" w:rsidP="00933EA2">
      <w:pPr>
        <w:jc w:val="both"/>
      </w:pPr>
      <w:r>
        <w:t>Examinarea cererii de înregistrare este suspendată pe parcursul acestui termen.</w:t>
      </w:r>
      <w:r w:rsidR="00870029">
        <w:t xml:space="preserve"> </w:t>
      </w:r>
      <w:r>
        <w:t>Orice solicitare care rămâne nesoluționată la sfârșitul termenului-limită are drept consecință pronunțarea, de către Oficiul Național pentru Jocuri de Noroc, a inadmisibilității cererii de înregistrare.</w:t>
      </w:r>
    </w:p>
    <w:p w:rsidR="00DD75EA" w:rsidRPr="00933EA2" w:rsidRDefault="00DD75EA" w:rsidP="00933EA2">
      <w:pPr>
        <w:jc w:val="both"/>
      </w:pPr>
      <w:r>
        <w:t>În timpul examinării, societatea solicitantă este obligată să furnizeze, la solicitarea Oficiului Național pentru Jocuri de Noroc, orice informație de natură să ofere lămuriri cu privire la elementele conținute în dosarul depus.</w:t>
      </w:r>
      <w:r w:rsidR="00870029">
        <w:t xml:space="preserve"> </w:t>
      </w:r>
      <w:r>
        <w:t>În plus, solicitantul poate fi intervievat de Oficiul Național pentru Jocuri de Noroc.</w:t>
      </w:r>
    </w:p>
    <w:p w:rsidR="00DD75EA" w:rsidRPr="00933EA2" w:rsidRDefault="00DD75EA" w:rsidP="00933EA2">
      <w:pPr>
        <w:jc w:val="both"/>
      </w:pPr>
    </w:p>
    <w:p w:rsidR="00DD75EA" w:rsidRPr="00933EA2" w:rsidRDefault="00DD75EA" w:rsidP="00933EA2">
      <w:pPr>
        <w:keepNext/>
        <w:keepLines/>
        <w:jc w:val="center"/>
        <w:rPr>
          <w:b/>
        </w:rPr>
      </w:pPr>
      <w:r>
        <w:rPr>
          <w:b/>
        </w:rPr>
        <w:t>Articolul 15</w:t>
      </w:r>
    </w:p>
    <w:p w:rsidR="00DD75EA" w:rsidRPr="00933EA2" w:rsidRDefault="00DD75EA" w:rsidP="00933EA2">
      <w:pPr>
        <w:keepNext/>
        <w:keepLines/>
        <w:rPr>
          <w:b/>
        </w:rPr>
      </w:pPr>
    </w:p>
    <w:p w:rsidR="00DD75EA" w:rsidRPr="00933EA2" w:rsidRDefault="00DD75EA" w:rsidP="00933EA2">
      <w:pPr>
        <w:jc w:val="both"/>
      </w:pPr>
      <w:r>
        <w:t>Înregistrarea pe lista organismelor de certificare este valabilă timp de cinci ani.</w:t>
      </w:r>
      <w:r w:rsidR="00870029">
        <w:t xml:space="preserve"> </w:t>
      </w:r>
      <w:r>
        <w:t>Aceasta se poate reînnoi.</w:t>
      </w:r>
    </w:p>
    <w:p w:rsidR="00DD75EA" w:rsidRPr="00933EA2" w:rsidRDefault="00DD75EA" w:rsidP="00933EA2">
      <w:pPr>
        <w:jc w:val="both"/>
      </w:pPr>
      <w:r>
        <w:t>Decizia de înregistrare stabilește, după caz, obligațiile specifice care le revin organismelor de certificare.</w:t>
      </w:r>
    </w:p>
    <w:p w:rsidR="00DD75EA" w:rsidRPr="00933EA2" w:rsidRDefault="00DD75EA" w:rsidP="00933EA2">
      <w:pPr>
        <w:jc w:val="both"/>
      </w:pPr>
      <w:r>
        <w:t>Orice decizie de refuz al înregistrării este motivată și notificată persoanei în cauză prin orice mijloace adecvate pentru stabilirea datei de primire.</w:t>
      </w:r>
    </w:p>
    <w:p w:rsidR="00DD75EA" w:rsidRPr="00933EA2" w:rsidRDefault="00DD75EA" w:rsidP="00933EA2">
      <w:pPr>
        <w:rPr>
          <w:b/>
        </w:rPr>
      </w:pPr>
    </w:p>
    <w:p w:rsidR="00DD75EA" w:rsidRPr="00933EA2" w:rsidRDefault="00DD75EA" w:rsidP="00933EA2">
      <w:pPr>
        <w:keepNext/>
        <w:keepLines/>
        <w:jc w:val="center"/>
        <w:rPr>
          <w:b/>
        </w:rPr>
      </w:pPr>
      <w:r>
        <w:rPr>
          <w:b/>
        </w:rPr>
        <w:lastRenderedPageBreak/>
        <w:t>CAPITOLUL 2 – OBLIGAȚIILE ORGANISMELOR DE CERTIFICARE</w:t>
      </w:r>
    </w:p>
    <w:p w:rsidR="00DD75EA" w:rsidRPr="00933EA2" w:rsidRDefault="00DD75EA" w:rsidP="00933EA2">
      <w:pPr>
        <w:keepNext/>
        <w:keepLines/>
        <w:rPr>
          <w:b/>
        </w:rPr>
      </w:pPr>
    </w:p>
    <w:p w:rsidR="00DD75EA" w:rsidRPr="00933EA2" w:rsidRDefault="00DD75EA" w:rsidP="00933EA2">
      <w:pPr>
        <w:keepNext/>
        <w:keepLines/>
        <w:jc w:val="center"/>
        <w:rPr>
          <w:b/>
        </w:rPr>
      </w:pPr>
      <w:r>
        <w:rPr>
          <w:b/>
        </w:rPr>
        <w:t>Articolul 16</w:t>
      </w:r>
    </w:p>
    <w:p w:rsidR="00DD75EA" w:rsidRPr="00933EA2" w:rsidRDefault="00DD75EA" w:rsidP="00933EA2">
      <w:pPr>
        <w:keepNext/>
        <w:keepLines/>
        <w:rPr>
          <w:b/>
        </w:rPr>
      </w:pPr>
    </w:p>
    <w:p w:rsidR="00DD75EA" w:rsidRPr="00933EA2" w:rsidRDefault="00DD75EA" w:rsidP="00933EA2">
      <w:pPr>
        <w:jc w:val="both"/>
      </w:pPr>
      <w:r>
        <w:t>Organismul înregistrat pe lista organismelor de certificare îndeplinește misiunea de certificare care îi este încredințată în conformitate cu stadiul actual al tehnologiei.</w:t>
      </w:r>
    </w:p>
    <w:p w:rsidR="00DD75EA" w:rsidRPr="00933EA2" w:rsidRDefault="00DD75EA" w:rsidP="00933EA2">
      <w:pPr>
        <w:jc w:val="both"/>
      </w:pPr>
      <w:r>
        <w:t>O copie a contractului de certificare încheiat între organismul de certificare și operatorul care face obiectul certificării este trimisă la Oficiul Național pentru Jocuri de Noroc înainte de efectuarea serviciului de certificare.</w:t>
      </w:r>
    </w:p>
    <w:p w:rsidR="00DD75EA" w:rsidRPr="00933EA2" w:rsidRDefault="00DD75EA" w:rsidP="00933EA2">
      <w:pPr>
        <w:jc w:val="both"/>
      </w:pPr>
    </w:p>
    <w:p w:rsidR="00DD75EA" w:rsidRPr="00933EA2" w:rsidRDefault="00DD75EA" w:rsidP="00933EA2">
      <w:pPr>
        <w:keepNext/>
        <w:keepLines/>
        <w:jc w:val="center"/>
        <w:rPr>
          <w:b/>
        </w:rPr>
      </w:pPr>
      <w:r>
        <w:rPr>
          <w:b/>
        </w:rPr>
        <w:t>Articolul 17</w:t>
      </w:r>
    </w:p>
    <w:p w:rsidR="00DD75EA" w:rsidRPr="00933EA2" w:rsidRDefault="00DD75EA" w:rsidP="00933EA2">
      <w:pPr>
        <w:keepNext/>
        <w:keepLines/>
        <w:rPr>
          <w:b/>
        </w:rPr>
      </w:pPr>
    </w:p>
    <w:p w:rsidR="00DD75EA" w:rsidRPr="00933EA2" w:rsidRDefault="00DD75EA" w:rsidP="00933EA2">
      <w:pPr>
        <w:jc w:val="both"/>
      </w:pPr>
      <w:r>
        <w:t>Organismul înregistrat pe lista organismelor de certificare este independent de operatorul pentru care desfășoară activitatea de certificare.</w:t>
      </w:r>
    </w:p>
    <w:p w:rsidR="00DD75EA" w:rsidRPr="00933EA2" w:rsidRDefault="00DD75EA" w:rsidP="00933EA2">
      <w:pPr>
        <w:jc w:val="both"/>
      </w:pPr>
      <w:r>
        <w:t>Organismul respectiv nu poate desfășura nicio activitate de certificare pentru un operator de jocuri de noroc sau pariuri online sau pentru persoana juridică unică menționată la articolul 137 din Legea din 22 mai 2019 sus-menționată, dacă a fost consilierul sau furnizorul său în perioada de douăsprezece luni anterioară semnării contractului de certificare.</w:t>
      </w:r>
    </w:p>
    <w:p w:rsidR="00DD75EA" w:rsidRPr="00933EA2" w:rsidRDefault="00DD75EA" w:rsidP="00933EA2">
      <w:pPr>
        <w:jc w:val="both"/>
      </w:pPr>
      <w:r>
        <w:t>Durata incompatibilității prevăzute la alineatul precedent începe să se desfășoare pornind de la cel mai recent dintre cele două evenimente prezentate în continuare:</w:t>
      </w:r>
    </w:p>
    <w:p w:rsidR="00DD75EA" w:rsidRPr="00933EA2" w:rsidRDefault="00DD75EA" w:rsidP="00933EA2">
      <w:pPr>
        <w:pStyle w:val="ListParagraph"/>
        <w:numPr>
          <w:ilvl w:val="0"/>
          <w:numId w:val="3"/>
        </w:numPr>
        <w:spacing w:after="200" w:line="276" w:lineRule="auto"/>
        <w:jc w:val="both"/>
      </w:pPr>
      <w:r>
        <w:t>ultimul serviciu furnizat de organismul de certificare în beneficiul operatorului care face obiectul certificării;</w:t>
      </w:r>
    </w:p>
    <w:p w:rsidR="00DD75EA" w:rsidRPr="00933EA2" w:rsidRDefault="00DD75EA" w:rsidP="00933EA2">
      <w:pPr>
        <w:pStyle w:val="ListParagraph"/>
        <w:numPr>
          <w:ilvl w:val="0"/>
          <w:numId w:val="3"/>
        </w:numPr>
        <w:spacing w:after="200" w:line="276" w:lineRule="auto"/>
        <w:jc w:val="both"/>
      </w:pPr>
      <w:r>
        <w:t>ultima plată efectuată în beneficiul organismului de certificare de către operatorul care face obiectul certificării.</w:t>
      </w:r>
    </w:p>
    <w:p w:rsidR="00DD75EA" w:rsidRPr="00933EA2" w:rsidRDefault="00DD75EA" w:rsidP="00933EA2">
      <w:pPr>
        <w:jc w:val="both"/>
      </w:pPr>
      <w:r>
        <w:t>Incompatibilitatea prevăzută la prezentul articol se aplică, în aceleași condiții, în cazul în care organismul de certificare a acționat în calitate de consultant sau prestator de servicii al unei societăți care controlează operatorul care face obiectul certificării, în conformitate cu articolul L. 233-16 din Codul comercial, sau este controlat de aceasta.</w:t>
      </w:r>
    </w:p>
    <w:p w:rsidR="00DD75EA" w:rsidRPr="00933EA2" w:rsidRDefault="00DD75EA" w:rsidP="00933EA2">
      <w:pPr>
        <w:jc w:val="both"/>
      </w:pPr>
      <w:r>
        <w:t>Organismul înregistrat pe lista organismelor de certificare notifică Oficiul Național pentru Jocuri de Noroc cu privire la apariția oricărei situații de conflict de interese în ceea ce privește activitatea sa de certificare.</w:t>
      </w:r>
    </w:p>
    <w:p w:rsidR="00DD75EA" w:rsidRPr="00933EA2" w:rsidRDefault="00DD75EA" w:rsidP="00933EA2">
      <w:pPr>
        <w:jc w:val="both"/>
      </w:pPr>
    </w:p>
    <w:p w:rsidR="00DD75EA" w:rsidRPr="00933EA2" w:rsidRDefault="00DD75EA" w:rsidP="00933EA2">
      <w:pPr>
        <w:keepNext/>
        <w:keepLines/>
        <w:jc w:val="center"/>
        <w:rPr>
          <w:b/>
        </w:rPr>
      </w:pPr>
      <w:r>
        <w:rPr>
          <w:b/>
        </w:rPr>
        <w:t>Articolul 18</w:t>
      </w:r>
    </w:p>
    <w:p w:rsidR="00DD75EA" w:rsidRPr="00933EA2" w:rsidRDefault="00DD75EA" w:rsidP="00933EA2">
      <w:pPr>
        <w:keepNext/>
        <w:keepLines/>
        <w:rPr>
          <w:b/>
        </w:rPr>
      </w:pPr>
    </w:p>
    <w:p w:rsidR="00DD75EA" w:rsidRPr="00933EA2" w:rsidRDefault="00DD75EA" w:rsidP="00933EA2">
      <w:pPr>
        <w:jc w:val="both"/>
      </w:pPr>
      <w:r>
        <w:t>Oficiul Național pentru Jocuri de Noroc se asigură, dacă este necesar printr-un audit, că organismul de certificare continuă să îndeplinească obligațiile care rezultă din înregistrarea pe lista organismelor de certificare, în special în ceea ce privește calitatea certificărilor efectuate.</w:t>
      </w:r>
    </w:p>
    <w:p w:rsidR="00DD75EA" w:rsidRPr="00933EA2" w:rsidRDefault="00DD75EA" w:rsidP="00933EA2">
      <w:pPr>
        <w:jc w:val="both"/>
      </w:pPr>
    </w:p>
    <w:p w:rsidR="00DD75EA" w:rsidRPr="00933EA2" w:rsidRDefault="00DD75EA" w:rsidP="00933EA2">
      <w:pPr>
        <w:keepNext/>
        <w:keepLines/>
        <w:jc w:val="center"/>
        <w:rPr>
          <w:b/>
        </w:rPr>
      </w:pPr>
      <w:r>
        <w:rPr>
          <w:b/>
        </w:rPr>
        <w:t>Articolul 19</w:t>
      </w:r>
    </w:p>
    <w:p w:rsidR="00DD75EA" w:rsidRPr="00933EA2" w:rsidRDefault="00DD75EA" w:rsidP="00933EA2">
      <w:pPr>
        <w:keepNext/>
        <w:keepLines/>
        <w:rPr>
          <w:b/>
        </w:rPr>
      </w:pPr>
    </w:p>
    <w:p w:rsidR="00DD75EA" w:rsidRPr="00933EA2" w:rsidRDefault="00DD75EA" w:rsidP="00933EA2">
      <w:pPr>
        <w:jc w:val="both"/>
      </w:pPr>
      <w:r>
        <w:t>Organismul înregistrat pe lista organismelor de certificare raportează imediat Oficiului Național pentru Jocuri de Noroc cu privire la orice modificare care afectează informațiile care constituie cererea sa de înregistrare.</w:t>
      </w:r>
    </w:p>
    <w:p w:rsidR="00DD75EA" w:rsidRPr="00933EA2" w:rsidRDefault="00DD75EA" w:rsidP="00933EA2">
      <w:pPr>
        <w:jc w:val="both"/>
      </w:pPr>
      <w:r>
        <w:t>În cazul în care organismul nu mai îndeplinește condițiile pentru înregistrarea sa pe lista organismelor de certificare sau angajamentele asumate pentru înregistrarea sa, Oficiului Național pentru Jocuri de Noroc îl poate elimina de pe listă.</w:t>
      </w:r>
    </w:p>
    <w:p w:rsidR="00DD75EA" w:rsidRPr="00933EA2" w:rsidRDefault="00DD75EA" w:rsidP="00933EA2">
      <w:pPr>
        <w:jc w:val="both"/>
      </w:pPr>
      <w:r>
        <w:t>Înaintea eliminării de pe listă, Oficiul Național pentru Jocuri de Noroc informează persoana în cauză, prin orice mijloace adecvate pentru stabilirea datei de primire a acestor informații, că intenționează să o elimine de pe lista organismelor de certificare și o invită să își prezinte observațiile în scris, într-un termen care nu poate depăși cincisprezece zile.</w:t>
      </w:r>
    </w:p>
    <w:p w:rsidR="00DD75EA" w:rsidRPr="00933EA2" w:rsidRDefault="00DD75EA" w:rsidP="00933EA2">
      <w:pPr>
        <w:jc w:val="both"/>
      </w:pPr>
      <w:r>
        <w:lastRenderedPageBreak/>
        <w:t>Decizia de eliminare este motivată și notificată persoanei în cauză prin orice mijloace adecvate pentru stabilirea datei de primire.</w:t>
      </w:r>
    </w:p>
    <w:p w:rsidR="00DD75EA" w:rsidRPr="00933EA2" w:rsidRDefault="00DD75EA" w:rsidP="00933EA2">
      <w:pPr>
        <w:jc w:val="both"/>
      </w:pPr>
      <w:r>
        <w:t>Lista organismelor de certificare este actualizată în consecință.</w:t>
      </w:r>
    </w:p>
    <w:p w:rsidR="00DD75EA" w:rsidRPr="00933EA2" w:rsidRDefault="00DD75EA" w:rsidP="00933EA2">
      <w:pPr>
        <w:jc w:val="both"/>
      </w:pPr>
    </w:p>
    <w:p w:rsidR="00DD75EA" w:rsidRPr="00933EA2" w:rsidRDefault="00DD75EA" w:rsidP="00933EA2">
      <w:pPr>
        <w:keepNext/>
        <w:keepLines/>
        <w:jc w:val="center"/>
        <w:rPr>
          <w:b/>
        </w:rPr>
      </w:pPr>
      <w:r>
        <w:rPr>
          <w:b/>
        </w:rPr>
        <w:t>CAPITOLUL 3 – ACTIVITATEA DE CERTIFICARE</w:t>
      </w:r>
    </w:p>
    <w:p w:rsidR="00DD75EA" w:rsidRPr="00933EA2" w:rsidRDefault="00DD75EA" w:rsidP="00933EA2">
      <w:pPr>
        <w:keepNext/>
        <w:keepLines/>
        <w:rPr>
          <w:b/>
        </w:rPr>
      </w:pPr>
    </w:p>
    <w:p w:rsidR="00DD75EA" w:rsidRPr="00933EA2" w:rsidRDefault="00DD75EA" w:rsidP="00933EA2">
      <w:pPr>
        <w:keepNext/>
        <w:keepLines/>
        <w:jc w:val="center"/>
        <w:rPr>
          <w:b/>
        </w:rPr>
      </w:pPr>
      <w:r>
        <w:rPr>
          <w:b/>
        </w:rPr>
        <w:t>Articolul 20</w:t>
      </w:r>
    </w:p>
    <w:p w:rsidR="00DD75EA" w:rsidRPr="00933EA2" w:rsidRDefault="00DD75EA" w:rsidP="00933EA2">
      <w:pPr>
        <w:keepNext/>
        <w:keepLines/>
        <w:rPr>
          <w:b/>
        </w:rPr>
      </w:pPr>
    </w:p>
    <w:p w:rsidR="00DD75EA" w:rsidRPr="00933EA2" w:rsidRDefault="00DD75EA" w:rsidP="00933EA2">
      <w:pPr>
        <w:jc w:val="both"/>
      </w:pPr>
      <w:r>
        <w:t>În conformitate cu dispozițiile de la articolul 23 din Legea din 12 mai 2010 sus-menționată, activitatea de certificare se referă la respectarea de către operator a tuturor obligațiilor tehnice aplicabile activității sale.</w:t>
      </w:r>
    </w:p>
    <w:p w:rsidR="00DD75EA" w:rsidRPr="00933EA2" w:rsidRDefault="00DD75EA" w:rsidP="00933EA2">
      <w:pPr>
        <w:jc w:val="both"/>
      </w:pPr>
      <w:r>
        <w:t>Oficiului Național pentru Jocuri de Noroc stabilește metoda, caracteristicile și durata controalelor efectuate de organismul de certificare.</w:t>
      </w:r>
    </w:p>
    <w:p w:rsidR="00DD75EA" w:rsidRPr="00933EA2" w:rsidRDefault="00DD75EA" w:rsidP="00933EA2">
      <w:pPr>
        <w:jc w:val="both"/>
      </w:pPr>
    </w:p>
    <w:p w:rsidR="00DD75EA" w:rsidRPr="00933EA2" w:rsidRDefault="00DD75EA" w:rsidP="00933EA2">
      <w:pPr>
        <w:keepNext/>
        <w:keepLines/>
        <w:jc w:val="center"/>
        <w:rPr>
          <w:b/>
        </w:rPr>
      </w:pPr>
      <w:r>
        <w:rPr>
          <w:b/>
        </w:rPr>
        <w:t>Articolul 21</w:t>
      </w:r>
    </w:p>
    <w:p w:rsidR="00DD75EA" w:rsidRPr="00933EA2" w:rsidRDefault="00DD75EA" w:rsidP="00933EA2">
      <w:pPr>
        <w:keepNext/>
        <w:keepLines/>
        <w:rPr>
          <w:b/>
        </w:rPr>
      </w:pPr>
    </w:p>
    <w:p w:rsidR="00DD75EA" w:rsidRPr="00933EA2" w:rsidRDefault="00DD75EA" w:rsidP="00933EA2">
      <w:pPr>
        <w:jc w:val="both"/>
      </w:pPr>
      <w:r>
        <w:t>Operațiunile de analiză efectuate de organismul de certificare nu pot fi repetate în cursul aceleiași certificări: fiecare cerință controlată face obiectul unei singure evaluări.</w:t>
      </w:r>
    </w:p>
    <w:p w:rsidR="00DD75EA" w:rsidRPr="00933EA2" w:rsidRDefault="00DD75EA" w:rsidP="00933EA2">
      <w:pPr>
        <w:jc w:val="both"/>
      </w:pPr>
      <w:r>
        <w:t>În cursul evaluării pot avea loc schimburi între organismul de certificare și operatorul căruia i se asigură certificarea.</w:t>
      </w:r>
      <w:r w:rsidR="00870029">
        <w:t xml:space="preserve"> </w:t>
      </w:r>
      <w:r>
        <w:t>Cu toate acestea, după finalizarea evaluării, aceste schimburi nu mai pot, în niciun caz, să determine organismul de certificare să efectueze o nouă evaluare.</w:t>
      </w:r>
    </w:p>
    <w:p w:rsidR="00DD75EA" w:rsidRPr="00933EA2" w:rsidRDefault="00DD75EA" w:rsidP="00933EA2">
      <w:pPr>
        <w:jc w:val="both"/>
      </w:pPr>
      <w:r>
        <w:t>În special, dacă este cazul, modificările efectuate de un operator în cursul certificării la un punct de control deja evaluat, nu pot modifica constatarea inițială care trebuie să fie specificată în raportul de certificare.</w:t>
      </w:r>
    </w:p>
    <w:p w:rsidR="00DD75EA" w:rsidRPr="00933EA2" w:rsidRDefault="00DD75EA" w:rsidP="00933EA2">
      <w:pPr>
        <w:jc w:val="both"/>
      </w:pPr>
    </w:p>
    <w:p w:rsidR="00DD75EA" w:rsidRPr="00933EA2" w:rsidRDefault="00DD75EA" w:rsidP="00933EA2">
      <w:pPr>
        <w:keepNext/>
        <w:keepLines/>
        <w:jc w:val="center"/>
        <w:rPr>
          <w:b/>
        </w:rPr>
      </w:pPr>
      <w:r>
        <w:rPr>
          <w:b/>
        </w:rPr>
        <w:t>Articolul 22</w:t>
      </w:r>
    </w:p>
    <w:p w:rsidR="00DD75EA" w:rsidRPr="00933EA2" w:rsidRDefault="00DD75EA" w:rsidP="00933EA2">
      <w:pPr>
        <w:keepNext/>
        <w:keepLines/>
        <w:rPr>
          <w:b/>
        </w:rPr>
      </w:pPr>
    </w:p>
    <w:p w:rsidR="00DD75EA" w:rsidRPr="00933EA2" w:rsidRDefault="00DD75EA" w:rsidP="00933EA2">
      <w:pPr>
        <w:jc w:val="both"/>
      </w:pPr>
      <w:r>
        <w:t>La finalizarea activității, organismul de certificare întocmește un raport în care sunt prezentate constatările făcute.</w:t>
      </w:r>
      <w:r w:rsidR="00870029">
        <w:t xml:space="preserve"> </w:t>
      </w:r>
      <w:r>
        <w:t>Acest raport enumeră toate neregulile constatate, indiferent de nivelul lor de gravitate.</w:t>
      </w:r>
    </w:p>
    <w:p w:rsidR="00DD75EA" w:rsidRPr="00933EA2" w:rsidRDefault="00DD75EA" w:rsidP="00933EA2">
      <w:pPr>
        <w:jc w:val="both"/>
      </w:pPr>
      <w:r>
        <w:t>Raportul încheiat fie cu certificarea fără rezervă (rezerve), fie cu certificarea cu rezervă (rezerve).</w:t>
      </w:r>
    </w:p>
    <w:p w:rsidR="00DD75EA" w:rsidRPr="00933EA2" w:rsidRDefault="00DD75EA" w:rsidP="00933EA2">
      <w:pPr>
        <w:jc w:val="both"/>
      </w:pPr>
      <w:r>
        <w:t>Certificarea se acordă cu rezervă (rezerve) când nu este îndeplinită una sau mai multe cerințe tehnice care prezintă un nivel de gravitate definit de standardul tehnic.</w:t>
      </w:r>
    </w:p>
    <w:p w:rsidR="00DD75EA" w:rsidRPr="00933EA2" w:rsidRDefault="00DD75EA" w:rsidP="00933EA2">
      <w:pPr>
        <w:jc w:val="both"/>
      </w:pPr>
      <w:r>
        <w:t>Organismul de certificare transmite operatorului în cauză documentul care atestă obținerea certificării menționate la articolul 23 din Legea din 12 mai 2010 sus-menționată, astfel încât acesta din urmă să efectueze transmiterea prevăzută la prezentul articol.</w:t>
      </w:r>
      <w:r w:rsidR="00870029">
        <w:t xml:space="preserve"> </w:t>
      </w:r>
      <w:r>
        <w:t>Prezentul document precizează dacă certificarea este obținută cu sau fără rezervă (rezerve) și precizează, dacă este cazul, rezerva (rezervele) în cauză.</w:t>
      </w:r>
    </w:p>
    <w:p w:rsidR="00DD75EA" w:rsidRPr="00933EA2" w:rsidRDefault="00DD75EA" w:rsidP="00933EA2">
      <w:pPr>
        <w:jc w:val="both"/>
      </w:pPr>
    </w:p>
    <w:p w:rsidR="00DD75EA" w:rsidRPr="00933EA2" w:rsidRDefault="00DD75EA" w:rsidP="00933EA2">
      <w:pPr>
        <w:keepNext/>
        <w:keepLines/>
        <w:jc w:val="center"/>
        <w:rPr>
          <w:b/>
        </w:rPr>
      </w:pPr>
      <w:r>
        <w:rPr>
          <w:b/>
        </w:rPr>
        <w:t>Articolul 23</w:t>
      </w:r>
    </w:p>
    <w:p w:rsidR="00DD75EA" w:rsidRPr="00933EA2" w:rsidRDefault="00DD75EA" w:rsidP="00933EA2">
      <w:pPr>
        <w:keepNext/>
        <w:keepLines/>
        <w:rPr>
          <w:b/>
        </w:rPr>
      </w:pPr>
    </w:p>
    <w:p w:rsidR="00DD75EA" w:rsidRPr="00933EA2" w:rsidRDefault="00DD75EA" w:rsidP="00933EA2">
      <w:pPr>
        <w:jc w:val="both"/>
      </w:pPr>
      <w:r>
        <w:t>La finalizarea livrării raportului de certificare, operatorul stabilește, dacă este necesar, fișe de nereguli pe care le trimite la Oficiul Național pentru Jocuri de Noroc în termen de o lună de la livrarea acestui raport.</w:t>
      </w:r>
      <w:r w:rsidR="00870029">
        <w:t xml:space="preserve"> </w:t>
      </w:r>
      <w:r>
        <w:t>Aceste fișe de nereguli sunt trimise, în scop informativ, organismului de certificare.</w:t>
      </w:r>
    </w:p>
    <w:p w:rsidR="00DD75EA" w:rsidRPr="00933EA2" w:rsidRDefault="00DD75EA" w:rsidP="00933EA2">
      <w:pPr>
        <w:jc w:val="both"/>
      </w:pPr>
      <w:r>
        <w:t>Fișele de nereguli sunt distincte de raportul de certificare.</w:t>
      </w:r>
    </w:p>
    <w:p w:rsidR="00DD75EA" w:rsidRPr="00933EA2" w:rsidRDefault="00DD75EA" w:rsidP="00933EA2">
      <w:pPr>
        <w:jc w:val="both"/>
      </w:pPr>
      <w:r>
        <w:t>Acestea includ o listă a tuturor neregulilor menționate în raportul de certificare, indiferent de nivelul lor de gravitate.</w:t>
      </w:r>
    </w:p>
    <w:p w:rsidR="00DD75EA" w:rsidRPr="00933EA2" w:rsidRDefault="00DD75EA" w:rsidP="00933EA2">
      <w:pPr>
        <w:jc w:val="both"/>
      </w:pPr>
      <w:r>
        <w:t>Pentru fiecare neregulă, operatorul propune, dacă este cazul, măsuri corective, precum și un program de punere în aplicare.</w:t>
      </w:r>
    </w:p>
    <w:p w:rsidR="00DD75EA" w:rsidRPr="00933EA2" w:rsidRDefault="00DD75EA" w:rsidP="00933EA2">
      <w:pPr>
        <w:jc w:val="both"/>
      </w:pPr>
      <w:r>
        <w:lastRenderedPageBreak/>
        <w:t>Aceste fișe de nereguli pot permite operatorului, de asemenea, să aducă la cunoștința Oficiului Național pentru Jocuri de Noroc orice informație sau observație utilă cu privire la derularea activităților de certificare și/sau să își prezinte eventualele obiecții referitoare la concluziile acestui raport sau la metodologia utilizată.</w:t>
      </w:r>
      <w:r w:rsidR="00870029">
        <w:t xml:space="preserve"> </w:t>
      </w:r>
      <w:r>
        <w:t>Operatorul poate, dacă este cazul, să efectueze o nouă evaluare și să specifice rezultatul acestei evaluări în fișele de nereguli.</w:t>
      </w:r>
    </w:p>
    <w:p w:rsidR="00DD75EA" w:rsidRPr="00933EA2" w:rsidRDefault="00DD75EA" w:rsidP="00933EA2">
      <w:pPr>
        <w:rPr>
          <w:b/>
        </w:rPr>
      </w:pPr>
    </w:p>
    <w:p w:rsidR="00DD75EA" w:rsidRPr="00933EA2" w:rsidRDefault="00DD75EA" w:rsidP="00933EA2">
      <w:pPr>
        <w:keepNext/>
        <w:keepLines/>
        <w:jc w:val="center"/>
        <w:rPr>
          <w:b/>
        </w:rPr>
      </w:pPr>
      <w:r>
        <w:rPr>
          <w:b/>
        </w:rPr>
        <w:t>Articolul 24</w:t>
      </w:r>
    </w:p>
    <w:p w:rsidR="00DD75EA" w:rsidRPr="00933EA2" w:rsidRDefault="00DD75EA" w:rsidP="00933EA2">
      <w:pPr>
        <w:keepNext/>
        <w:keepLines/>
        <w:rPr>
          <w:b/>
        </w:rPr>
      </w:pPr>
    </w:p>
    <w:p w:rsidR="00DD75EA" w:rsidRPr="00933EA2" w:rsidRDefault="00DD75EA" w:rsidP="00933EA2">
      <w:pPr>
        <w:jc w:val="both"/>
      </w:pPr>
      <w:r>
        <w:t>Organismele înregistrate pe lista organismelor de certificare datorită competențelor lor tehnice înainte de data publicării prezentului decret rămân înregistrate pe această listă până la termenul stabilit prin dispozițiile în vigoare la data înregistrării lor.</w:t>
      </w:r>
    </w:p>
    <w:p w:rsidR="00D13FBA" w:rsidRPr="00933EA2" w:rsidRDefault="00DD75EA" w:rsidP="00933EA2">
      <w:pPr>
        <w:jc w:val="both"/>
      </w:pPr>
      <w:r>
        <w:t>Organismele înregistrate pe lista organismelor de certificare datorită competențelor lor tehnice în calitate de subcontractanți înainte de data publicării prezentului decret rămân înregistrate pe această listă până la termenul stabilit de dispozițiile în vigoare la data înregistrării lor.</w:t>
      </w:r>
      <w:r w:rsidR="00870029">
        <w:t xml:space="preserve"> </w:t>
      </w:r>
      <w:r>
        <w:t>Acestea pot propune activități de certificare în principal în conformitate cu dispozițiile prezentului decret, începând de la data publicării acestuia.</w:t>
      </w:r>
    </w:p>
    <w:p w:rsidR="001441BB" w:rsidRPr="00933EA2" w:rsidRDefault="001441BB" w:rsidP="00933EA2">
      <w:pPr>
        <w:jc w:val="both"/>
      </w:pPr>
    </w:p>
    <w:p w:rsidR="008701C9" w:rsidRPr="00933EA2" w:rsidRDefault="008701C9" w:rsidP="00933EA2">
      <w:pPr>
        <w:jc w:val="both"/>
      </w:pPr>
    </w:p>
    <w:p w:rsidR="008701C9" w:rsidRPr="00933EA2" w:rsidRDefault="008701C9" w:rsidP="00933EA2">
      <w:pPr>
        <w:keepNext/>
        <w:keepLines/>
        <w:jc w:val="center"/>
        <w:rPr>
          <w:b/>
        </w:rPr>
      </w:pPr>
      <w:r>
        <w:rPr>
          <w:b/>
        </w:rPr>
        <w:t>TITLUL IV:PROCENTUL MAXIM DIN SUMELE PLĂTITE ÎN MEDIE JUCĂTORILOR DE CĂTRE OPERATORII AUTORIZAȚI DE PARIURI HIPICE ȘI DE PARIURI SPORTIVE ONLINE</w:t>
      </w:r>
    </w:p>
    <w:p w:rsidR="00DD75EA" w:rsidRPr="00933EA2" w:rsidRDefault="00DD75EA" w:rsidP="00933EA2">
      <w:pPr>
        <w:pStyle w:val="BodyText"/>
        <w:keepNext/>
        <w:keepLines/>
      </w:pPr>
    </w:p>
    <w:p w:rsidR="008701C9" w:rsidRPr="00933EA2" w:rsidRDefault="008701C9" w:rsidP="00933EA2">
      <w:pPr>
        <w:pStyle w:val="BodyText"/>
        <w:keepNext/>
        <w:keepLines/>
        <w:jc w:val="center"/>
        <w:rPr>
          <w:b/>
        </w:rPr>
      </w:pPr>
      <w:r>
        <w:rPr>
          <w:b/>
        </w:rPr>
        <w:t>Articolul 25</w:t>
      </w:r>
    </w:p>
    <w:p w:rsidR="008701C9" w:rsidRPr="00933EA2" w:rsidRDefault="008701C9" w:rsidP="00933EA2">
      <w:pPr>
        <w:pStyle w:val="BodyText"/>
        <w:keepNext/>
        <w:keepLines/>
      </w:pPr>
    </w:p>
    <w:p w:rsidR="008701C9" w:rsidRPr="00933EA2" w:rsidRDefault="008701C9" w:rsidP="00933EA2">
      <w:pPr>
        <w:pStyle w:val="BodyText"/>
        <w:jc w:val="both"/>
      </w:pPr>
      <w:r>
        <w:t>Procentul maxim din sumele plătite în medie jucătorilor menționați la articolul 13 alineatul (II) din Legea din 12 mai 2010 sus-menționată este definit ca raportul dintre sumele plătite jucătorilor de către operatorul de pariuri și sumele mizate de acești jucători.</w:t>
      </w:r>
    </w:p>
    <w:p w:rsidR="008701C9" w:rsidRPr="00933EA2" w:rsidRDefault="008701C9" w:rsidP="00933EA2">
      <w:pPr>
        <w:pStyle w:val="BodyText"/>
        <w:jc w:val="both"/>
      </w:pPr>
    </w:p>
    <w:p w:rsidR="008701C9" w:rsidRPr="00933EA2" w:rsidRDefault="008701C9" w:rsidP="00933EA2">
      <w:pPr>
        <w:pStyle w:val="BodyText"/>
        <w:keepNext/>
        <w:keepLines/>
        <w:jc w:val="center"/>
        <w:rPr>
          <w:b/>
        </w:rPr>
      </w:pPr>
      <w:r>
        <w:rPr>
          <w:b/>
        </w:rPr>
        <w:t>Articolul 26</w:t>
      </w:r>
    </w:p>
    <w:p w:rsidR="008701C9" w:rsidRPr="00933EA2" w:rsidRDefault="008701C9" w:rsidP="00933EA2">
      <w:pPr>
        <w:keepNext/>
        <w:keepLines/>
        <w:jc w:val="both"/>
        <w:rPr>
          <w:strike/>
        </w:rPr>
      </w:pPr>
    </w:p>
    <w:p w:rsidR="008701C9" w:rsidRPr="00933EA2" w:rsidRDefault="008701C9" w:rsidP="00933EA2">
      <w:pPr>
        <w:jc w:val="both"/>
      </w:pPr>
      <w:r>
        <w:t>Sumele plătite jucătorilor constau în totalul încasărilor în numerar sau în natură care sunt exigibile începând de la data derulării evenimentului sau a evenimentelor pe care se bazează jocul, inclusiv sumele cu care contribuie operatorul, cu condiția ca jucătorul să poată solicita efectuarea plății în contul său de plată.</w:t>
      </w:r>
    </w:p>
    <w:p w:rsidR="008701C9" w:rsidRPr="00933EA2" w:rsidRDefault="008701C9" w:rsidP="00933EA2">
      <w:pPr>
        <w:jc w:val="both"/>
      </w:pPr>
    </w:p>
    <w:p w:rsidR="008701C9" w:rsidRPr="00933EA2" w:rsidRDefault="008701C9" w:rsidP="00933EA2">
      <w:pPr>
        <w:jc w:val="both"/>
      </w:pPr>
      <w:r>
        <w:t>Sumele mizate de jucători sunt constituite din sume în numerar mizate de jucători și sunt luate în calcul la data derulării evenimentului sau a evenimentelor pe care se bazează jocul.</w:t>
      </w:r>
    </w:p>
    <w:p w:rsidR="008701C9" w:rsidRDefault="008701C9" w:rsidP="00933EA2">
      <w:pPr>
        <w:pStyle w:val="BodyText"/>
        <w:keepNext/>
        <w:keepLines/>
        <w:jc w:val="center"/>
        <w:rPr>
          <w:b/>
        </w:rPr>
      </w:pPr>
      <w:r>
        <w:rPr>
          <w:b/>
        </w:rPr>
        <w:t>Articolul 27</w:t>
      </w:r>
    </w:p>
    <w:p w:rsidR="00933EA2" w:rsidRPr="00933EA2" w:rsidRDefault="00933EA2" w:rsidP="00933EA2">
      <w:pPr>
        <w:keepNext/>
        <w:keepLines/>
        <w:jc w:val="both"/>
        <w:rPr>
          <w:strike/>
        </w:rPr>
      </w:pPr>
    </w:p>
    <w:p w:rsidR="008701C9" w:rsidRPr="00933EA2" w:rsidRDefault="008701C9" w:rsidP="00933EA2">
      <w:pPr>
        <w:jc w:val="both"/>
      </w:pPr>
      <w:r>
        <w:t>Procentul maxim al sumelor plătite în medie jucătorilor în cadrul activității de operare a pariurilor online este de 85 %.</w:t>
      </w:r>
    </w:p>
    <w:p w:rsidR="008701C9" w:rsidRPr="00933EA2" w:rsidRDefault="008701C9" w:rsidP="00933EA2">
      <w:pPr>
        <w:pStyle w:val="BodyText"/>
        <w:keepNext/>
        <w:keepLines/>
        <w:jc w:val="center"/>
        <w:rPr>
          <w:b/>
        </w:rPr>
      </w:pPr>
      <w:r>
        <w:rPr>
          <w:b/>
        </w:rPr>
        <w:t>Articolul 28</w:t>
      </w:r>
    </w:p>
    <w:p w:rsidR="008701C9" w:rsidRPr="00933EA2" w:rsidRDefault="008701C9" w:rsidP="00933EA2">
      <w:pPr>
        <w:keepNext/>
        <w:keepLines/>
        <w:jc w:val="both"/>
        <w:rPr>
          <w:strike/>
        </w:rPr>
      </w:pPr>
    </w:p>
    <w:p w:rsidR="008701C9" w:rsidRPr="00933EA2" w:rsidRDefault="008701C9" w:rsidP="00933EA2">
      <w:pPr>
        <w:jc w:val="both"/>
      </w:pPr>
      <w:r>
        <w:t>În conformitate cu articolul 28, procentul maxim al sumelor plătite în medie jucătorilor:</w:t>
      </w:r>
    </w:p>
    <w:p w:rsidR="008701C9" w:rsidRPr="00933EA2" w:rsidRDefault="008701C9" w:rsidP="00933EA2">
      <w:pPr>
        <w:ind w:left="708"/>
        <w:jc w:val="both"/>
      </w:pPr>
      <w:r>
        <w:t>1. se evaluează în funcție de fiecare licență;</w:t>
      </w:r>
    </w:p>
    <w:p w:rsidR="008701C9" w:rsidRPr="00933EA2" w:rsidRDefault="008701C9" w:rsidP="00933EA2">
      <w:pPr>
        <w:ind w:left="708"/>
        <w:jc w:val="both"/>
      </w:pPr>
      <w:r>
        <w:t>2. se evaluează anual, pentru fiecare an calendaristic.</w:t>
      </w:r>
    </w:p>
    <w:p w:rsidR="008701C9" w:rsidRPr="00933EA2" w:rsidRDefault="008701C9" w:rsidP="00933EA2">
      <w:pPr>
        <w:ind w:left="708"/>
        <w:jc w:val="both"/>
      </w:pPr>
    </w:p>
    <w:p w:rsidR="008701C9" w:rsidRPr="00933EA2" w:rsidRDefault="008701C9" w:rsidP="00933EA2">
      <w:pPr>
        <w:rPr>
          <w:b/>
        </w:rPr>
      </w:pPr>
    </w:p>
    <w:p w:rsidR="008701C9" w:rsidRDefault="008701C9" w:rsidP="00933EA2">
      <w:pPr>
        <w:pStyle w:val="BodyText"/>
        <w:keepNext/>
        <w:keepLines/>
        <w:jc w:val="center"/>
        <w:rPr>
          <w:b/>
        </w:rPr>
      </w:pPr>
      <w:r>
        <w:rPr>
          <w:b/>
        </w:rPr>
        <w:lastRenderedPageBreak/>
        <w:t>Articolul 29</w:t>
      </w:r>
    </w:p>
    <w:p w:rsidR="00933EA2" w:rsidRPr="00933EA2" w:rsidRDefault="00933EA2" w:rsidP="00933EA2">
      <w:pPr>
        <w:keepNext/>
        <w:keepLines/>
        <w:rPr>
          <w:b/>
        </w:rPr>
      </w:pPr>
    </w:p>
    <w:p w:rsidR="008701C9" w:rsidRPr="00933EA2" w:rsidRDefault="008701C9" w:rsidP="00933EA2">
      <w:pPr>
        <w:spacing w:before="100" w:beforeAutospacing="1" w:after="100" w:afterAutospacing="1"/>
        <w:jc w:val="both"/>
      </w:pPr>
      <w:r>
        <w:t>(I) ― Operatorul transmite în fiecare trimestru Oficiului Național pentru Jocuri de Noroc, în cadrul activității sale corespunzătoare fiecărei licențe de operator de pariuri online pe care o deține, un document care atestă toate sumele pe care le-a plătit sau care urmează să fie plătite jucătorilor și toate pariurile plasate de jucători.</w:t>
      </w:r>
    </w:p>
    <w:p w:rsidR="008701C9" w:rsidRPr="00933EA2" w:rsidRDefault="008701C9" w:rsidP="00933EA2">
      <w:pPr>
        <w:spacing w:before="100" w:beforeAutospacing="1" w:after="100" w:afterAutospacing="1"/>
        <w:jc w:val="both"/>
      </w:pPr>
      <w:r>
        <w:t>(II)</w:t>
      </w:r>
      <w:r w:rsidR="00870029">
        <w:t xml:space="preserve"> </w:t>
      </w:r>
      <w:r>
        <w:t>― Câștigurile în natură sunt evaluate de operator pentru ca acestea să fie introduse în calculul proporției sumelor pe care le-a plătit jucătorilor; operatorul informează Oficiul Național pentru Jocuri de Noroc cu privire la elementele pe care s-a bazat pentru efectuarea evaluării respective.</w:t>
      </w:r>
    </w:p>
    <w:p w:rsidR="008701C9" w:rsidRPr="00933EA2" w:rsidRDefault="008701C9" w:rsidP="00933EA2">
      <w:pPr>
        <w:spacing w:before="100" w:beforeAutospacing="1" w:after="100" w:afterAutospacing="1"/>
        <w:jc w:val="both"/>
      </w:pPr>
      <w:r>
        <w:t>(III)</w:t>
      </w:r>
      <w:r w:rsidR="00870029">
        <w:t xml:space="preserve"> </w:t>
      </w:r>
      <w:r>
        <w:t>― Acest document este transmis:</w:t>
      </w:r>
    </w:p>
    <w:p w:rsidR="008701C9" w:rsidRPr="00933EA2" w:rsidRDefault="008701C9" w:rsidP="00933EA2">
      <w:pPr>
        <w:spacing w:before="100" w:beforeAutospacing="1" w:after="100" w:afterAutospacing="1"/>
        <w:jc w:val="both"/>
      </w:pPr>
      <w:r>
        <w:t>1. Cel târziu până la 15 aprilie pentru operațiunile de pariuri derulate în primul trimestru al anului în curs;</w:t>
      </w:r>
    </w:p>
    <w:p w:rsidR="008701C9" w:rsidRPr="00933EA2" w:rsidRDefault="008701C9" w:rsidP="00933EA2">
      <w:pPr>
        <w:spacing w:before="100" w:beforeAutospacing="1" w:after="100" w:afterAutospacing="1"/>
        <w:jc w:val="both"/>
      </w:pPr>
      <w:r>
        <w:t>2. Cel târziu până la 15 iulie pentru operațiunile de pariuri derulate în al doilea trimestru al anului în curs;</w:t>
      </w:r>
    </w:p>
    <w:p w:rsidR="008701C9" w:rsidRPr="00933EA2" w:rsidRDefault="008701C9" w:rsidP="00933EA2">
      <w:pPr>
        <w:spacing w:before="100" w:beforeAutospacing="1" w:after="100" w:afterAutospacing="1"/>
        <w:jc w:val="both"/>
      </w:pPr>
      <w:r>
        <w:t>3. Cel târziu până la 15 octombrie pentru operațiunile de pariuri derulate în al treilea trimestru al anului în curs;</w:t>
      </w:r>
    </w:p>
    <w:p w:rsidR="008701C9" w:rsidRPr="00933EA2" w:rsidRDefault="008701C9" w:rsidP="00933EA2">
      <w:pPr>
        <w:spacing w:before="100" w:beforeAutospacing="1" w:after="100" w:afterAutospacing="1"/>
        <w:jc w:val="both"/>
      </w:pPr>
      <w:r>
        <w:t>4. Cel târziu până la 15 ianuarie pentru operațiunile de pariuri derulate în al patrulea trimestru al anului în curs.</w:t>
      </w:r>
    </w:p>
    <w:p w:rsidR="008701C9" w:rsidRPr="00933EA2" w:rsidRDefault="008701C9" w:rsidP="00933EA2">
      <w:pPr>
        <w:jc w:val="both"/>
        <w:rPr>
          <w:u w:val="single"/>
        </w:rPr>
      </w:pPr>
    </w:p>
    <w:p w:rsidR="008701C9" w:rsidRDefault="008701C9" w:rsidP="00933EA2">
      <w:pPr>
        <w:pStyle w:val="BodyText"/>
        <w:keepNext/>
        <w:keepLines/>
        <w:jc w:val="center"/>
        <w:rPr>
          <w:b/>
        </w:rPr>
      </w:pPr>
      <w:r>
        <w:rPr>
          <w:b/>
        </w:rPr>
        <w:t>Articolul 30</w:t>
      </w:r>
    </w:p>
    <w:p w:rsidR="00933EA2" w:rsidRPr="00933EA2" w:rsidRDefault="00933EA2" w:rsidP="00933EA2">
      <w:pPr>
        <w:keepNext/>
        <w:keepLines/>
        <w:rPr>
          <w:b/>
        </w:rPr>
      </w:pPr>
    </w:p>
    <w:p w:rsidR="008701C9" w:rsidRPr="00933EA2" w:rsidRDefault="008701C9" w:rsidP="00933EA2">
      <w:pPr>
        <w:spacing w:before="100" w:beforeAutospacing="1" w:after="100" w:afterAutospacing="1"/>
        <w:jc w:val="both"/>
      </w:pPr>
      <w:r>
        <w:t xml:space="preserve">Operatorii care sunt titulari ai licenței prevăzute la articolul </w:t>
      </w:r>
      <w:hyperlink r:id="rId6" w:history="1">
        <w:r>
          <w:t>21 din Legea din 12 mai 2010 sus-menţionată</w:t>
        </w:r>
      </w:hyperlink>
      <w:r>
        <w:t xml:space="preserve"> care decid să mutualizeze între ei mizele jucate de proprii pariori încheie, în acest sens, în scris, o convenţie de mutualizare.</w:t>
      </w:r>
    </w:p>
    <w:p w:rsidR="008701C9" w:rsidRPr="00452EF3" w:rsidRDefault="008701C9" w:rsidP="00933EA2">
      <w:pPr>
        <w:spacing w:after="240"/>
        <w:jc w:val="both"/>
      </w:pPr>
      <w:r>
        <w:t>Un exemplar al convenţiei de mutualizare este transmis, după semnarea sa, Oficiului Național pentru Jocuri de Noroc.</w:t>
      </w:r>
    </w:p>
    <w:p w:rsidR="008701C9" w:rsidRPr="00933EA2" w:rsidRDefault="008701C9" w:rsidP="00933EA2">
      <w:pPr>
        <w:spacing w:after="240"/>
        <w:jc w:val="both"/>
      </w:pPr>
      <w:r>
        <w:t>Convenţia defineşte drepturile şi obligaţiile operatorilor autorizaţi care sunt semnatari ai acesteia şi determină, în special:</w:t>
      </w:r>
    </w:p>
    <w:p w:rsidR="008701C9" w:rsidRPr="00933EA2" w:rsidRDefault="008701C9" w:rsidP="00933EA2">
      <w:pPr>
        <w:spacing w:after="240"/>
        <w:jc w:val="both"/>
      </w:pPr>
      <w:r>
        <w:t>1. persoana însărcinată cu administrarea sumelor mutualizate în aşa fel încât operatorii autorizaţi să respecte procentul maxim al sumelor plătite în medie jucătorilor, definit la articolul 3;</w:t>
      </w:r>
    </w:p>
    <w:p w:rsidR="008701C9" w:rsidRPr="00933EA2" w:rsidRDefault="008701C9" w:rsidP="00933EA2">
      <w:pPr>
        <w:spacing w:after="240"/>
        <w:jc w:val="both"/>
      </w:pPr>
      <w:r>
        <w:t>2. în ceea ce privește pariurile hipice, cursa sau totalitatea curselor, precum şi tipul de rezultat care constituie obiectul mutualizării;</w:t>
      </w:r>
    </w:p>
    <w:p w:rsidR="008701C9" w:rsidRPr="00933EA2" w:rsidRDefault="008701C9" w:rsidP="00933EA2">
      <w:pPr>
        <w:spacing w:after="240"/>
        <w:jc w:val="both"/>
      </w:pPr>
      <w:r>
        <w:t>3. în ceea ce privește pariurile sportive, competiţia sau evenimentul sportiv, precum şi tipul de rezultat care constituie obiectul mutualizării;</w:t>
      </w:r>
    </w:p>
    <w:p w:rsidR="008701C9" w:rsidRPr="00933EA2" w:rsidRDefault="008701C9" w:rsidP="00933EA2">
      <w:pPr>
        <w:spacing w:after="240"/>
        <w:jc w:val="both"/>
      </w:pPr>
      <w:r>
        <w:lastRenderedPageBreak/>
        <w:t>4. modalităţile de administrare a bonusurilor, a valorilor mizelor şi câştigurilor definite de operatori în vederea respectării taxei stabilite la articolul 27;</w:t>
      </w:r>
    </w:p>
    <w:p w:rsidR="008701C9" w:rsidRPr="00933EA2" w:rsidRDefault="008701C9" w:rsidP="00933EA2">
      <w:pPr>
        <w:spacing w:after="240"/>
        <w:jc w:val="both"/>
      </w:pPr>
      <w:r>
        <w:t>5. modalităţile tehnice după care este realizată mutualizarea sumelor.</w:t>
      </w:r>
    </w:p>
    <w:p w:rsidR="008701C9" w:rsidRPr="00933EA2" w:rsidRDefault="008701C9" w:rsidP="00933EA2">
      <w:pPr>
        <w:jc w:val="both"/>
        <w:rPr>
          <w:u w:val="single"/>
        </w:rPr>
      </w:pPr>
    </w:p>
    <w:p w:rsidR="008701C9" w:rsidRPr="00933EA2" w:rsidRDefault="00B705CF" w:rsidP="00933EA2">
      <w:pPr>
        <w:pStyle w:val="BodyText"/>
        <w:keepNext/>
        <w:keepLines/>
        <w:jc w:val="center"/>
        <w:rPr>
          <w:b/>
        </w:rPr>
      </w:pPr>
      <w:r>
        <w:rPr>
          <w:b/>
        </w:rPr>
        <w:t>Articolul 31</w:t>
      </w:r>
    </w:p>
    <w:p w:rsidR="008701C9" w:rsidRPr="00933EA2" w:rsidRDefault="008701C9" w:rsidP="00933EA2">
      <w:pPr>
        <w:keepNext/>
        <w:keepLines/>
        <w:rPr>
          <w:b/>
        </w:rPr>
      </w:pPr>
    </w:p>
    <w:p w:rsidR="008701C9" w:rsidRPr="00933EA2" w:rsidRDefault="008701C9" w:rsidP="00933EA2">
      <w:pPr>
        <w:jc w:val="both"/>
      </w:pPr>
      <w:r>
        <w:t>Procentul sumelor plătite în medie jucătorilor sau rata de întoarcere la jucători (TRJ) este determinat pentru fiecare operator autorizat care este parte semnatară la o convenţie de mutualizare prin aplicarea formulei următoare:</w:t>
      </w:r>
    </w:p>
    <w:p w:rsidR="008701C9" w:rsidRPr="00933EA2" w:rsidRDefault="008701C9" w:rsidP="00933EA2">
      <w:pPr>
        <w:spacing w:before="100" w:beforeAutospacing="1" w:after="100" w:afterAutospacing="1"/>
        <w:jc w:val="both"/>
      </w:pPr>
      <w:r>
        <w:t>Puteți consulta formula din facsimilul din JO nr. 0244 din 21.10.2015, textul nr. 6, accesând următoarea adresă:</w:t>
      </w:r>
    </w:p>
    <w:p w:rsidR="008701C9" w:rsidRPr="00933EA2" w:rsidRDefault="00D84837" w:rsidP="00933EA2">
      <w:pPr>
        <w:spacing w:before="100" w:beforeAutospacing="1" w:after="100" w:afterAutospacing="1"/>
        <w:jc w:val="both"/>
      </w:pPr>
      <w:hyperlink r:id="rId7" w:history="1">
        <w:r w:rsidR="00452EF3">
          <w:rPr>
            <w:color w:val="0000FF"/>
            <w:u w:val="single"/>
          </w:rPr>
          <w:t>http://www.legifrance.gouv.fr/jopdf/common/jo_pdf.jsp?numJO=0&amp;dateJO=20151021&amp;numTexte=6&amp;pageDebut=19518&amp;pageFin=19519</w:t>
        </w:r>
      </w:hyperlink>
    </w:p>
    <w:p w:rsidR="008701C9" w:rsidRPr="00933EA2" w:rsidRDefault="008701C9" w:rsidP="00933EA2">
      <w:pPr>
        <w:spacing w:before="100" w:beforeAutospacing="1" w:after="100" w:afterAutospacing="1"/>
        <w:jc w:val="both"/>
      </w:pPr>
      <w:r>
        <w:t>Mizele (Mi) corespund sumei totale a mizelor plasate de jucătorii operatorului autorizat la nivelul masei Mi.</w:t>
      </w:r>
    </w:p>
    <w:p w:rsidR="008701C9" w:rsidRPr="00933EA2" w:rsidRDefault="008701C9" w:rsidP="00933EA2">
      <w:pPr>
        <w:spacing w:before="100" w:beforeAutospacing="1" w:after="100" w:afterAutospacing="1"/>
        <w:jc w:val="both"/>
      </w:pPr>
      <w:r>
        <w:t>M0 corespunde sumei care nu este mutualizată cu alți operatori aprobați.</w:t>
      </w:r>
      <w:r w:rsidR="00870029">
        <w:t xml:space="preserve"> </w:t>
      </w:r>
      <w:r>
        <w:t>Această sumă corespunde, după caz, sumei proprii a operatorului autorizat sau sumei mutualizate de acest operator cu operatorii care nu sunt titulari ai licenței prevăzute la articolul 21 din Legea din 12 mai 2010 sus-menţionată.</w:t>
      </w:r>
    </w:p>
    <w:p w:rsidR="008701C9" w:rsidRPr="00933EA2" w:rsidRDefault="008701C9" w:rsidP="00933EA2">
      <w:pPr>
        <w:spacing w:before="100" w:beforeAutospacing="1" w:after="100" w:afterAutospacing="1"/>
        <w:jc w:val="both"/>
      </w:pPr>
      <w:r>
        <w:t>Mi cu i ≠ 0 corespunde sumei mutualizate cu alți operatori autorizați prin contractul i.</w:t>
      </w:r>
    </w:p>
    <w:p w:rsidR="008701C9" w:rsidRPr="00933EA2" w:rsidRDefault="008701C9" w:rsidP="00933EA2">
      <w:pPr>
        <w:spacing w:before="100" w:beforeAutospacing="1" w:after="100" w:afterAutospacing="1"/>
        <w:jc w:val="both"/>
      </w:pPr>
      <w:r>
        <w:t>∑nj = 0 Mize (Mj) corespund sumei totale a mizelor operatorului autorizat, realizate de jucătorii săi.</w:t>
      </w:r>
    </w:p>
    <w:p w:rsidR="008701C9" w:rsidRPr="00933EA2" w:rsidRDefault="008701C9" w:rsidP="00933EA2">
      <w:pPr>
        <w:spacing w:before="100" w:beforeAutospacing="1" w:after="100" w:afterAutospacing="1"/>
        <w:jc w:val="both"/>
      </w:pPr>
      <w:r>
        <w:t>TRJ(M0) corespunde TRJ din suma operatorului care nu este mutualizată cu alți operatori autorizați.</w:t>
      </w:r>
      <w:r w:rsidR="00870029">
        <w:t xml:space="preserve"> </w:t>
      </w:r>
      <w:r>
        <w:t>TRJ(M0) se calculează în conformitate cu metoda generală indicată la articolele 1 și 2, luând în considerare exclusiv elementele legate de operațiunile care nu sunt mutualizate cu operatori autorizați și desfășurate exclusiv de jucătorii operatorului.</w:t>
      </w:r>
    </w:p>
    <w:p w:rsidR="008701C9" w:rsidRPr="00933EA2" w:rsidRDefault="008701C9" w:rsidP="00933EA2">
      <w:pPr>
        <w:spacing w:before="100" w:beforeAutospacing="1" w:after="100" w:afterAutospacing="1"/>
        <w:jc w:val="both"/>
      </w:pPr>
      <w:r>
        <w:t>TRJ(Mi) cu i ≠ 0 corespunde TRJ al sumei mutualizate Mi.</w:t>
      </w:r>
    </w:p>
    <w:p w:rsidR="008701C9" w:rsidRPr="00933EA2" w:rsidRDefault="008701C9" w:rsidP="00933EA2">
      <w:pPr>
        <w:spacing w:before="100" w:beforeAutospacing="1" w:after="100" w:afterAutospacing="1"/>
        <w:jc w:val="both"/>
      </w:pPr>
      <w:r>
        <w:t>TRJ(Mi) se calculează în conformitate cu metoda generală indicată la articolele 1 și 2, luând în considerare exclusiv elementele legate de contractul de mutualizare i și referitoare la toți jucătorii operatorilor autorizați care sunt părți semnatare la acest contract de mutualizare.</w:t>
      </w:r>
    </w:p>
    <w:p w:rsidR="008701C9" w:rsidRPr="00933EA2" w:rsidRDefault="00B705CF" w:rsidP="00933EA2">
      <w:pPr>
        <w:pStyle w:val="BodyText"/>
        <w:keepNext/>
        <w:keepLines/>
        <w:jc w:val="center"/>
        <w:rPr>
          <w:b/>
        </w:rPr>
      </w:pPr>
      <w:r>
        <w:rPr>
          <w:b/>
        </w:rPr>
        <w:t>Articolul 32</w:t>
      </w:r>
    </w:p>
    <w:p w:rsidR="008701C9" w:rsidRPr="00933EA2" w:rsidRDefault="008701C9" w:rsidP="00933EA2">
      <w:pPr>
        <w:keepNext/>
        <w:keepLines/>
        <w:rPr>
          <w:b/>
        </w:rPr>
      </w:pPr>
    </w:p>
    <w:p w:rsidR="008701C9" w:rsidRPr="00933EA2" w:rsidRDefault="008701C9" w:rsidP="00933EA2">
      <w:pPr>
        <w:jc w:val="both"/>
      </w:pPr>
      <w:r>
        <w:t xml:space="preserve">Procentul sumelor plătite în medie jucătorilor de un operator titular al licenței prevăzute la </w:t>
      </w:r>
      <w:hyperlink r:id="rId8" w:history="1">
        <w:r>
          <w:t>articolul 21 din Legea din 12 mai 2010 susmenţionată</w:t>
        </w:r>
      </w:hyperlink>
      <w:r>
        <w:t>, care mutualizează mizele jucate de proprii pariori doar cu cele jucate de pariorii unui operator care nu este titular al licenței menționate, este determinat în conformitate cu articolele 25-28.</w:t>
      </w:r>
    </w:p>
    <w:p w:rsidR="00C342AB" w:rsidRPr="00933EA2" w:rsidRDefault="00C342AB" w:rsidP="00933EA2">
      <w:pPr>
        <w:pStyle w:val="BodyText"/>
        <w:jc w:val="both"/>
      </w:pPr>
    </w:p>
    <w:p w:rsidR="00E83532" w:rsidRPr="00933EA2" w:rsidRDefault="00E83532" w:rsidP="007A780D">
      <w:pPr>
        <w:keepNext/>
        <w:keepLines/>
        <w:jc w:val="center"/>
        <w:rPr>
          <w:b/>
        </w:rPr>
      </w:pPr>
      <w:r>
        <w:rPr>
          <w:b/>
        </w:rPr>
        <w:lastRenderedPageBreak/>
        <w:t>TITLUL V:CONDIȚII DE COMERCIALIZARE A DREPTURILOR PRIVIND ORGANIZAREA PARIURILOR PENTRU UN EVENIMENT SAU CONCURS SPORTIV</w:t>
      </w:r>
    </w:p>
    <w:p w:rsidR="00E83532" w:rsidRPr="00933EA2" w:rsidRDefault="00E83532" w:rsidP="007A780D">
      <w:pPr>
        <w:keepNext/>
        <w:keepLines/>
        <w:jc w:val="center"/>
        <w:rPr>
          <w:b/>
        </w:rPr>
      </w:pPr>
    </w:p>
    <w:p w:rsidR="00E83532" w:rsidRPr="00933EA2" w:rsidRDefault="00E83532" w:rsidP="007A780D">
      <w:pPr>
        <w:keepNext/>
        <w:keepLines/>
        <w:jc w:val="center"/>
        <w:rPr>
          <w:b/>
        </w:rPr>
      </w:pPr>
    </w:p>
    <w:p w:rsidR="00E83532" w:rsidRPr="00933EA2" w:rsidRDefault="00B705CF" w:rsidP="007A780D">
      <w:pPr>
        <w:pStyle w:val="BodyText"/>
        <w:keepNext/>
        <w:keepLines/>
        <w:jc w:val="center"/>
        <w:rPr>
          <w:b/>
        </w:rPr>
      </w:pPr>
      <w:r>
        <w:rPr>
          <w:b/>
        </w:rPr>
        <w:t>Articolul 33</w:t>
      </w:r>
    </w:p>
    <w:p w:rsidR="00E83532" w:rsidRPr="00933EA2" w:rsidRDefault="00E83532" w:rsidP="007A780D">
      <w:pPr>
        <w:keepNext/>
        <w:keepLines/>
        <w:rPr>
          <w:b/>
        </w:rPr>
      </w:pPr>
    </w:p>
    <w:p w:rsidR="001A748C" w:rsidRPr="00933EA2" w:rsidRDefault="001A748C" w:rsidP="00933EA2">
      <w:pPr>
        <w:jc w:val="both"/>
      </w:pPr>
      <w:r>
        <w:t>Federațiile sportive și organizatorii de evenimente sportive comercializează în comun cu societatea care deține drepturile exclusive menționate la articolul 137 din Legea din 22 mai 2019 sus-menționată și, în mod neexclusiv, cu operatorii de pariuri sportive online care dețin licența prevăzută la articolul 21 din Legea din 12 mai 2010 sus-menționată, dreptul de a organiza pariuri pe evenimente sau competiții sportive pe care le organizează în condițiile prevăzute la articolele 34-37 din prezentul decret.</w:t>
      </w:r>
    </w:p>
    <w:p w:rsidR="00E83532" w:rsidRPr="00933EA2" w:rsidRDefault="00E83532" w:rsidP="00933EA2">
      <w:pPr>
        <w:jc w:val="both"/>
      </w:pPr>
    </w:p>
    <w:p w:rsidR="00E83532" w:rsidRPr="00933EA2" w:rsidRDefault="00B705CF" w:rsidP="00933EA2">
      <w:pPr>
        <w:pStyle w:val="BodyText"/>
        <w:keepNext/>
        <w:keepLines/>
        <w:jc w:val="center"/>
        <w:rPr>
          <w:b/>
        </w:rPr>
      </w:pPr>
      <w:r>
        <w:rPr>
          <w:b/>
        </w:rPr>
        <w:t>Articolul 34</w:t>
      </w:r>
    </w:p>
    <w:p w:rsidR="00E83532" w:rsidRPr="00933EA2" w:rsidRDefault="00E83532" w:rsidP="00933EA2">
      <w:pPr>
        <w:keepNext/>
        <w:keepLines/>
        <w:rPr>
          <w:b/>
        </w:rPr>
      </w:pPr>
    </w:p>
    <w:p w:rsidR="00E83532" w:rsidRPr="00933EA2" w:rsidRDefault="00E83532" w:rsidP="00933EA2">
      <w:pPr>
        <w:jc w:val="both"/>
      </w:pPr>
      <w:r>
        <w:t>Comercializarea de către federațiile sportive și organizatorii de evenimente sportive a dreptului de organizare a pariurilor se desfășoară conform unei proceduri de consultare nediscriminatorii deschise tuturor operatorilor care au obținut licența de operator de pariuri sportive prevăzută la articolul 21 din Legea din 12 mai 2010 sus-menționată.</w:t>
      </w:r>
    </w:p>
    <w:p w:rsidR="00E83532" w:rsidRPr="00933EA2" w:rsidRDefault="00E83532" w:rsidP="00933EA2">
      <w:pPr>
        <w:jc w:val="both"/>
      </w:pPr>
      <w:r>
        <w:t>Aceasta nu poate face obiectul unor loturi separate.</w:t>
      </w:r>
    </w:p>
    <w:p w:rsidR="00E83532" w:rsidRPr="00933EA2" w:rsidRDefault="00E83532" w:rsidP="00933EA2">
      <w:pPr>
        <w:jc w:val="both"/>
      </w:pPr>
      <w:r>
        <w:t>Un caiet de sarcini întocmit de federația sportivă sau de organizatorul de evenimente sportive este trimis fiecărui operator autorizat care îl solicită.</w:t>
      </w:r>
    </w:p>
    <w:p w:rsidR="00E83532" w:rsidRPr="00933EA2" w:rsidRDefault="00E83532" w:rsidP="00933EA2">
      <w:pPr>
        <w:jc w:val="both"/>
      </w:pPr>
      <w:r>
        <w:t>Acest caiet de sarcini:</w:t>
      </w:r>
    </w:p>
    <w:p w:rsidR="00E83532" w:rsidRPr="00933EA2" w:rsidRDefault="00E83532" w:rsidP="00933EA2">
      <w:pPr>
        <w:jc w:val="both"/>
      </w:pPr>
      <w:r>
        <w:t>1. specifică calendarul procedurii de atribuire și normele care reglementează consultarea, în special în ceea ce privește stabilirea prețului în condițiile prevăzute la articolul 36;</w:t>
      </w:r>
    </w:p>
    <w:p w:rsidR="00E83532" w:rsidRPr="00933EA2" w:rsidRDefault="00E83532" w:rsidP="00933EA2">
      <w:pPr>
        <w:jc w:val="both"/>
      </w:pPr>
      <w:r>
        <w:t>2. specifică obiectul consultării, care poate face referire la unul sau mai multe evenimente sau competiții sportive, cu respectarea categoriilor de evenimente și competiții sportive definite de Oficiul Național pentru Jocuri de Noroc;</w:t>
      </w:r>
    </w:p>
    <w:p w:rsidR="00E83532" w:rsidRPr="00933EA2" w:rsidRDefault="00E83532" w:rsidP="00933EA2">
      <w:pPr>
        <w:jc w:val="both"/>
      </w:pPr>
      <w:r>
        <w:t>3. stabilește durata dreptului de exploatare;</w:t>
      </w:r>
    </w:p>
    <w:p w:rsidR="00E83532" w:rsidRPr="00933EA2" w:rsidRDefault="00E83532" w:rsidP="00933EA2">
      <w:pPr>
        <w:jc w:val="both"/>
      </w:pPr>
      <w:r>
        <w:t>4. precizează măsurile de supraveghere și de detecție pe care intenționează să le pună în aplicare federația sportivă sau organizatorul de evenimente sportive în ceea ce privește prevenirea riscului de a prejudicia integritatea competițiilor sau evenimentelor sportive supuse consultării;</w:t>
      </w:r>
    </w:p>
    <w:p w:rsidR="00E83532" w:rsidRPr="00933EA2" w:rsidRDefault="00E83532" w:rsidP="00933EA2">
      <w:pPr>
        <w:jc w:val="both"/>
      </w:pPr>
      <w:r>
        <w:t>5. stabilește obligațiile de informare și transparență care îi revin operatorului autorizat în materie de detectare a fraudei și de prevenire a riscului de a prejudicia integritatea evenimentelor și a competițiilor sportive.</w:t>
      </w:r>
    </w:p>
    <w:p w:rsidR="00E83532" w:rsidRPr="00933EA2" w:rsidRDefault="00E83532" w:rsidP="00933EA2">
      <w:pPr>
        <w:jc w:val="both"/>
      </w:pPr>
    </w:p>
    <w:p w:rsidR="00E83532" w:rsidRPr="00933EA2" w:rsidRDefault="00B705CF" w:rsidP="00933EA2">
      <w:pPr>
        <w:pStyle w:val="BodyText"/>
        <w:keepNext/>
        <w:keepLines/>
        <w:jc w:val="center"/>
        <w:rPr>
          <w:b/>
        </w:rPr>
      </w:pPr>
      <w:r>
        <w:rPr>
          <w:b/>
        </w:rPr>
        <w:t>Articolul 35</w:t>
      </w:r>
    </w:p>
    <w:p w:rsidR="00E83532" w:rsidRPr="00933EA2" w:rsidRDefault="00E83532" w:rsidP="00933EA2">
      <w:pPr>
        <w:keepNext/>
        <w:keepLines/>
        <w:rPr>
          <w:b/>
        </w:rPr>
      </w:pPr>
    </w:p>
    <w:p w:rsidR="00116832" w:rsidRPr="00933EA2" w:rsidRDefault="00E83532" w:rsidP="00933EA2">
      <w:pPr>
        <w:jc w:val="both"/>
      </w:pPr>
      <w:r>
        <w:t>Contractul de organizare a pariurilor încheiat, în conformitate cu articolul L. 333-1-2 din Codul sportului, între o federație sportivă sau un organizator de evenimente sportive și societatea care deține drepturi exclusive de organizare și operare a jocurilor de pariuri sportive în conformitate cu dispozițiile prevăzute la articolul 137 din Legea din 22 mai 2019 sus-menționată, specifică în special:</w:t>
      </w:r>
    </w:p>
    <w:p w:rsidR="00E83532" w:rsidRPr="00933EA2" w:rsidRDefault="00E83532" w:rsidP="00933EA2">
      <w:pPr>
        <w:jc w:val="both"/>
      </w:pPr>
      <w:r>
        <w:t>1. măsurile de supraveghere și de detecție pe care intenționează să le pună în aplicare federația sportivă sau organizatorul de evenimente sportive în ceea ce privește prevenirea riscului de a prejudicia integritatea competițiilor sau a evenimentelor sportive care fac obiectul contractului;</w:t>
      </w:r>
    </w:p>
    <w:p w:rsidR="00E83532" w:rsidRPr="00933EA2" w:rsidRDefault="00E83532" w:rsidP="00933EA2">
      <w:pPr>
        <w:jc w:val="both"/>
      </w:pPr>
      <w:r>
        <w:t>2. obligațiile de informare și transparență care îi revin societății care deține drepturi exclusive în materie de detectare a fraudei și de prevenire a riscului de a prejudicia integritatea evenimentelor și a competițiilor sportive.</w:t>
      </w:r>
    </w:p>
    <w:p w:rsidR="00E83532" w:rsidRPr="00933EA2" w:rsidRDefault="00E83532" w:rsidP="00933EA2">
      <w:pPr>
        <w:jc w:val="both"/>
        <w:rPr>
          <w:b/>
        </w:rPr>
      </w:pPr>
    </w:p>
    <w:p w:rsidR="00E83532" w:rsidRPr="00933EA2" w:rsidRDefault="00B705CF" w:rsidP="00933EA2">
      <w:pPr>
        <w:pStyle w:val="BodyText"/>
        <w:keepNext/>
        <w:keepLines/>
        <w:jc w:val="center"/>
        <w:rPr>
          <w:b/>
        </w:rPr>
      </w:pPr>
      <w:r>
        <w:rPr>
          <w:b/>
        </w:rPr>
        <w:lastRenderedPageBreak/>
        <w:t>Articolul 36</w:t>
      </w:r>
    </w:p>
    <w:p w:rsidR="00E83532" w:rsidRPr="00933EA2" w:rsidRDefault="00E83532" w:rsidP="00933EA2">
      <w:pPr>
        <w:keepNext/>
        <w:keepLines/>
        <w:rPr>
          <w:b/>
        </w:rPr>
      </w:pPr>
    </w:p>
    <w:p w:rsidR="00E83532" w:rsidRPr="00933EA2" w:rsidRDefault="00E83532" w:rsidP="00933EA2">
      <w:r>
        <w:t>Prețul în schimbul alocării dreptului de organizare a pariurilor este exprimat proporțional cu mizele.</w:t>
      </w:r>
    </w:p>
    <w:p w:rsidR="00E83532" w:rsidRPr="00933EA2" w:rsidRDefault="00E83532" w:rsidP="00933EA2">
      <w:pPr>
        <w:jc w:val="both"/>
        <w:rPr>
          <w:b/>
        </w:rPr>
      </w:pPr>
    </w:p>
    <w:p w:rsidR="00E83532" w:rsidRPr="00933EA2" w:rsidRDefault="00E83532" w:rsidP="00933EA2">
      <w:pPr>
        <w:pStyle w:val="BodyText"/>
        <w:keepNext/>
        <w:keepLines/>
        <w:jc w:val="center"/>
        <w:rPr>
          <w:b/>
        </w:rPr>
      </w:pPr>
      <w:r>
        <w:rPr>
          <w:b/>
        </w:rPr>
        <w:t>Articolul 37</w:t>
      </w:r>
    </w:p>
    <w:p w:rsidR="00E83532" w:rsidRPr="00933EA2" w:rsidRDefault="00E83532" w:rsidP="00933EA2">
      <w:pPr>
        <w:keepNext/>
        <w:keepLines/>
        <w:rPr>
          <w:b/>
        </w:rPr>
      </w:pPr>
    </w:p>
    <w:p w:rsidR="00E83532" w:rsidRPr="00933EA2" w:rsidRDefault="00E83532" w:rsidP="00933EA2">
      <w:pPr>
        <w:jc w:val="both"/>
      </w:pPr>
      <w:r>
        <w:t>Acordarea dreptului de a organiza pariuri trebuie să fie permisă oricărui operator autorizat care o solicită în perioada de operare menționată la punctul 3 din articolul 34 și pentru perioada rămasă, de îndată ce îndeplinește toate condițiile prevăzute în caietul de sarcini și acceptă prețul stabilit în urma consultării prevăzute la articolul 34.</w:t>
      </w:r>
    </w:p>
    <w:p w:rsidR="00E83532" w:rsidRPr="00933EA2" w:rsidRDefault="00E83532" w:rsidP="00933EA2">
      <w:pPr>
        <w:jc w:val="both"/>
      </w:pPr>
    </w:p>
    <w:p w:rsidR="00E83532" w:rsidRPr="00933EA2" w:rsidRDefault="000546D5" w:rsidP="00933EA2">
      <w:pPr>
        <w:pStyle w:val="BodyText"/>
        <w:keepNext/>
        <w:keepLines/>
        <w:jc w:val="center"/>
        <w:rPr>
          <w:b/>
        </w:rPr>
      </w:pPr>
      <w:r>
        <w:rPr>
          <w:b/>
        </w:rPr>
        <w:t>Articolul 38</w:t>
      </w:r>
    </w:p>
    <w:p w:rsidR="00E83532" w:rsidRPr="00933EA2" w:rsidRDefault="00E83532" w:rsidP="00933EA2">
      <w:pPr>
        <w:keepNext/>
        <w:keepLines/>
        <w:rPr>
          <w:b/>
        </w:rPr>
      </w:pPr>
    </w:p>
    <w:p w:rsidR="00E83532" w:rsidRPr="00933EA2" w:rsidRDefault="00E83532" w:rsidP="00933EA2">
      <w:pPr>
        <w:jc w:val="both"/>
      </w:pPr>
      <w:r>
        <w:t>Contractul de organizare a pariurilor, în conformitate cu articolul L. 333-1-2 din Codul sportului, încheiat între o federație sportivă sau un organizator de evenimente sportive și un operator autorizat încetează să mai producă efecte în caz de pierdere de către acesta din urmă a licenței menționate la articolul 21 din Legea din 12 mai 2010 sus-menționată.</w:t>
      </w:r>
    </w:p>
    <w:p w:rsidR="00757561" w:rsidRPr="00933EA2" w:rsidRDefault="00757561" w:rsidP="00933EA2">
      <w:pPr>
        <w:jc w:val="both"/>
      </w:pPr>
    </w:p>
    <w:p w:rsidR="00E83532" w:rsidRPr="00933EA2" w:rsidRDefault="00E83532" w:rsidP="00933EA2">
      <w:pPr>
        <w:jc w:val="center"/>
        <w:rPr>
          <w:b/>
        </w:rPr>
      </w:pPr>
      <w:r>
        <w:rPr>
          <w:b/>
        </w:rPr>
        <w:t>Titlul VI:COMPETIȚII SPORTIVE ȘI TIPURI DE REZULTATE SPORTIVE DEFINITE DE OFICIUL NAȚIONAL PENTRU JOCURI DE NOROC</w:t>
      </w:r>
    </w:p>
    <w:p w:rsidR="00E83532" w:rsidRPr="00933EA2" w:rsidRDefault="00E83532" w:rsidP="00933EA2">
      <w:pPr>
        <w:jc w:val="center"/>
        <w:rPr>
          <w:b/>
        </w:rPr>
      </w:pPr>
    </w:p>
    <w:p w:rsidR="00E83532" w:rsidRPr="00933EA2" w:rsidRDefault="000546D5" w:rsidP="00933EA2">
      <w:pPr>
        <w:pStyle w:val="BodyText"/>
        <w:keepNext/>
        <w:keepLines/>
        <w:jc w:val="center"/>
        <w:rPr>
          <w:b/>
        </w:rPr>
      </w:pPr>
      <w:r>
        <w:rPr>
          <w:b/>
        </w:rPr>
        <w:t>Articolul 39</w:t>
      </w:r>
    </w:p>
    <w:p w:rsidR="00E83532" w:rsidRPr="00933EA2" w:rsidRDefault="00E83532" w:rsidP="00933EA2">
      <w:pPr>
        <w:keepNext/>
        <w:keepLines/>
        <w:rPr>
          <w:b/>
        </w:rPr>
      </w:pPr>
    </w:p>
    <w:p w:rsidR="00E83532" w:rsidRPr="00933EA2" w:rsidRDefault="00E83532" w:rsidP="00933EA2">
      <w:pPr>
        <w:jc w:val="both"/>
      </w:pPr>
      <w:r>
        <w:t>Orice operator de pariuri sportive care deține licența menționată la articolul 21 din Legea din 12 mai 2010 sus-menționată sau societatea care deține drepturile exclusive menționate la articolul 137 din Legea din 22 mai 2019 sus-menționată poate organiza plasarea de pariuri sportive atunci când acestea se plasează pentru:</w:t>
      </w:r>
    </w:p>
    <w:p w:rsidR="00E83532" w:rsidRPr="00933EA2" w:rsidRDefault="001D2F2A" w:rsidP="00933EA2">
      <w:pPr>
        <w:jc w:val="both"/>
      </w:pPr>
      <w:r>
        <w:t>1. una dintre competițiile sau evenimentele sportive definite de Oficiul Național pentru Jocuri de Noroc în conformitate cu metodele prevăzute la articolul 40 din prezentul decret;</w:t>
      </w:r>
    </w:p>
    <w:p w:rsidR="00E83532" w:rsidRPr="00933EA2" w:rsidRDefault="001D2F2A" w:rsidP="00933EA2">
      <w:pPr>
        <w:jc w:val="both"/>
      </w:pPr>
      <w:r>
        <w:t>2. tipurile de rezultate definite de Oficiul Național pentru Jocuri de Noroc în conformitate cu metodele prevăzute la articolul 41 din prezentul decret.</w:t>
      </w:r>
    </w:p>
    <w:p w:rsidR="00E83532" w:rsidRPr="00933EA2" w:rsidRDefault="00E83532" w:rsidP="00933EA2">
      <w:pPr>
        <w:jc w:val="both"/>
      </w:pPr>
    </w:p>
    <w:p w:rsidR="00E83532" w:rsidRPr="00933EA2" w:rsidRDefault="000546D5" w:rsidP="00933EA2">
      <w:pPr>
        <w:pStyle w:val="BodyText"/>
        <w:keepNext/>
        <w:keepLines/>
        <w:jc w:val="center"/>
        <w:rPr>
          <w:b/>
        </w:rPr>
      </w:pPr>
      <w:r>
        <w:rPr>
          <w:b/>
        </w:rPr>
        <w:t>Articolul 40</w:t>
      </w:r>
    </w:p>
    <w:p w:rsidR="00E83532" w:rsidRPr="00933EA2" w:rsidRDefault="00E83532" w:rsidP="00933EA2">
      <w:pPr>
        <w:keepNext/>
        <w:keepLines/>
        <w:rPr>
          <w:b/>
        </w:rPr>
      </w:pPr>
    </w:p>
    <w:p w:rsidR="00E83532" w:rsidRPr="00933EA2" w:rsidRDefault="00E83532" w:rsidP="00933EA2">
      <w:pPr>
        <w:jc w:val="both"/>
      </w:pPr>
      <w:r>
        <w:t>(I) — Pentru fiecare disciplină sportivă, Oficiul Național pentru Jocuri de Noroc definește competițiile sau evenimentele sportive care pot servi drept suport pentru organizarea pariurilor sportive, făcând distincție, după caz, între pariurile cu drepturi exclusive și pariurile online.</w:t>
      </w:r>
    </w:p>
    <w:p w:rsidR="00E83532" w:rsidRPr="00933EA2" w:rsidRDefault="000546D5" w:rsidP="00933EA2">
      <w:pPr>
        <w:jc w:val="both"/>
      </w:pPr>
      <w:r>
        <w:t>(II)</w:t>
      </w:r>
      <w:r w:rsidR="00870029">
        <w:t xml:space="preserve"> </w:t>
      </w:r>
      <w:r>
        <w:t>— Competițiile sau evenimentele sportive pentru care se plasează pariurile sunt stabilite, după avizul federației delegate competente, în colaborare cu liga profesionistă, dacă a fost înființată sau, în lipsa acesteia, în colaborare cu ministrul sportului, în special în funcție de:</w:t>
      </w:r>
    </w:p>
    <w:p w:rsidR="00E83532" w:rsidRPr="00933EA2" w:rsidRDefault="00E83532" w:rsidP="00933EA2">
      <w:pPr>
        <w:jc w:val="both"/>
      </w:pPr>
      <w:r>
        <w:t>1. calitatea în care acționează organizatorul competiției sau tipul de eveniment sportiv, care trebuie să fie:</w:t>
      </w:r>
    </w:p>
    <w:p w:rsidR="00E83532" w:rsidRPr="00933EA2" w:rsidRDefault="001D2F2A" w:rsidP="00933EA2">
      <w:pPr>
        <w:jc w:val="both"/>
      </w:pPr>
      <w:r>
        <w:t>(a) o federație sportivă menționată la articolul L. 131-1 din Codul sportului;</w:t>
      </w:r>
    </w:p>
    <w:p w:rsidR="00E83532" w:rsidRPr="00933EA2" w:rsidRDefault="001D2F2A" w:rsidP="00933EA2">
      <w:pPr>
        <w:jc w:val="both"/>
      </w:pPr>
      <w:r>
        <w:t>(b) o federație sportivă internațională;</w:t>
      </w:r>
    </w:p>
    <w:p w:rsidR="00E83532" w:rsidRPr="00933EA2" w:rsidRDefault="001D2F2A" w:rsidP="00933EA2">
      <w:pPr>
        <w:jc w:val="both"/>
      </w:pPr>
      <w:r>
        <w:t>(c) o organizație sportivă internațională;</w:t>
      </w:r>
    </w:p>
    <w:p w:rsidR="00E83532" w:rsidRPr="00933EA2" w:rsidRDefault="001D2F2A" w:rsidP="00933EA2">
      <w:pPr>
        <w:jc w:val="both"/>
      </w:pPr>
      <w:r>
        <w:t>(d) un organizator al unui eveniment sportiv menționat la articolul L. 331-5 sau R 331-4-1 din Codul sportului;</w:t>
      </w:r>
    </w:p>
    <w:p w:rsidR="00E83532" w:rsidRPr="00933EA2" w:rsidRDefault="001D2F2A" w:rsidP="00933EA2">
      <w:pPr>
        <w:jc w:val="both"/>
      </w:pPr>
      <w:r>
        <w:t>(e) un organizator al unui eveniment sportiv organizat în mod legal în străinătate;</w:t>
      </w:r>
    </w:p>
    <w:p w:rsidR="00E83532" w:rsidRPr="00933EA2" w:rsidRDefault="001D2F2A" w:rsidP="00933EA2">
      <w:pPr>
        <w:jc w:val="both"/>
      </w:pPr>
      <w:r>
        <w:lastRenderedPageBreak/>
        <w:t>2. reglementările aplicabile acestor competiții sau evenimente sportive;</w:t>
      </w:r>
    </w:p>
    <w:p w:rsidR="00E83532" w:rsidRPr="00933EA2" w:rsidRDefault="001D2F2A" w:rsidP="00933EA2">
      <w:pPr>
        <w:jc w:val="both"/>
      </w:pPr>
      <w:r>
        <w:t>3. accesibilitatea la rezultatele competiției sau ale evenimentului sportiv;</w:t>
      </w:r>
    </w:p>
    <w:p w:rsidR="00E83532" w:rsidRPr="00933EA2" w:rsidRDefault="001D2F2A" w:rsidP="00933EA2">
      <w:pPr>
        <w:jc w:val="both"/>
      </w:pPr>
      <w:r>
        <w:t>4. vârsta sportivilor participanți admiși la aceste competiții sau evenimente sportive;</w:t>
      </w:r>
    </w:p>
    <w:p w:rsidR="00E83532" w:rsidRPr="00933EA2" w:rsidRDefault="001D2F2A" w:rsidP="00933EA2">
      <w:pPr>
        <w:jc w:val="both"/>
      </w:pPr>
      <w:r>
        <w:t>5. faima și miza competiției sau a evenimentului sportiv;</w:t>
      </w:r>
    </w:p>
    <w:p w:rsidR="00E83532" w:rsidRPr="00933EA2" w:rsidRDefault="001D2F2A" w:rsidP="00933EA2">
      <w:pPr>
        <w:jc w:val="both"/>
      </w:pPr>
      <w:r>
        <w:t>6. riscurile de manipulare pe care le prezintă competițiile sau evenimentele sportive.</w:t>
      </w:r>
    </w:p>
    <w:p w:rsidR="00E83532" w:rsidRPr="00933EA2" w:rsidRDefault="00E83532" w:rsidP="00933EA2">
      <w:pPr>
        <w:jc w:val="both"/>
      </w:pPr>
    </w:p>
    <w:p w:rsidR="00E83532" w:rsidRPr="00933EA2" w:rsidRDefault="000546D5" w:rsidP="00933EA2">
      <w:pPr>
        <w:jc w:val="both"/>
      </w:pPr>
      <w:r>
        <w:t>(III)</w:t>
      </w:r>
      <w:r w:rsidR="00870029">
        <w:t xml:space="preserve"> –</w:t>
      </w:r>
      <w:r>
        <w:t xml:space="preserve"> Oficiul Național pentru Jocuri de Noroc poate înregistra doar o parte din competiția sau evenimentul sportiv din listă în ceea ce privește criteriile definite la alineatul (II) de la prezentul articol.</w:t>
      </w:r>
    </w:p>
    <w:p w:rsidR="00E83532" w:rsidRPr="00933EA2" w:rsidRDefault="00E83532" w:rsidP="00933EA2">
      <w:pPr>
        <w:jc w:val="both"/>
      </w:pPr>
    </w:p>
    <w:p w:rsidR="00E83532" w:rsidRPr="00933EA2" w:rsidRDefault="000546D5" w:rsidP="00933EA2">
      <w:pPr>
        <w:jc w:val="center"/>
        <w:rPr>
          <w:b/>
        </w:rPr>
      </w:pPr>
      <w:r>
        <w:rPr>
          <w:b/>
        </w:rPr>
        <w:t>Articolul 41</w:t>
      </w:r>
    </w:p>
    <w:p w:rsidR="00E83532" w:rsidRPr="00933EA2" w:rsidRDefault="00E83532" w:rsidP="00933EA2">
      <w:pPr>
        <w:keepNext/>
        <w:keepLines/>
        <w:rPr>
          <w:b/>
        </w:rPr>
      </w:pPr>
    </w:p>
    <w:p w:rsidR="00E83532" w:rsidRPr="00933EA2" w:rsidRDefault="00E83532" w:rsidP="00933EA2">
      <w:pPr>
        <w:jc w:val="both"/>
      </w:pPr>
      <w:r>
        <w:t>(I)</w:t>
      </w:r>
      <w:r w:rsidR="00870029">
        <w:t xml:space="preserve"> </w:t>
      </w:r>
      <w:r>
        <w:t>– Pentru fiecare disciplină sportivă și, dacă este cazul, pentru fiecare competiție sau eveniment sportiv definit în conformitate cu procedurile prevăzute la articolul 40, Oficiul Național pentru Jocuri de Noroc, după consultarea cu federația delegată competentă, în colaborare cu liga profesionistă, dacă aceasta a fost înființată sau, în lipsa acesteia, în colaborare cu ministrul sportului, determină tipurile de rezultate și etapele de joc corespunzătoare care pot face obiectul pariurilor sportive, făcând distincție, după caz, între pariurile cu drepturi exclusive și pariurile online.</w:t>
      </w:r>
    </w:p>
    <w:p w:rsidR="00933EA2" w:rsidRDefault="00933EA2" w:rsidP="00933EA2">
      <w:pPr>
        <w:jc w:val="both"/>
      </w:pPr>
    </w:p>
    <w:p w:rsidR="00E83532" w:rsidRPr="00933EA2" w:rsidRDefault="000546D5" w:rsidP="00933EA2">
      <w:pPr>
        <w:jc w:val="both"/>
      </w:pPr>
      <w:r>
        <w:t>(II) — Tipurile de rezultate sunt definite ținând seama de riscurile de manipulare a rezultatului pe care acestea îl prezintă și de caracteristicile disciplinei sportive în cauză.</w:t>
      </w:r>
    </w:p>
    <w:p w:rsidR="00E83532" w:rsidRPr="00933EA2" w:rsidRDefault="00E83532" w:rsidP="00933EA2">
      <w:pPr>
        <w:jc w:val="both"/>
      </w:pPr>
    </w:p>
    <w:p w:rsidR="00E83532" w:rsidRPr="00933EA2" w:rsidRDefault="00E83532" w:rsidP="00933EA2">
      <w:pPr>
        <w:jc w:val="both"/>
      </w:pPr>
      <w:r>
        <w:t>Aceste tipuri de rezultate pot fi:</w:t>
      </w:r>
    </w:p>
    <w:p w:rsidR="00E83532" w:rsidRPr="00933EA2" w:rsidRDefault="00E83532" w:rsidP="00933EA2">
      <w:pPr>
        <w:jc w:val="both"/>
      </w:pPr>
    </w:p>
    <w:p w:rsidR="00E83532" w:rsidRPr="00933EA2" w:rsidRDefault="001D2F2A" w:rsidP="00933EA2">
      <w:pPr>
        <w:jc w:val="both"/>
      </w:pPr>
      <w:r>
        <w:t>1. rezultatele finale ale competițiilor sau ale evenimentelor sportive;</w:t>
      </w:r>
    </w:p>
    <w:p w:rsidR="00E83532" w:rsidRPr="00933EA2" w:rsidRDefault="001D2F2A" w:rsidP="00933EA2">
      <w:pPr>
        <w:jc w:val="both"/>
      </w:pPr>
      <w:r>
        <w:t>2. rezultatele etapelor de joc din cadrul competițiilor sau evenimentelor sportive;</w:t>
      </w:r>
    </w:p>
    <w:p w:rsidR="00E83532" w:rsidRPr="00933EA2" w:rsidRDefault="001D2F2A" w:rsidP="00933EA2">
      <w:pPr>
        <w:jc w:val="both"/>
      </w:pPr>
      <w:r>
        <w:t>3. orice eveniment sportiv care are o miză sportivă și care se desfășoară în cursul unei competiții, al unui eveniment sportiv sau al unei etape de joc.</w:t>
      </w:r>
    </w:p>
    <w:p w:rsidR="00E83532" w:rsidRPr="00933EA2" w:rsidRDefault="00E83532" w:rsidP="00933EA2">
      <w:pPr>
        <w:jc w:val="both"/>
      </w:pPr>
    </w:p>
    <w:p w:rsidR="00E83532" w:rsidRPr="00933EA2" w:rsidRDefault="00E83532" w:rsidP="00933EA2">
      <w:pPr>
        <w:jc w:val="both"/>
      </w:pPr>
      <w:r>
        <w:t>Aceste tipuri de rezultate reflectă performanțele sportive, obiectivele și rezultatele cuantificabile ale participanților la competiție sau la evenimentul sportiv.</w:t>
      </w:r>
    </w:p>
    <w:p w:rsidR="00E83532" w:rsidRPr="00933EA2" w:rsidRDefault="00E83532" w:rsidP="00933EA2">
      <w:pPr>
        <w:jc w:val="both"/>
      </w:pPr>
    </w:p>
    <w:p w:rsidR="00E83532" w:rsidRPr="00933EA2" w:rsidRDefault="00E83532" w:rsidP="00933EA2">
      <w:pPr>
        <w:jc w:val="both"/>
      </w:pPr>
      <w:r>
        <w:t>Oficiul Național pentru Jocuri de Noroc poate decide că un tip de rezultat nu va putea fi utilizat ca bază pentru pariuri decât pentru o parte din competiția sau evenimentul sportiv, având în vedere riscurile de manipulare la care este expus.</w:t>
      </w:r>
    </w:p>
    <w:p w:rsidR="00E83532" w:rsidRDefault="00E83532" w:rsidP="00933EA2">
      <w:pPr>
        <w:jc w:val="both"/>
      </w:pPr>
    </w:p>
    <w:p w:rsidR="00933EA2" w:rsidRPr="00933EA2" w:rsidRDefault="00933EA2" w:rsidP="00933EA2">
      <w:pPr>
        <w:jc w:val="both"/>
      </w:pPr>
    </w:p>
    <w:p w:rsidR="00E83532" w:rsidRPr="00933EA2" w:rsidRDefault="00E83532" w:rsidP="00933EA2">
      <w:pPr>
        <w:jc w:val="both"/>
      </w:pPr>
      <w:r>
        <w:t>(III)</w:t>
      </w:r>
      <w:r w:rsidR="00870029">
        <w:t xml:space="preserve"> </w:t>
      </w:r>
      <w:r>
        <w:t>― Pariurile sunt plasate pe baza rezultatelor competiției sau evenimentului sportiv, după cum sunt anunțate de către organizatorul competiției sportive.</w:t>
      </w:r>
    </w:p>
    <w:p w:rsidR="00933EA2" w:rsidRDefault="00933EA2" w:rsidP="00933EA2">
      <w:pPr>
        <w:jc w:val="both"/>
      </w:pPr>
    </w:p>
    <w:p w:rsidR="00E83532" w:rsidRPr="00933EA2" w:rsidRDefault="00E83532" w:rsidP="00933EA2">
      <w:pPr>
        <w:jc w:val="both"/>
      </w:pPr>
      <w:r>
        <w:t>Pariurile plasate nu mai pot fi modificate după anunțarea primelor rezultate de către organizatorul competiției sau al evenimentului sportiv, chiar dacă acestea ar trebui ulterior să fie supuse unor modificări în conformitate cu dispozițiile aplicabile competiției respective.</w:t>
      </w:r>
    </w:p>
    <w:p w:rsidR="00E83532" w:rsidRPr="00933EA2" w:rsidRDefault="00E83532" w:rsidP="00933EA2">
      <w:pPr>
        <w:jc w:val="both"/>
      </w:pPr>
    </w:p>
    <w:p w:rsidR="00E83532" w:rsidRPr="00933EA2" w:rsidRDefault="000546D5" w:rsidP="00933EA2">
      <w:pPr>
        <w:pStyle w:val="BodyText"/>
        <w:keepNext/>
        <w:keepLines/>
        <w:jc w:val="center"/>
        <w:rPr>
          <w:b/>
        </w:rPr>
      </w:pPr>
      <w:r>
        <w:rPr>
          <w:b/>
        </w:rPr>
        <w:t>Articolul 42</w:t>
      </w:r>
    </w:p>
    <w:p w:rsidR="00E83532" w:rsidRPr="00933EA2" w:rsidRDefault="00E83532" w:rsidP="00933EA2">
      <w:pPr>
        <w:keepNext/>
        <w:keepLines/>
        <w:rPr>
          <w:b/>
        </w:rPr>
      </w:pPr>
    </w:p>
    <w:p w:rsidR="00E83532" w:rsidRPr="00933EA2" w:rsidRDefault="00E83532" w:rsidP="00933EA2">
      <w:pPr>
        <w:jc w:val="both"/>
      </w:pPr>
      <w:r>
        <w:t>― Orice operator de pariuri sportive care deține licența menționată la articolul 21 din Legea din 12 mai 2010 sus-menționată sau societatea care deține drepturile exclusive menționate la articolul 137 din Legea din 22 mai 2019 sus-menționată poate depune o cerere la Oficiul Național pentru Jocuri de Noroc pentru:</w:t>
      </w:r>
    </w:p>
    <w:p w:rsidR="00E83532" w:rsidRPr="00933EA2" w:rsidRDefault="001D2F2A" w:rsidP="00933EA2">
      <w:pPr>
        <w:jc w:val="both"/>
      </w:pPr>
      <w:r>
        <w:lastRenderedPageBreak/>
        <w:t>1. includerea unei competiții sau evenimente sportive pe lista competițiilor care pot servi drept bază pentru pariurile sportive;</w:t>
      </w:r>
    </w:p>
    <w:p w:rsidR="00E83532" w:rsidRPr="00933EA2" w:rsidRDefault="001D2F2A" w:rsidP="00933EA2">
      <w:pPr>
        <w:jc w:val="both"/>
      </w:pPr>
      <w:r>
        <w:t>2. includerea unui tip de rezultat pe lista tipurilor de rezultate care pot fi utilizate ca bază pentru pariurile sportive.</w:t>
      </w:r>
    </w:p>
    <w:p w:rsidR="00E83532" w:rsidRPr="00933EA2" w:rsidRDefault="001D2F2A" w:rsidP="00933EA2">
      <w:pPr>
        <w:jc w:val="both"/>
      </w:pPr>
      <w:r>
        <w:t>(II)</w:t>
      </w:r>
      <w:r w:rsidR="00870029">
        <w:t xml:space="preserve"> </w:t>
      </w:r>
      <w:r>
        <w:t>― Această cerere este motivată și trebuie însoțită de un dosar transmis la Oficiul Național pentru Jocuri de Noroc, în care să fie prezentate caracteristicile competițiilor sau ale evenimentelor sportive și tipurile de rezultate care fac obiectul acestei cereri.</w:t>
      </w:r>
    </w:p>
    <w:p w:rsidR="00E83532" w:rsidRPr="00933EA2" w:rsidRDefault="001D2F2A" w:rsidP="00933EA2">
      <w:pPr>
        <w:jc w:val="both"/>
      </w:pPr>
      <w:r>
        <w:t>(III)― După ce primește documentele menționate la alineatul (II), Oficiul Național pentru Jocuri de Noroc decide, în termen de trei luni, dacă aprobă cererea menționată la alineatul (I).</w:t>
      </w:r>
    </w:p>
    <w:p w:rsidR="00E83532" w:rsidRPr="00933EA2" w:rsidRDefault="00E83532" w:rsidP="00933EA2">
      <w:pPr>
        <w:jc w:val="both"/>
      </w:pPr>
      <w:r>
        <w:t>Oficiul Național pentru Jocuri de Noroc ia legătura cu federația delegată competentă, care are la dispoziție o lună pentru a emite un aviz cu privire la cererea menționată la alineatul (I). O copie a avizului este transmisă ministrului sportului.</w:t>
      </w:r>
    </w:p>
    <w:p w:rsidR="00E83532" w:rsidRPr="00933EA2" w:rsidRDefault="00E83532" w:rsidP="00933EA2">
      <w:pPr>
        <w:jc w:val="both"/>
      </w:pPr>
      <w:r>
        <w:t>În absența unui aviz din partea federației, oficiul solicită avizul ministrului sportului, care adoptă o decizie în termen de o lună.</w:t>
      </w:r>
    </w:p>
    <w:p w:rsidR="00E83532" w:rsidRPr="00933EA2" w:rsidRDefault="00E83532" w:rsidP="00933EA2">
      <w:pPr>
        <w:jc w:val="both"/>
      </w:pPr>
    </w:p>
    <w:p w:rsidR="00E83532" w:rsidRPr="00933EA2" w:rsidRDefault="000546D5" w:rsidP="00933EA2">
      <w:pPr>
        <w:pStyle w:val="BodyText"/>
        <w:keepNext/>
        <w:keepLines/>
        <w:jc w:val="center"/>
        <w:rPr>
          <w:b/>
        </w:rPr>
      </w:pPr>
      <w:r>
        <w:rPr>
          <w:b/>
        </w:rPr>
        <w:t>Articolul 43</w:t>
      </w:r>
    </w:p>
    <w:p w:rsidR="00E83532" w:rsidRPr="00933EA2" w:rsidRDefault="00E83532" w:rsidP="00933EA2">
      <w:pPr>
        <w:keepNext/>
        <w:keepLines/>
        <w:rPr>
          <w:b/>
        </w:rPr>
      </w:pPr>
    </w:p>
    <w:p w:rsidR="00E83532" w:rsidRPr="00933EA2" w:rsidRDefault="00E83532" w:rsidP="00933EA2">
      <w:pPr>
        <w:jc w:val="both"/>
      </w:pPr>
      <w:r>
        <w:t>(I) ― O federație delegată, în colaborare cu liga profesionistă, dacă aceasta a fost înființată, poate solicita Oficiului Național pentru Jocuri de Noroc:</w:t>
      </w:r>
    </w:p>
    <w:p w:rsidR="00E83532" w:rsidRPr="00933EA2" w:rsidRDefault="00E83532" w:rsidP="00933EA2">
      <w:pPr>
        <w:jc w:val="both"/>
      </w:pPr>
    </w:p>
    <w:p w:rsidR="00E83532" w:rsidRPr="00933EA2" w:rsidRDefault="00E83532" w:rsidP="00933EA2">
      <w:pPr>
        <w:jc w:val="both"/>
      </w:pPr>
      <w:r>
        <w:t>1. includerea sau eliminarea unei competiții sau eveniment sportiv pe care îl organizează de pe lista competițiilor care pot servi drept bază pentru pariurile sportive;</w:t>
      </w:r>
    </w:p>
    <w:p w:rsidR="00E83532" w:rsidRPr="00933EA2" w:rsidRDefault="00E83532" w:rsidP="00933EA2">
      <w:pPr>
        <w:jc w:val="both"/>
      </w:pPr>
      <w:r>
        <w:t>2. includerea sau eliminarea tipurilor de rezultate ale competițiilor sau evenimentelor sportive pe care le organizează sau doar pentru o parte dintre aceste competiții.</w:t>
      </w:r>
    </w:p>
    <w:p w:rsidR="00E83532" w:rsidRPr="00933EA2" w:rsidRDefault="00E83532" w:rsidP="00933EA2">
      <w:pPr>
        <w:jc w:val="both"/>
      </w:pPr>
    </w:p>
    <w:p w:rsidR="00E83532" w:rsidRPr="00933EA2" w:rsidRDefault="00E83532" w:rsidP="00933EA2">
      <w:pPr>
        <w:jc w:val="both"/>
      </w:pPr>
      <w:r>
        <w:t>(II)</w:t>
      </w:r>
      <w:r w:rsidR="00870029">
        <w:t xml:space="preserve"> </w:t>
      </w:r>
      <w:r>
        <w:t>― Această cerere este motivată și trebuie însoțită de un dosar transmis la Oficiul Național pentru Jocuri de Noroc, în care să fie prezentate caracteristicile competiției și tipurile de rezultate care fac obiectul acestei cereri.</w:t>
      </w:r>
    </w:p>
    <w:p w:rsidR="00E83532" w:rsidRPr="00933EA2" w:rsidRDefault="00E83532" w:rsidP="00933EA2">
      <w:pPr>
        <w:jc w:val="both"/>
      </w:pPr>
    </w:p>
    <w:p w:rsidR="00E83532" w:rsidRPr="00933EA2" w:rsidRDefault="00E83532" w:rsidP="00933EA2">
      <w:pPr>
        <w:jc w:val="both"/>
      </w:pPr>
      <w:r>
        <w:t>(III)</w:t>
      </w:r>
      <w:r w:rsidR="00870029">
        <w:t xml:space="preserve"> </w:t>
      </w:r>
      <w:r>
        <w:t>― După ce primește documentele menționate la alineatul (II), Oficiul Național pentru Jocuri de Noroc decide, în termen de o lună, dacă aprobă cererea menționată la alineatul (I).</w:t>
      </w:r>
    </w:p>
    <w:p w:rsidR="00834E0B" w:rsidRPr="00933EA2" w:rsidRDefault="00834E0B" w:rsidP="00933EA2">
      <w:pPr>
        <w:jc w:val="both"/>
      </w:pPr>
    </w:p>
    <w:p w:rsidR="00834E0B" w:rsidRPr="00933EA2" w:rsidRDefault="000546D5" w:rsidP="00933EA2">
      <w:pPr>
        <w:pStyle w:val="BodyText"/>
        <w:keepNext/>
        <w:keepLines/>
        <w:jc w:val="center"/>
        <w:rPr>
          <w:b/>
        </w:rPr>
      </w:pPr>
      <w:r>
        <w:rPr>
          <w:b/>
        </w:rPr>
        <w:t>Articolul 44</w:t>
      </w:r>
    </w:p>
    <w:p w:rsidR="00834E0B" w:rsidRPr="00933EA2" w:rsidRDefault="00834E0B" w:rsidP="00933EA2">
      <w:pPr>
        <w:keepNext/>
        <w:keepLines/>
        <w:rPr>
          <w:b/>
        </w:rPr>
      </w:pPr>
    </w:p>
    <w:p w:rsidR="00834E0B" w:rsidRPr="00933EA2" w:rsidRDefault="00834E0B" w:rsidP="00933EA2">
      <w:r>
        <w:t>1. La articolul D. 561-53 punctul 2 din Codul monetar și financiar, cuvintele „directorul general al Oficiului de Reglementare a Jocurilor Online sau reprezentantul său” se înlocuiesc cu cuvintele „directorul general al Oficiului Național pentru Jocuri de Noroc”.</w:t>
      </w:r>
    </w:p>
    <w:p w:rsidR="00E83532" w:rsidRPr="00933EA2" w:rsidRDefault="00E83532" w:rsidP="00933EA2">
      <w:pPr>
        <w:jc w:val="both"/>
        <w:rPr>
          <w:b/>
        </w:rPr>
      </w:pPr>
    </w:p>
    <w:p w:rsidR="00BD5FA1" w:rsidRPr="00933EA2" w:rsidRDefault="000546D5" w:rsidP="00933EA2">
      <w:pPr>
        <w:pStyle w:val="BodyText"/>
        <w:keepNext/>
        <w:keepLines/>
        <w:jc w:val="center"/>
        <w:rPr>
          <w:b/>
        </w:rPr>
      </w:pPr>
      <w:r>
        <w:rPr>
          <w:b/>
        </w:rPr>
        <w:t>Articolul 45</w:t>
      </w:r>
    </w:p>
    <w:p w:rsidR="008701C9" w:rsidRPr="00933EA2" w:rsidRDefault="008701C9" w:rsidP="00933EA2">
      <w:pPr>
        <w:keepNext/>
        <w:keepLines/>
        <w:rPr>
          <w:b/>
        </w:rPr>
      </w:pPr>
    </w:p>
    <w:p w:rsidR="008701C9" w:rsidRPr="00933EA2" w:rsidRDefault="00BC35EB" w:rsidP="00933EA2">
      <w:pPr>
        <w:pStyle w:val="BodyText"/>
        <w:jc w:val="both"/>
      </w:pPr>
      <w:r>
        <w:t>1. La articolul 8 ultimul alineat din Decretul nr. 1061/2019 din 17 octombrie 2019 sus-menționat, cuvintele „Decretul din 12 mai 2010 sus-menționat” se înlocuiesc cu cuvintele „Decretul nr. XXXX-XXXX din XXXXX privind procedurile de reglementare ale Oficiului Național pentru Jocuri de Noroc (CPAB1930945D)”.</w:t>
      </w:r>
    </w:p>
    <w:p w:rsidR="00C342AB" w:rsidRPr="00933EA2" w:rsidRDefault="00C342AB" w:rsidP="00933EA2">
      <w:pPr>
        <w:pStyle w:val="BodyText"/>
        <w:jc w:val="both"/>
      </w:pPr>
    </w:p>
    <w:p w:rsidR="00142531" w:rsidRPr="00933EA2" w:rsidRDefault="00834E0B" w:rsidP="00933EA2">
      <w:pPr>
        <w:keepNext/>
        <w:keepLines/>
        <w:spacing w:after="200" w:line="276" w:lineRule="auto"/>
        <w:jc w:val="center"/>
        <w:rPr>
          <w:rFonts w:eastAsiaTheme="minorHAnsi"/>
          <w:b/>
        </w:rPr>
      </w:pPr>
      <w:r>
        <w:rPr>
          <w:b/>
        </w:rPr>
        <w:lastRenderedPageBreak/>
        <w:t>TITLUL VII:REGLEMENTAREA COMUNICAȚIILOR COMERCIALE ÎN FAVOAREA OPERATORILOR DE JOCURI DE NOROC, PRECUM ȘI INFORMAREA JUCĂTORILOR CU PRIVIRE LA RISCURILE LEGATE DE PRACTICAREA JOCURILOR DE NOROC</w:t>
      </w:r>
    </w:p>
    <w:p w:rsidR="00142531" w:rsidRDefault="00C342AB" w:rsidP="00933EA2">
      <w:pPr>
        <w:pStyle w:val="BodyText"/>
        <w:keepNext/>
        <w:keepLines/>
        <w:jc w:val="center"/>
        <w:rPr>
          <w:b/>
        </w:rPr>
      </w:pPr>
      <w:r>
        <w:rPr>
          <w:b/>
        </w:rPr>
        <w:t>Articolul 46</w:t>
      </w:r>
    </w:p>
    <w:p w:rsidR="00933EA2" w:rsidRPr="00933EA2" w:rsidRDefault="00933EA2" w:rsidP="00933EA2">
      <w:pPr>
        <w:keepNext/>
        <w:keepLines/>
        <w:rPr>
          <w:b/>
        </w:rPr>
      </w:pPr>
    </w:p>
    <w:p w:rsidR="00142531" w:rsidRPr="00933EA2" w:rsidRDefault="00142531" w:rsidP="00933EA2">
      <w:pPr>
        <w:pStyle w:val="BodyText"/>
        <w:jc w:val="both"/>
      </w:pPr>
      <w:r>
        <w:t>La începutul titlului II din partea III din Codul securității naționale, se introduce un capitol preliminar cu formularea următoare:</w:t>
      </w:r>
    </w:p>
    <w:p w:rsidR="00142531" w:rsidRPr="00933EA2" w:rsidRDefault="00142531" w:rsidP="00933EA2">
      <w:pPr>
        <w:pStyle w:val="BodyText"/>
      </w:pPr>
      <w:r>
        <w:t>„</w:t>
      </w:r>
      <w:r>
        <w:rPr>
          <w:i/>
        </w:rPr>
        <w:t>Capitol preliminar</w:t>
      </w:r>
    </w:p>
    <w:p w:rsidR="00142531" w:rsidRPr="00933EA2" w:rsidRDefault="00142531" w:rsidP="00933EA2">
      <w:pPr>
        <w:pStyle w:val="BodyText"/>
      </w:pPr>
      <w:r>
        <w:rPr>
          <w:i/>
        </w:rPr>
        <w:t>Dispoziții comune</w:t>
      </w:r>
    </w:p>
    <w:p w:rsidR="00142531" w:rsidRPr="00933EA2" w:rsidRDefault="00142531" w:rsidP="00933EA2">
      <w:pPr>
        <w:pStyle w:val="BodyText"/>
        <w:tabs>
          <w:tab w:val="left" w:pos="1659"/>
        </w:tabs>
      </w:pPr>
      <w:r>
        <w:rPr>
          <w:i/>
        </w:rPr>
        <w:t>Secțiunea 1</w:t>
      </w:r>
      <w:r>
        <w:rPr>
          <w:i/>
        </w:rPr>
        <w:tab/>
      </w:r>
    </w:p>
    <w:p w:rsidR="00142531" w:rsidRPr="00933EA2" w:rsidRDefault="00142531" w:rsidP="00933EA2">
      <w:pPr>
        <w:pStyle w:val="BodyText"/>
      </w:pPr>
      <w:r>
        <w:rPr>
          <w:i/>
        </w:rPr>
        <w:t>Interzicerea vânzării jocurilor cu premii în bani și a jocurilor de noroc minorilor</w:t>
      </w:r>
    </w:p>
    <w:p w:rsidR="00142531" w:rsidRPr="00933EA2" w:rsidRDefault="00142531" w:rsidP="00933EA2">
      <w:pPr>
        <w:pStyle w:val="BodyText"/>
        <w:jc w:val="both"/>
      </w:pPr>
      <w:r>
        <w:rPr>
          <w:i/>
        </w:rPr>
        <w:t xml:space="preserve">Articolul D. 320-1.- </w:t>
      </w:r>
      <w:r>
        <w:t>Un afiș care reamintește dispozițiile de la articolele L. 320-8 și L. 320-9 este expus în locuri în care să fie vizibil pentru public la agențiile de înregistrare pentru jocuri de loterie, jocuri de pariuri sportive sau pariuri hipice.</w:t>
      </w:r>
      <w:r w:rsidR="00870029">
        <w:t xml:space="preserve"> </w:t>
      </w:r>
      <w:r>
        <w:t>Un ordin al ministrului sănătății stabilește modelele afișelor și locurile în care sunt expuse afișele respective.</w:t>
      </w:r>
    </w:p>
    <w:p w:rsidR="00142531" w:rsidRPr="00933EA2" w:rsidRDefault="00142531" w:rsidP="00933EA2">
      <w:pPr>
        <w:pStyle w:val="BodyText"/>
        <w:spacing w:before="120"/>
      </w:pPr>
      <w:r>
        <w:rPr>
          <w:i/>
        </w:rPr>
        <w:t>Secțiunea 2</w:t>
      </w:r>
    </w:p>
    <w:p w:rsidR="00142531" w:rsidRPr="00933EA2" w:rsidRDefault="00142531" w:rsidP="00933EA2">
      <w:pPr>
        <w:pStyle w:val="BodyText"/>
        <w:spacing w:before="120"/>
      </w:pPr>
      <w:r>
        <w:rPr>
          <w:i/>
        </w:rPr>
        <w:t>Comunicare comercială în favoarea unui operator de jocuri cu premii în bani și de jocuri de noroc</w:t>
      </w:r>
    </w:p>
    <w:p w:rsidR="00142531" w:rsidRPr="00933EA2" w:rsidRDefault="00142531" w:rsidP="00933EA2">
      <w:pPr>
        <w:spacing w:before="120" w:after="120"/>
        <w:jc w:val="both"/>
      </w:pPr>
      <w:r>
        <w:rPr>
          <w:i/>
        </w:rPr>
        <w:t>Articolul D. 320-2</w:t>
      </w:r>
      <w:r>
        <w:t>.- Orice comunicare comercială în favoarea unui operator de jocuri cu premii în bani și de jocuri de noroc este însoțită de un mesaj de avertizare împotriva riscurilor asociate practicării jocurilor de noroc.</w:t>
      </w:r>
      <w:r w:rsidR="00870029">
        <w:t xml:space="preserve"> </w:t>
      </w:r>
      <w:r>
        <w:t>Acest mesaj, care trebuie să fie afișat pe fiecare suport publicitar sau promoțional, conține în special numărul serviciului de comunicare online al sistemului public de asistență a jucătorilor, instituit sub supravegherea Agenției Naționale de Sănătate Publică.</w:t>
      </w:r>
    </w:p>
    <w:p w:rsidR="00142531" w:rsidRPr="00933EA2" w:rsidRDefault="00142531" w:rsidP="00933EA2">
      <w:pPr>
        <w:spacing w:before="120" w:after="120"/>
        <w:jc w:val="both"/>
      </w:pPr>
      <w:r>
        <w:t>Este prezentat într-un mod accesibil și ușor de citit, în concordanță cu obiectivul său de protejare a sănătății publice și se distinge clar de materialul publicitar sau promoțional care îl însoțește.</w:t>
      </w:r>
    </w:p>
    <w:p w:rsidR="00142531" w:rsidRPr="00933EA2" w:rsidRDefault="00142531" w:rsidP="00933EA2">
      <w:pPr>
        <w:spacing w:before="120" w:after="120"/>
        <w:jc w:val="both"/>
      </w:pPr>
      <w:r>
        <w:t>Un decret al ministrului sănătății specifică conținutul, metodele de afișare și de diseminare a acestui mesaj.</w:t>
      </w:r>
    </w:p>
    <w:p w:rsidR="00142531" w:rsidRPr="00933EA2" w:rsidRDefault="00142531" w:rsidP="00933EA2">
      <w:pPr>
        <w:spacing w:before="120" w:after="120"/>
        <w:jc w:val="both"/>
      </w:pPr>
      <w:r>
        <w:rPr>
          <w:i/>
        </w:rPr>
        <w:t>Articolul D. 320-3.</w:t>
      </w:r>
      <w:r>
        <w:t>- În cazul în care mesajele de publicitate, sponsorizare sau promoționale sunt difuzate în cinematografe sau prin serviciile de comunicare audiovizuală, mesajele de avertizare menționate la articolul D. 320-2 sunt:</w:t>
      </w:r>
    </w:p>
    <w:p w:rsidR="00142531" w:rsidRPr="00933EA2" w:rsidRDefault="001D2F2A" w:rsidP="00933EA2">
      <w:pPr>
        <w:spacing w:before="120" w:after="120"/>
        <w:jc w:val="both"/>
      </w:pPr>
      <w:r>
        <w:t>1. fie incluse pe un banner, fix sau care se derulează, menținut pe toată durata difuzării mesajului publicitar; acest banner acoperă cel puțin 7 % din înălțimea ecranului;</w:t>
      </w:r>
    </w:p>
    <w:p w:rsidR="00142531" w:rsidRPr="00933EA2" w:rsidRDefault="001D2F2A" w:rsidP="00933EA2">
      <w:pPr>
        <w:spacing w:before="120" w:after="120"/>
        <w:jc w:val="both"/>
      </w:pPr>
      <w:r>
        <w:t>2. fie sunt prezentate pe un ecran imediat după mesajul publicitar.</w:t>
      </w:r>
    </w:p>
    <w:p w:rsidR="00142531" w:rsidRPr="00933EA2" w:rsidRDefault="00142531" w:rsidP="00933EA2">
      <w:pPr>
        <w:spacing w:before="120" w:after="120"/>
        <w:jc w:val="both"/>
      </w:pPr>
      <w:r>
        <w:rPr>
          <w:i/>
        </w:rPr>
        <w:t>Articolul D. 320-4.</w:t>
      </w:r>
      <w:r>
        <w:t>- În cazul în care mesajele publicitare sau promoționale sunt difuzate la radio, mesajul de avertizare menționat la articolul D. 320-2 este transmis imediat după mesajul publicitar.</w:t>
      </w:r>
    </w:p>
    <w:p w:rsidR="00142531" w:rsidRPr="00933EA2" w:rsidRDefault="00142531" w:rsidP="00933EA2">
      <w:pPr>
        <w:spacing w:before="120" w:after="120"/>
        <w:jc w:val="both"/>
      </w:pPr>
      <w:r>
        <w:rPr>
          <w:i/>
        </w:rPr>
        <w:t>Articolul D. 320-5.</w:t>
      </w:r>
      <w:r>
        <w:t>- Prezentarea mesajului de avertizare menționat la articolul D. 320-2 respectă principiile prevăzute la articolele D. 320-8 și D. 320-9, precum și bunele practici definite de profesie și Consiliul Superior al Audiovizualului.</w:t>
      </w:r>
    </w:p>
    <w:p w:rsidR="00142531" w:rsidRPr="00933EA2" w:rsidRDefault="00142531" w:rsidP="00933EA2">
      <w:pPr>
        <w:spacing w:before="120" w:after="120"/>
        <w:jc w:val="both"/>
      </w:pPr>
      <w:r>
        <w:rPr>
          <w:i/>
        </w:rPr>
        <w:t>Articolul D. 320-6.</w:t>
      </w:r>
      <w:r>
        <w:t>În cazul în care mesajele publicitare sau promoționale sunt difuzate pe un suport tipărit, mesajul de avertizare menționat la articolul D. 320-2 este scris într-un spațiu orizontal rezervat textului și acoperă cel puțin 7 % din suprafața materialului publicitar.</w:t>
      </w:r>
    </w:p>
    <w:p w:rsidR="00142531" w:rsidRPr="00933EA2" w:rsidRDefault="00142531" w:rsidP="00933EA2">
      <w:pPr>
        <w:spacing w:before="120" w:after="120"/>
        <w:jc w:val="both"/>
      </w:pPr>
      <w:r>
        <w:lastRenderedPageBreak/>
        <w:t>În cazul în care mai multe mesaje publicitare sau promoționale pentru același operator de joc apar pe același suport, mesajul de avertizare menționat la articolul D. 320-2 poate fi aplicat doar o singură dată într-un banner care acoperă cel puțin 7 % din suprafața suportului.</w:t>
      </w:r>
    </w:p>
    <w:p w:rsidR="00142531" w:rsidRPr="00933EA2" w:rsidRDefault="00142531" w:rsidP="00933EA2">
      <w:pPr>
        <w:spacing w:before="120" w:after="120"/>
        <w:jc w:val="both"/>
      </w:pPr>
      <w:r>
        <w:rPr>
          <w:i/>
        </w:rPr>
        <w:t>Articolul D. 320-7.</w:t>
      </w:r>
      <w:r>
        <w:t>– Dispozițiile de la articolul D. 320-6 nu se aplică articolelor sportive comercializate sau puse la dispoziție de federațiile sportive, organizatorii evenimentelor sportive menționate la primul alineat de la articolul L. 331-5 din Codul sportului sau asociațiilor și societăților în domeniul sportului menționate la articolele L. 122-1 și, respectiv, L. 122-2 din codul menționat.</w:t>
      </w:r>
    </w:p>
    <w:p w:rsidR="00142531" w:rsidRPr="00933EA2" w:rsidRDefault="00142531" w:rsidP="00933EA2">
      <w:pPr>
        <w:spacing w:before="120" w:after="120"/>
        <w:jc w:val="both"/>
      </w:pPr>
      <w:r>
        <w:rPr>
          <w:i/>
        </w:rPr>
        <w:t>Articolul</w:t>
      </w:r>
      <w:r w:rsidR="00870029">
        <w:rPr>
          <w:i/>
        </w:rPr>
        <w:t xml:space="preserve"> </w:t>
      </w:r>
      <w:r>
        <w:rPr>
          <w:i/>
        </w:rPr>
        <w:t>D. 320-8.–</w:t>
      </w:r>
      <w:r>
        <w:t xml:space="preserve"> În cazul în care mesajele publicitare sponsorizate sau promoționale sunt difuzate prin intermediul comunicării online cu publicul, mesajul de avertizare menționat la articolul D. 320-2 apare concomitent cu mesajul publicitar sau promoțional care îl însoțește.</w:t>
      </w:r>
      <w:r w:rsidR="00870029">
        <w:t xml:space="preserve"> </w:t>
      </w:r>
      <w:r>
        <w:t>Acest mesaj este afișat astfel încât jucătorul, atunci când face clic pe el, să fie direcționat spre serviciul de comunicare online al sistemului public de asistență a jucătorilor instituit sub supravegherea Agenției Naționale de Sănătate Publică.</w:t>
      </w:r>
    </w:p>
    <w:p w:rsidR="00142531" w:rsidRPr="00933EA2" w:rsidRDefault="00142531" w:rsidP="00933EA2">
      <w:pPr>
        <w:spacing w:before="120" w:after="120"/>
        <w:jc w:val="both"/>
      </w:pPr>
      <w:r>
        <w:t>Acest mesaj este prezentat într-un mod accesibil și ușor de citit, în concordanță cu obiectivul său de protejare a sănătății publice și se distinge clar de materialul publicitar care îl însoțește.</w:t>
      </w:r>
    </w:p>
    <w:p w:rsidR="001D2F2A" w:rsidRPr="00933EA2" w:rsidRDefault="001D2F2A" w:rsidP="00933EA2">
      <w:pPr>
        <w:spacing w:before="120" w:after="120"/>
        <w:jc w:val="both"/>
        <w:rPr>
          <w:i/>
        </w:rPr>
      </w:pPr>
    </w:p>
    <w:p w:rsidR="00142531" w:rsidRPr="00933EA2" w:rsidRDefault="00142531" w:rsidP="00933EA2">
      <w:pPr>
        <w:spacing w:before="120" w:after="120"/>
        <w:jc w:val="both"/>
      </w:pPr>
      <w:r>
        <w:rPr>
          <w:i/>
        </w:rPr>
        <w:t>Secțiunea 3</w:t>
      </w:r>
    </w:p>
    <w:p w:rsidR="00142531" w:rsidRPr="00933EA2" w:rsidRDefault="00142531" w:rsidP="00933EA2">
      <w:pPr>
        <w:spacing w:before="120" w:after="120"/>
        <w:jc w:val="both"/>
      </w:pPr>
      <w:r>
        <w:rPr>
          <w:i/>
        </w:rPr>
        <w:t>Interzicerea comunicațiilor comerciale în favoarea operatorilor de jocuri cu premii în bani și de jocuri de noroc pe anumite canale de mass-media</w:t>
      </w:r>
    </w:p>
    <w:p w:rsidR="00142531" w:rsidRPr="00933EA2" w:rsidRDefault="00142531" w:rsidP="00933EA2">
      <w:pPr>
        <w:spacing w:before="120" w:after="120"/>
        <w:jc w:val="both"/>
      </w:pPr>
      <w:r>
        <w:rPr>
          <w:i/>
        </w:rPr>
        <w:t xml:space="preserve">Articolul D. 320-9.- </w:t>
      </w:r>
      <w:r>
        <w:t>Orice comunicare comercială în favoarea unui operator de jocuri cu premii în bani și de jocuri de noroc este interzisă:</w:t>
      </w:r>
    </w:p>
    <w:p w:rsidR="00142531" w:rsidRPr="00933EA2" w:rsidRDefault="001D2F2A" w:rsidP="00933EA2">
      <w:pPr>
        <w:spacing w:before="120" w:after="120"/>
        <w:jc w:val="both"/>
      </w:pPr>
      <w:r>
        <w:t>1. atunci când încurajează practicarea excesivă a jocurilor, banalizează sau valorizează acest tip de practică;</w:t>
      </w:r>
    </w:p>
    <w:p w:rsidR="00142531" w:rsidRPr="00933EA2" w:rsidRDefault="001D2F2A" w:rsidP="00933EA2">
      <w:pPr>
        <w:spacing w:before="120" w:after="120"/>
        <w:jc w:val="both"/>
      </w:pPr>
      <w:r>
        <w:t>2. atunci când sugerează că practicarea jocurilor contribuie la succesul social;</w:t>
      </w:r>
    </w:p>
    <w:p w:rsidR="00142531" w:rsidRPr="00933EA2" w:rsidRDefault="001D2F2A" w:rsidP="00933EA2">
      <w:pPr>
        <w:spacing w:before="120" w:after="120"/>
        <w:jc w:val="both"/>
      </w:pPr>
      <w:r>
        <w:t>3. atunci când conține declarații nefondate despre șansele de câștig ale jucătorilor sau despre câștigurile pe care pot spera să le câștige;</w:t>
      </w:r>
    </w:p>
    <w:p w:rsidR="00142531" w:rsidRPr="00933EA2" w:rsidRDefault="001D2F2A" w:rsidP="00933EA2">
      <w:pPr>
        <w:spacing w:before="120" w:after="120"/>
        <w:jc w:val="both"/>
      </w:pPr>
      <w:r>
        <w:t>4. atunci când sugerează că jocul poate fi o soluție de rezolvare a problemelor personale, profesionale, sociale sau psihologice;</w:t>
      </w:r>
    </w:p>
    <w:p w:rsidR="0096792E" w:rsidRPr="00933EA2" w:rsidRDefault="001D2F2A" w:rsidP="00933EA2">
      <w:pPr>
        <w:spacing w:before="120" w:after="120"/>
        <w:jc w:val="both"/>
      </w:pPr>
      <w:r>
        <w:t>5. atunci când prezintă jocul ca o activitate care asigură un mijloc de trai sau ca o alternativă la munca remunerată.</w:t>
      </w:r>
    </w:p>
    <w:p w:rsidR="00142531" w:rsidRPr="00933EA2" w:rsidRDefault="00142531" w:rsidP="00933EA2">
      <w:pPr>
        <w:spacing w:before="120" w:after="120"/>
        <w:jc w:val="both"/>
      </w:pPr>
      <w:r>
        <w:rPr>
          <w:i/>
        </w:rPr>
        <w:t>Articolul D. 320-10.</w:t>
      </w:r>
      <w:r>
        <w:t>- Sunt interzise în comunicările comerciale care promovează jocurile cu premii în bani sau jocurile de noroc:</w:t>
      </w:r>
    </w:p>
    <w:p w:rsidR="00142531" w:rsidRPr="00933EA2" w:rsidRDefault="001D2F2A" w:rsidP="00933EA2">
      <w:pPr>
        <w:spacing w:before="120" w:after="120"/>
        <w:jc w:val="both"/>
      </w:pPr>
      <w:r>
        <w:t>1. orice folosire a minorilor sau orice reprezentare a minorilor într-o operațiune de cumpărare;</w:t>
      </w:r>
    </w:p>
    <w:p w:rsidR="00142531" w:rsidRPr="00933EA2" w:rsidRDefault="001D2F2A" w:rsidP="00933EA2">
      <w:pPr>
        <w:spacing w:before="120" w:after="120"/>
        <w:jc w:val="both"/>
      </w:pPr>
      <w:r>
        <w:t>2. orice reclamă care încurajează minorii să considere că jocurile cu premii în bani sau jocurile de noroc fac parte în mod firesc din activitățile lor de petrecere a timpului liber;</w:t>
      </w:r>
    </w:p>
    <w:p w:rsidR="00142531" w:rsidRPr="00933EA2" w:rsidRDefault="001D2F2A" w:rsidP="00933EA2">
      <w:pPr>
        <w:spacing w:before="120" w:after="120"/>
        <w:jc w:val="both"/>
      </w:pPr>
      <w:r>
        <w:t>3. orice folosire a unor personalități sau personaje care fac parte din universul minorilor;</w:t>
      </w:r>
    </w:p>
    <w:p w:rsidR="00142531" w:rsidRPr="00933EA2" w:rsidRDefault="001D2F2A" w:rsidP="00933EA2">
      <w:pPr>
        <w:spacing w:before="120" w:after="120"/>
        <w:jc w:val="both"/>
      </w:pPr>
      <w:r>
        <w:t>4. orice reclamă al cărei public țintă sunt copiii sau adolescenții sau care este deosebit de atractivă pentru aceștia în special datorită elementelor vizuale, sonore, verbale sau scrise.”</w:t>
      </w:r>
    </w:p>
    <w:p w:rsidR="00142531" w:rsidRPr="00933EA2" w:rsidRDefault="00142531" w:rsidP="00933EA2">
      <w:pPr>
        <w:spacing w:after="200" w:line="276" w:lineRule="auto"/>
        <w:jc w:val="both"/>
        <w:rPr>
          <w:rFonts w:eastAsiaTheme="minorHAnsi"/>
          <w:b/>
          <w:lang w:eastAsia="en-US"/>
        </w:rPr>
      </w:pPr>
    </w:p>
    <w:p w:rsidR="00142531" w:rsidRPr="00933EA2" w:rsidRDefault="00142531" w:rsidP="00933EA2">
      <w:pPr>
        <w:keepNext/>
        <w:keepLines/>
        <w:spacing w:after="200" w:line="276" w:lineRule="auto"/>
        <w:jc w:val="center"/>
        <w:rPr>
          <w:rFonts w:eastAsiaTheme="minorHAnsi"/>
          <w:b/>
        </w:rPr>
      </w:pPr>
      <w:r>
        <w:rPr>
          <w:b/>
        </w:rPr>
        <w:lastRenderedPageBreak/>
        <w:t>TITLUL VIII:DISPOZIȚII REFERITOARE LA ÎNCADRAREA OFERTEI DE JOCURI DE LOTERIE ȘI PARIURI SPORTIVE ÎN REȚEAUA FIZICĂ DE DISTRIBUȚIE</w:t>
      </w:r>
    </w:p>
    <w:p w:rsidR="00142531" w:rsidRDefault="00C342AB" w:rsidP="00933EA2">
      <w:pPr>
        <w:pStyle w:val="BodyText"/>
        <w:keepNext/>
        <w:keepLines/>
        <w:jc w:val="center"/>
        <w:rPr>
          <w:b/>
        </w:rPr>
      </w:pPr>
      <w:r>
        <w:rPr>
          <w:b/>
        </w:rPr>
        <w:t>Articolul 47</w:t>
      </w:r>
    </w:p>
    <w:p w:rsidR="00933EA2" w:rsidRPr="00933EA2" w:rsidRDefault="00933EA2" w:rsidP="00933EA2">
      <w:pPr>
        <w:keepNext/>
        <w:keepLines/>
        <w:rPr>
          <w:b/>
        </w:rPr>
      </w:pPr>
    </w:p>
    <w:p w:rsidR="00142531" w:rsidRPr="00933EA2" w:rsidRDefault="00142531" w:rsidP="00933EA2">
      <w:pPr>
        <w:spacing w:after="200" w:line="276" w:lineRule="auto"/>
        <w:jc w:val="both"/>
        <w:rPr>
          <w:rFonts w:eastAsiaTheme="minorHAnsi"/>
        </w:rPr>
      </w:pPr>
      <w:r>
        <w:t>După capitolul II din titlul II din cartea III din codul menționat, se introduc capitolele II</w:t>
      </w:r>
      <w:r>
        <w:rPr>
          <w:i/>
        </w:rPr>
        <w:t>b</w:t>
      </w:r>
      <w:r>
        <w:t xml:space="preserve"> și II </w:t>
      </w:r>
      <w:r>
        <w:rPr>
          <w:i/>
        </w:rPr>
        <w:t>c</w:t>
      </w:r>
      <w:r>
        <w:t xml:space="preserve"> cu formularea următoare:</w:t>
      </w:r>
    </w:p>
    <w:p w:rsidR="00142531" w:rsidRPr="00933EA2" w:rsidRDefault="00142531" w:rsidP="00933EA2">
      <w:pPr>
        <w:spacing w:after="200" w:line="276" w:lineRule="auto"/>
        <w:jc w:val="both"/>
        <w:rPr>
          <w:rFonts w:eastAsiaTheme="minorHAnsi"/>
        </w:rPr>
      </w:pPr>
      <w:r>
        <w:t>„</w:t>
      </w:r>
      <w:r>
        <w:rPr>
          <w:i/>
        </w:rPr>
        <w:t>Capitolul II</w:t>
      </w:r>
      <w:r>
        <w:t>b</w:t>
      </w:r>
    </w:p>
    <w:p w:rsidR="00142531" w:rsidRPr="00933EA2" w:rsidRDefault="00142531" w:rsidP="00933EA2">
      <w:pPr>
        <w:spacing w:after="200" w:line="276" w:lineRule="auto"/>
        <w:jc w:val="both"/>
        <w:rPr>
          <w:rFonts w:eastAsiaTheme="minorHAnsi"/>
        </w:rPr>
      </w:pPr>
      <w:r>
        <w:rPr>
          <w:i/>
        </w:rPr>
        <w:t>Jocuri de loterie care fac obiectul regimului drepturilor exclusive</w:t>
      </w:r>
    </w:p>
    <w:p w:rsidR="00142531" w:rsidRPr="00933EA2" w:rsidRDefault="00142531" w:rsidP="00933EA2">
      <w:pPr>
        <w:spacing w:after="200" w:line="276" w:lineRule="auto"/>
        <w:jc w:val="both"/>
        <w:rPr>
          <w:rFonts w:eastAsiaTheme="minorHAnsi"/>
        </w:rPr>
      </w:pPr>
      <w:r>
        <w:rPr>
          <w:i/>
        </w:rPr>
        <w:t>Articolul D. 322-9.</w:t>
      </w:r>
      <w:r>
        <w:t>– Mizele sunt sumele plătite de jucători societății La Française des jeux și alocate direct jocului.</w:t>
      </w:r>
    </w:p>
    <w:p w:rsidR="00142531" w:rsidRPr="00933EA2" w:rsidRDefault="00142531" w:rsidP="00933EA2">
      <w:pPr>
        <w:spacing w:after="200" w:line="276" w:lineRule="auto"/>
        <w:jc w:val="both"/>
        <w:rPr>
          <w:rFonts w:eastAsiaTheme="minorHAnsi"/>
        </w:rPr>
      </w:pPr>
      <w:r>
        <w:rPr>
          <w:i/>
        </w:rPr>
        <w:t>Articolul D. 322-10.</w:t>
      </w:r>
      <w:r>
        <w:t>– În medie, pentru toate jocurile de loterie, precum și pentru fiecare în parte, calculul matematic al câștigului estimativ trebuie să fie, pentru jucători, cuprins între 45 % și 75 % din totalul mizelor.</w:t>
      </w:r>
    </w:p>
    <w:p w:rsidR="00142531" w:rsidRPr="00933EA2" w:rsidRDefault="00142531" w:rsidP="00933EA2">
      <w:pPr>
        <w:spacing w:after="200" w:line="276" w:lineRule="auto"/>
        <w:jc w:val="both"/>
        <w:rPr>
          <w:rFonts w:eastAsiaTheme="minorHAnsi"/>
        </w:rPr>
      </w:pPr>
      <w:r>
        <w:t>Procentele din sumele mizate pe jocurile de loterie alocate pentru câștiguri sunt următoarele:</w:t>
      </w:r>
    </w:p>
    <w:p w:rsidR="00142531" w:rsidRPr="00933EA2" w:rsidRDefault="001D2F2A" w:rsidP="00933EA2">
      <w:pPr>
        <w:spacing w:after="200" w:line="276" w:lineRule="auto"/>
        <w:jc w:val="both"/>
        <w:rPr>
          <w:rFonts w:eastAsiaTheme="minorHAnsi"/>
        </w:rPr>
      </w:pPr>
      <w:r>
        <w:t>1. pentru jocurile cu extragere, procentul alocat câștigătorilor este cuprins între 50 % și 60 % pentru fiecare joc tradițional cu extragere, între 59 % și 70 % pentru fiecare joc suplimentar cu extragere și între 65 % și 72 % pentru fiecare joc cu extrageri succesive;</w:t>
      </w:r>
    </w:p>
    <w:p w:rsidR="00142531" w:rsidRPr="00933EA2" w:rsidRDefault="001D2F2A" w:rsidP="00933EA2">
      <w:pPr>
        <w:spacing w:after="200" w:line="276" w:lineRule="auto"/>
        <w:jc w:val="both"/>
        <w:rPr>
          <w:rFonts w:eastAsiaTheme="minorHAnsi"/>
        </w:rPr>
      </w:pPr>
      <w:r>
        <w:t>2. pentru jocurile cu câștig instant, procentul alocat câștigătorilor este cuprins între 62 % și 75 % pentru fiecare joc cu răzuire, între 65 % și 75 % pentru fiecare joc cu câștig imediat și între 60 % și 70 % pentru fiecare joc cu câștig instant suplimentar;</w:t>
      </w:r>
    </w:p>
    <w:p w:rsidR="00142531" w:rsidRPr="00933EA2" w:rsidRDefault="001D2F2A" w:rsidP="00933EA2">
      <w:pPr>
        <w:spacing w:after="200" w:line="276" w:lineRule="auto"/>
        <w:jc w:val="both"/>
        <w:rPr>
          <w:rFonts w:eastAsiaTheme="minorHAnsi"/>
        </w:rPr>
      </w:pPr>
      <w:r>
        <w:t>3. pentru toate jocurile cu răzuire, online și într-o rețea de distribuție fizică și pe un număr semnificativ de emisiuni, procentul mediu alocat câștigătorilor este de cel puțin 50 % și de cel mult 70,5 % din valoarea nominală a emisiunilor.</w:t>
      </w:r>
    </w:p>
    <w:p w:rsidR="00142531" w:rsidRPr="00933EA2" w:rsidRDefault="00142531" w:rsidP="00933EA2">
      <w:pPr>
        <w:spacing w:after="200" w:line="276" w:lineRule="auto"/>
        <w:jc w:val="both"/>
        <w:rPr>
          <w:rFonts w:eastAsiaTheme="minorHAnsi"/>
        </w:rPr>
      </w:pPr>
      <w:r>
        <w:rPr>
          <w:i/>
        </w:rPr>
        <w:t>Articolul D. 322-11.</w:t>
      </w:r>
      <w:r>
        <w:t>– Jocurile cu câștig imediat, definite la punctul 2 de la articolul L. 322-9-2, nu pot fi oferite pe terminale fără intermedierea umană pusă la dispoziția jucătorilor în agențiile de înregistrare a jocurilor de loterie menționate la al doilea alineat de la articolul L. 320-5.</w:t>
      </w:r>
    </w:p>
    <w:p w:rsidR="00142531" w:rsidRPr="00933EA2" w:rsidRDefault="00142531" w:rsidP="00933EA2">
      <w:pPr>
        <w:spacing w:after="200" w:line="276" w:lineRule="auto"/>
        <w:jc w:val="both"/>
        <w:rPr>
          <w:rFonts w:eastAsiaTheme="minorHAnsi"/>
        </w:rPr>
      </w:pPr>
      <w:r>
        <w:rPr>
          <w:i/>
        </w:rPr>
        <w:t>Articolul D. 322-12.</w:t>
      </w:r>
      <w:r>
        <w:t>– Jocurile de loterie pe care societatea La Française des jeux este autorizată să le opereze Pe baza evenimentelor, rezultatelor unor alocări aleatorii sau extrageri care se pot referi în special la numere, litere, culori, semne sau simboluri sau secvențe ale numerelor, literelor, culorilor, semnelor sau simbolurilor.</w:t>
      </w:r>
      <w:r w:rsidR="00870029">
        <w:t xml:space="preserve"> </w:t>
      </w:r>
      <w:r>
        <w:t>Funcționarea lor poate permite participarea individuală sau în grup a mai multor jucători.</w:t>
      </w:r>
      <w:r w:rsidR="00870029">
        <w:t xml:space="preserve"> </w:t>
      </w:r>
      <w:r>
        <w:t>Mecanica lor poate permite jucătorului să efectueze acțiuni sau alegeri care ar putea afecta parametrii jocurilor, cum ar fi frecvența sau suma câștigurilor sau cota mizelor alocate acestora din urmă.</w:t>
      </w:r>
    </w:p>
    <w:p w:rsidR="00142531" w:rsidRPr="00933EA2" w:rsidRDefault="00142531" w:rsidP="00933EA2">
      <w:pPr>
        <w:spacing w:after="200" w:line="276" w:lineRule="auto"/>
        <w:jc w:val="both"/>
        <w:rPr>
          <w:rFonts w:eastAsiaTheme="minorHAnsi"/>
        </w:rPr>
      </w:pPr>
      <w:r>
        <w:t>Aceste jocuri pot fi oferite într-un format multijucător, care permite participarea mai multor jucători, grupuri sau comunități de jucători în funcție de mecanismele de competiție sau de colaborare sau de o combinație a celor două.</w:t>
      </w:r>
    </w:p>
    <w:p w:rsidR="00142531" w:rsidRPr="00933EA2" w:rsidRDefault="00142531" w:rsidP="00933EA2">
      <w:pPr>
        <w:spacing w:after="200" w:line="276" w:lineRule="auto"/>
        <w:jc w:val="both"/>
        <w:rPr>
          <w:rFonts w:eastAsiaTheme="minorHAnsi"/>
        </w:rPr>
      </w:pPr>
      <w:r>
        <w:rPr>
          <w:i/>
        </w:rPr>
        <w:lastRenderedPageBreak/>
        <w:t>Articolul D. 322-13.</w:t>
      </w:r>
      <w:r>
        <w:t>- Înscrierea la jocurile menționate la articolul D. 322-12 se face prin intermediul rețelei de distribuție fizică a societății La Française des jeux și a persoanelor autorizate de aceasta în condițiile definite la articolul R. 322-18 -1 sau prin intermediul unui serviciu online de comunicare cu publicul.</w:t>
      </w:r>
    </w:p>
    <w:p w:rsidR="00142531" w:rsidRPr="00933EA2" w:rsidRDefault="00142531" w:rsidP="00933EA2">
      <w:pPr>
        <w:spacing w:after="200" w:line="276" w:lineRule="auto"/>
        <w:jc w:val="both"/>
        <w:rPr>
          <w:rFonts w:eastAsiaTheme="minorHAnsi"/>
        </w:rPr>
      </w:pPr>
      <w:r>
        <w:rPr>
          <w:i/>
        </w:rPr>
        <w:t>Articolul D. 322-14.</w:t>
      </w:r>
      <w:r>
        <w:t>– Oferta de jocuri de loterie a societății La Française des jeux este încadrată după cum urmează:</w:t>
      </w:r>
    </w:p>
    <w:p w:rsidR="00142531" w:rsidRPr="00933EA2" w:rsidRDefault="001D2F2A" w:rsidP="00933EA2">
      <w:pPr>
        <w:spacing w:after="200" w:line="276" w:lineRule="auto"/>
        <w:jc w:val="both"/>
        <w:rPr>
          <w:rFonts w:eastAsiaTheme="minorHAnsi"/>
        </w:rPr>
      </w:pPr>
      <w:r>
        <w:t>1. numărul jocurilor de loterie, toate gamele combinate, operate simultan în rețeaua de distribuție fizică, este limitat la cel mult patruzeci de jocuri;</w:t>
      </w:r>
    </w:p>
    <w:p w:rsidR="00142531" w:rsidRPr="00933EA2" w:rsidRDefault="001D2F2A" w:rsidP="00933EA2">
      <w:pPr>
        <w:spacing w:after="200" w:line="276" w:lineRule="auto"/>
        <w:jc w:val="both"/>
        <w:rPr>
          <w:rFonts w:eastAsiaTheme="minorHAnsi"/>
        </w:rPr>
      </w:pPr>
      <w:r>
        <w:t>2. numărul de jocuri de loterie, toate categoriile de jocuri combinate, operate simultan online, este limitat la cel mult o sută de jocuri;</w:t>
      </w:r>
    </w:p>
    <w:p w:rsidR="00142531" w:rsidRPr="00933EA2" w:rsidRDefault="001D2F2A" w:rsidP="00933EA2">
      <w:pPr>
        <w:spacing w:after="200" w:line="276" w:lineRule="auto"/>
        <w:jc w:val="both"/>
        <w:rPr>
          <w:rFonts w:eastAsiaTheme="minorHAnsi"/>
        </w:rPr>
      </w:pPr>
      <w:r>
        <w:t>3. regulile jocului limitează suma totală a câștigurilor plătite efectiv câștigătorilor, pentru fiecare intervenție aleatorie, în limita a două sute cincizeci de milioane de euro în cazul câștigurilor de prim rang pentru fiecare joc de loterie și la o sută de milioane de euro pentru jocuri de loterie în contrapartidă.</w:t>
      </w:r>
    </w:p>
    <w:p w:rsidR="00142531" w:rsidRPr="00933EA2" w:rsidRDefault="00142531" w:rsidP="00933EA2">
      <w:pPr>
        <w:spacing w:after="200" w:line="276" w:lineRule="auto"/>
        <w:jc w:val="both"/>
        <w:rPr>
          <w:rFonts w:eastAsiaTheme="minorHAnsi"/>
        </w:rPr>
      </w:pPr>
      <w:r>
        <w:rPr>
          <w:i/>
        </w:rPr>
        <w:t>Articolul D. 322-15</w:t>
      </w:r>
      <w:r>
        <w:t>.– Alocarea câștigurilor sau a premiilor câștigătorilor este determinată aleatoriu sau de un eveniment precum acțiunea jucătorului.</w:t>
      </w:r>
      <w:r w:rsidR="00870029">
        <w:t xml:space="preserve"> </w:t>
      </w:r>
      <w:r>
        <w:t>Același joc de loterie poate combina mai multe moduri de a determina câștigurile sau premiile și de a le aloca câștigătorilor.</w:t>
      </w:r>
    </w:p>
    <w:p w:rsidR="00142531" w:rsidRPr="00933EA2" w:rsidRDefault="00142531" w:rsidP="00933EA2">
      <w:pPr>
        <w:spacing w:after="200" w:line="276" w:lineRule="auto"/>
        <w:jc w:val="both"/>
        <w:rPr>
          <w:rFonts w:eastAsiaTheme="minorHAnsi"/>
        </w:rPr>
      </w:pPr>
      <w:r>
        <w:rPr>
          <w:i/>
        </w:rPr>
        <w:t>Articolul D. 322-16.</w:t>
      </w:r>
      <w:r>
        <w:t>– Intervenția aleatorie se realizează anterior atunci când câștigurile sau premiile sunt alocate aleatoriu pentru sprijinul jocului câștigător printr-o înregistrare ascunsă, înainte de a fi puse la dispoziția publicului.</w:t>
      </w:r>
    </w:p>
    <w:p w:rsidR="00142531" w:rsidRPr="00933EA2" w:rsidRDefault="00142531" w:rsidP="00933EA2">
      <w:pPr>
        <w:spacing w:after="200" w:line="276" w:lineRule="auto"/>
        <w:jc w:val="both"/>
        <w:rPr>
          <w:rFonts w:eastAsiaTheme="minorHAnsi"/>
        </w:rPr>
      </w:pPr>
      <w:r>
        <w:t>Aceasta se face concomitent atunci când este declanșată de un eveniment, cum ar fi o acțiune a jucătorului pe suportul prevăzut cu un dispozitiv sau un procedeu adecvat.</w:t>
      </w:r>
    </w:p>
    <w:p w:rsidR="00142531" w:rsidRPr="00933EA2" w:rsidRDefault="00142531" w:rsidP="00933EA2">
      <w:pPr>
        <w:spacing w:after="200" w:line="276" w:lineRule="auto"/>
        <w:jc w:val="both"/>
        <w:rPr>
          <w:rFonts w:eastAsiaTheme="minorHAnsi"/>
        </w:rPr>
      </w:pPr>
      <w:r>
        <w:t>Aceasta se realizează ulterior în cazul în care se bazează pe rezultatele unuia sau mai multor extrageri aleatorii sau alocări aleatorii, care pot consta în numere, litere, culori, semne sau simboluri sau pe secvențe de numere, litere, culori, semne sau simboluri.</w:t>
      </w:r>
    </w:p>
    <w:p w:rsidR="00142531" w:rsidRPr="00933EA2" w:rsidRDefault="00142531" w:rsidP="00933EA2">
      <w:pPr>
        <w:spacing w:after="200" w:line="276" w:lineRule="auto"/>
        <w:jc w:val="both"/>
        <w:rPr>
          <w:rFonts w:eastAsiaTheme="minorHAnsi"/>
        </w:rPr>
      </w:pPr>
      <w:r>
        <w:rPr>
          <w:i/>
        </w:rPr>
        <w:t>Articolul D. 322-17.</w:t>
      </w:r>
      <w:r>
        <w:t>– Câștigurile sau premiile acordate câștigătorilor pot fi în numerar sau în natură.</w:t>
      </w:r>
      <w:r w:rsidR="00870029">
        <w:t xml:space="preserve"> </w:t>
      </w:r>
      <w:r>
        <w:t>Câștigurile acordate în natură sunt contabilizate la valoarea lor de piață.</w:t>
      </w:r>
    </w:p>
    <w:p w:rsidR="00142531" w:rsidRPr="00933EA2" w:rsidRDefault="00142531" w:rsidP="00933EA2">
      <w:pPr>
        <w:spacing w:after="200" w:line="276" w:lineRule="auto"/>
        <w:jc w:val="both"/>
        <w:rPr>
          <w:rFonts w:eastAsiaTheme="minorHAnsi"/>
        </w:rPr>
      </w:pPr>
      <w:r>
        <w:rPr>
          <w:i/>
        </w:rPr>
        <w:t>Articolul D. 322-18.</w:t>
      </w:r>
      <w:r>
        <w:t>– Atunci când același joc de loterie folosește atât principiile alocării, cât și pe cele de contrapartidă, fiecare parte a jocului este supusă respectării principiilor corespunzătoare.</w:t>
      </w:r>
    </w:p>
    <w:p w:rsidR="00142531" w:rsidRPr="00933EA2" w:rsidRDefault="00142531" w:rsidP="00933EA2">
      <w:pPr>
        <w:spacing w:after="200" w:line="276" w:lineRule="auto"/>
        <w:jc w:val="both"/>
        <w:rPr>
          <w:rFonts w:eastAsiaTheme="minorHAnsi"/>
        </w:rPr>
      </w:pPr>
      <w:r>
        <w:rPr>
          <w:i/>
        </w:rPr>
        <w:t>Capitolul II</w:t>
      </w:r>
      <w:r>
        <w:t>c</w:t>
      </w:r>
    </w:p>
    <w:p w:rsidR="00142531" w:rsidRPr="00933EA2" w:rsidRDefault="00142531" w:rsidP="00933EA2">
      <w:pPr>
        <w:spacing w:after="200" w:line="276" w:lineRule="auto"/>
        <w:jc w:val="both"/>
        <w:rPr>
          <w:rFonts w:eastAsiaTheme="minorHAnsi"/>
        </w:rPr>
      </w:pPr>
      <w:r>
        <w:rPr>
          <w:i/>
        </w:rPr>
        <w:t>Jocuri cu pariuri sportive și pariuri hipice</w:t>
      </w:r>
    </w:p>
    <w:p w:rsidR="00142531" w:rsidRPr="00933EA2" w:rsidRDefault="00142531" w:rsidP="00933EA2">
      <w:pPr>
        <w:spacing w:after="200" w:line="276" w:lineRule="auto"/>
        <w:jc w:val="both"/>
        <w:rPr>
          <w:rFonts w:eastAsiaTheme="minorHAnsi"/>
        </w:rPr>
      </w:pPr>
      <w:r>
        <w:rPr>
          <w:i/>
        </w:rPr>
        <w:t>Articolul D. 322-19</w:t>
      </w:r>
      <w:r>
        <w:t>.– Pentru toate pariurile sportive menționate la articolul L. 322-13 și comercializate într-o rețea de distribuție fizică de către societatea La Française des jeux, procentul mizelor alocate câștigurilor este în medie egal cu 76,5 % într-un an calendaristic.</w:t>
      </w:r>
    </w:p>
    <w:p w:rsidR="00142531" w:rsidRPr="00933EA2" w:rsidRDefault="00142531" w:rsidP="00933EA2">
      <w:pPr>
        <w:spacing w:after="200" w:line="276" w:lineRule="auto"/>
        <w:jc w:val="both"/>
        <w:rPr>
          <w:rFonts w:eastAsiaTheme="minorHAnsi"/>
        </w:rPr>
      </w:pPr>
      <w:r>
        <w:rPr>
          <w:i/>
        </w:rPr>
        <w:lastRenderedPageBreak/>
        <w:t>Articolul D. 322-20.</w:t>
      </w:r>
      <w:r>
        <w:t>– Alocarea câștigurilor sau premiilor câștigătorilor este determinată în funcție de rezultatele evenimentelor sportive.</w:t>
      </w:r>
      <w:r w:rsidR="00870029">
        <w:t xml:space="preserve"> </w:t>
      </w:r>
      <w:r>
        <w:t>Același joc de pariuri sportive poate combina mai multe moduri de a determina câștigurile sau premiile și de a le aloca câștigătorilor.</w:t>
      </w:r>
    </w:p>
    <w:p w:rsidR="00142531" w:rsidRPr="00933EA2" w:rsidRDefault="00142531" w:rsidP="00933EA2">
      <w:pPr>
        <w:spacing w:after="200" w:line="276" w:lineRule="auto"/>
        <w:jc w:val="both"/>
        <w:rPr>
          <w:rFonts w:eastAsiaTheme="minorHAnsi"/>
        </w:rPr>
      </w:pPr>
      <w:r>
        <w:rPr>
          <w:i/>
        </w:rPr>
        <w:t>Articolul D. 322-21.</w:t>
      </w:r>
      <w:r>
        <w:t>– Câștigurile sau premiile acordate câștigătorilor pot fi în numerar sau în natură.</w:t>
      </w:r>
      <w:r w:rsidR="00870029">
        <w:t xml:space="preserve"> </w:t>
      </w:r>
      <w:r>
        <w:t>Câștigurile acordate în natură sunt contabilizate la valoarea lor de piață.</w:t>
      </w:r>
    </w:p>
    <w:p w:rsidR="00142531" w:rsidRPr="00933EA2" w:rsidRDefault="00142531" w:rsidP="00933EA2">
      <w:pPr>
        <w:spacing w:after="200" w:line="276" w:lineRule="auto"/>
        <w:jc w:val="both"/>
        <w:rPr>
          <w:rFonts w:eastAsiaTheme="minorHAnsi"/>
        </w:rPr>
      </w:pPr>
      <w:r>
        <w:rPr>
          <w:i/>
        </w:rPr>
        <w:t>Articolul D. 322-22.</w:t>
      </w:r>
      <w:r>
        <w:t>– Atunci când același joc de pariuri sportive folosește atât principiile alocării, cât și pe cele de contrapartidă, fiecare parte a jocului este supusă respectării principiilor corespunzătoare.”</w:t>
      </w:r>
    </w:p>
    <w:p w:rsidR="00142531" w:rsidRPr="00933EA2" w:rsidRDefault="00142531" w:rsidP="00933EA2">
      <w:pPr>
        <w:keepNext/>
        <w:keepLines/>
        <w:spacing w:after="200" w:line="276" w:lineRule="auto"/>
        <w:jc w:val="center"/>
        <w:rPr>
          <w:rFonts w:eastAsiaTheme="minorHAnsi"/>
          <w:b/>
        </w:rPr>
      </w:pPr>
      <w:r>
        <w:rPr>
          <w:b/>
        </w:rPr>
        <w:t>TITLUL IX:DISPOZIȚII DIVERSE</w:t>
      </w:r>
    </w:p>
    <w:p w:rsidR="00142531" w:rsidRPr="00933EA2" w:rsidRDefault="00142531" w:rsidP="00933EA2">
      <w:pPr>
        <w:pStyle w:val="BodyText"/>
        <w:keepNext/>
        <w:keepLines/>
        <w:jc w:val="center"/>
        <w:rPr>
          <w:b/>
        </w:rPr>
      </w:pPr>
      <w:r>
        <w:rPr>
          <w:b/>
        </w:rPr>
        <w:t>Articolul 48</w:t>
      </w:r>
    </w:p>
    <w:p w:rsidR="00142531" w:rsidRPr="00933EA2" w:rsidRDefault="00142531" w:rsidP="00933EA2">
      <w:pPr>
        <w:keepNext/>
        <w:keepLines/>
        <w:rPr>
          <w:b/>
        </w:rPr>
      </w:pPr>
    </w:p>
    <w:p w:rsidR="00142531" w:rsidRPr="00933EA2" w:rsidRDefault="00142531" w:rsidP="00933EA2">
      <w:pPr>
        <w:pStyle w:val="BodyText"/>
        <w:jc w:val="both"/>
      </w:pPr>
      <w:r>
        <w:t>Decretul nr. 1061/2008 din 17 octombrie 2019 se modifică după cum urmează:</w:t>
      </w:r>
    </w:p>
    <w:p w:rsidR="00142531" w:rsidRPr="00933EA2" w:rsidRDefault="00B84182" w:rsidP="00933EA2">
      <w:pPr>
        <w:pStyle w:val="BodyText"/>
        <w:jc w:val="both"/>
        <w:rPr>
          <w:rFonts w:eastAsia="Calibri"/>
        </w:rPr>
      </w:pPr>
      <w:r>
        <w:t>1. articolul 8 se modifică după cum urmează:</w:t>
      </w:r>
    </w:p>
    <w:p w:rsidR="00142531" w:rsidRPr="00933EA2" w:rsidRDefault="00F77C81" w:rsidP="00933EA2">
      <w:pPr>
        <w:pStyle w:val="BodyText"/>
        <w:jc w:val="both"/>
      </w:pPr>
      <w:r>
        <w:t>(a) se elimină primul, al treilea până la al șaptelea alineat, al nouălea până la al șaisprezecelea alineat și primul alineat titlul II;</w:t>
      </w:r>
    </w:p>
    <w:p w:rsidR="00142531" w:rsidRPr="00933EA2" w:rsidRDefault="00F77C81" w:rsidP="00933EA2">
      <w:pPr>
        <w:pStyle w:val="BodyText"/>
        <w:jc w:val="both"/>
      </w:pPr>
      <w:r>
        <w:t>(b)</w:t>
      </w:r>
      <w:r w:rsidR="00FE265B">
        <w:t xml:space="preserve"> la</w:t>
      </w:r>
      <w:r>
        <w:t xml:space="preserve"> al doilea alineat se completează cu cuvintele:„menționată la articolele L. 322-9-1 și L. 322-9-2 din Codul securității naționale”;</w:t>
      </w:r>
    </w:p>
    <w:p w:rsidR="00142531" w:rsidRPr="00933EA2" w:rsidRDefault="00F77C81" w:rsidP="00933EA2">
      <w:pPr>
        <w:pStyle w:val="BodyText"/>
        <w:jc w:val="both"/>
      </w:pPr>
      <w:r>
        <w:t>(c) la alineatul al optulea, cuvintele:„la prezentul articol” se înlocuiesc cu cuvintele:„la articolele L. 322-10 și R. 322-19 din Codul securității naționale”;</w:t>
      </w:r>
    </w:p>
    <w:p w:rsidR="00142531" w:rsidRPr="00933EA2" w:rsidRDefault="00F77C81" w:rsidP="00933EA2">
      <w:pPr>
        <w:pStyle w:val="BodyText"/>
        <w:jc w:val="both"/>
      </w:pPr>
      <w:r>
        <w:t>(d) la alineatul al șaptesprezecelea, cuvintele:„la punctul 2 de la prezentul alineat (I)” se înlocuiesc cu cuvintele:„la articolul D. 322-14”;</w:t>
      </w:r>
    </w:p>
    <w:p w:rsidR="00142531" w:rsidRPr="00933EA2" w:rsidRDefault="003A7FAA" w:rsidP="00933EA2">
      <w:pPr>
        <w:pStyle w:val="BodyText"/>
        <w:jc w:val="both"/>
      </w:pPr>
      <w:r>
        <w:t>2. articolul 9 se modifică după cum urmează:</w:t>
      </w:r>
    </w:p>
    <w:p w:rsidR="00142531" w:rsidRPr="00933EA2" w:rsidRDefault="00F77C81" w:rsidP="00933EA2">
      <w:pPr>
        <w:pStyle w:val="BodyText"/>
        <w:jc w:val="both"/>
      </w:pPr>
      <w:r>
        <w:t>(a) la primul alineat, mențiunea:„I. – ” se elimină;</w:t>
      </w:r>
    </w:p>
    <w:p w:rsidR="00142531" w:rsidRPr="00933EA2" w:rsidRDefault="00F77C81" w:rsidP="00933EA2">
      <w:pPr>
        <w:pStyle w:val="BodyText"/>
        <w:jc w:val="both"/>
      </w:pPr>
      <w:r>
        <w:t>(b) alineatul (II) se elimină;</w:t>
      </w:r>
    </w:p>
    <w:p w:rsidR="00142531" w:rsidRPr="00933EA2" w:rsidRDefault="003A7FAA" w:rsidP="00933EA2">
      <w:pPr>
        <w:pStyle w:val="BodyText"/>
        <w:jc w:val="both"/>
      </w:pPr>
      <w:r>
        <w:t>3. primul alineat de la articolul 11 se elimină;</w:t>
      </w:r>
    </w:p>
    <w:p w:rsidR="00142531" w:rsidRPr="00933EA2" w:rsidRDefault="003A7FAA" w:rsidP="00933EA2">
      <w:pPr>
        <w:pStyle w:val="BodyText"/>
        <w:jc w:val="both"/>
      </w:pPr>
      <w:r>
        <w:t>4. Articolele 10 și 16 se elimină.</w:t>
      </w:r>
    </w:p>
    <w:p w:rsidR="00142531" w:rsidRDefault="00C342AB" w:rsidP="00933EA2">
      <w:pPr>
        <w:pStyle w:val="BodyText"/>
        <w:jc w:val="center"/>
        <w:rPr>
          <w:b/>
        </w:rPr>
      </w:pPr>
      <w:r>
        <w:rPr>
          <w:b/>
        </w:rPr>
        <w:t>Articolul 49</w:t>
      </w:r>
    </w:p>
    <w:p w:rsidR="00933EA2" w:rsidRPr="00933EA2" w:rsidRDefault="00933EA2" w:rsidP="00933EA2">
      <w:pPr>
        <w:keepNext/>
        <w:keepLines/>
        <w:rPr>
          <w:b/>
        </w:rPr>
      </w:pPr>
    </w:p>
    <w:p w:rsidR="003A46B9" w:rsidRPr="00933EA2" w:rsidRDefault="00142531" w:rsidP="00933EA2">
      <w:pPr>
        <w:pStyle w:val="BodyText"/>
        <w:jc w:val="both"/>
      </w:pPr>
      <w:r>
        <w:t>Decretul nr. 624/2010 din 8 iunie 2010 privind reglementarea comunicațiilor comerciale în favoarea operatorilor de jocuri de noroc, precum și informarea jucătorilor cu privire la riscurile legate de practicarea jocurilor de noroc se abrogă, cu excepția articolului 1.</w:t>
      </w:r>
    </w:p>
    <w:p w:rsidR="003A46B9" w:rsidRPr="00933EA2" w:rsidRDefault="003A46B9" w:rsidP="00933EA2">
      <w:pPr>
        <w:pStyle w:val="BodyText"/>
        <w:jc w:val="both"/>
      </w:pPr>
      <w:r>
        <w:t>Articolul 1 din decretul menționat anterior din 8 iunie 2010 se abrogă la data intrării în vigoare a decretului prevăzut la articolul D. 320-2 din Codul securității naționale.</w:t>
      </w:r>
    </w:p>
    <w:p w:rsidR="00142531" w:rsidRPr="00933EA2" w:rsidRDefault="00142531" w:rsidP="00933EA2">
      <w:pPr>
        <w:pStyle w:val="BodyText"/>
        <w:jc w:val="both"/>
      </w:pPr>
    </w:p>
    <w:p w:rsidR="00142531" w:rsidRPr="00933EA2" w:rsidRDefault="00142531" w:rsidP="00933EA2">
      <w:pPr>
        <w:keepNext/>
        <w:keepLines/>
        <w:pageBreakBefore/>
        <w:spacing w:after="200" w:line="276" w:lineRule="auto"/>
        <w:jc w:val="center"/>
        <w:rPr>
          <w:rFonts w:eastAsiaTheme="minorHAnsi"/>
          <w:b/>
        </w:rPr>
      </w:pPr>
      <w:r>
        <w:rPr>
          <w:b/>
        </w:rPr>
        <w:lastRenderedPageBreak/>
        <w:t>TITLUL X:DISPOZIȚII PRIVIND TERITORIILE DE PESTE MĂRI</w:t>
      </w:r>
    </w:p>
    <w:p w:rsidR="00142531" w:rsidRDefault="00C342AB" w:rsidP="00933EA2">
      <w:pPr>
        <w:pStyle w:val="BodyText"/>
        <w:keepNext/>
        <w:keepLines/>
        <w:jc w:val="center"/>
        <w:rPr>
          <w:b/>
        </w:rPr>
      </w:pPr>
      <w:r>
        <w:rPr>
          <w:b/>
        </w:rPr>
        <w:t>Articolul 50</w:t>
      </w:r>
    </w:p>
    <w:p w:rsidR="00933EA2" w:rsidRPr="00933EA2" w:rsidRDefault="00933EA2" w:rsidP="00933EA2">
      <w:pPr>
        <w:pStyle w:val="BodyText"/>
        <w:keepNext/>
        <w:keepLines/>
        <w:jc w:val="center"/>
        <w:rPr>
          <w:b/>
        </w:rPr>
      </w:pPr>
    </w:p>
    <w:p w:rsidR="00142531" w:rsidRPr="00933EA2" w:rsidRDefault="00142531" w:rsidP="00933EA2">
      <w:pPr>
        <w:spacing w:before="120" w:after="120"/>
        <w:jc w:val="both"/>
      </w:pPr>
      <w:r>
        <w:t>Titlul VI din cartea III din prima parte a Codului securității naționale se modifică după cum urmează:</w:t>
      </w:r>
    </w:p>
    <w:p w:rsidR="00142531" w:rsidRPr="00933EA2" w:rsidRDefault="00142531" w:rsidP="00933EA2">
      <w:pPr>
        <w:spacing w:before="120" w:after="120"/>
        <w:jc w:val="both"/>
      </w:pPr>
      <w:r>
        <w:t>1. După articolul R. 344-1, se introduce articolul D. 344-1-1 cu formularea următoare:</w:t>
      </w:r>
    </w:p>
    <w:p w:rsidR="00142531" w:rsidRPr="00933EA2" w:rsidRDefault="00142531" w:rsidP="00933EA2">
      <w:pPr>
        <w:spacing w:before="120" w:after="120"/>
        <w:jc w:val="both"/>
      </w:pPr>
      <w:r>
        <w:t>„</w:t>
      </w:r>
      <w:r>
        <w:rPr>
          <w:bCs/>
          <w:i/>
          <w:iCs/>
        </w:rPr>
        <w:t>Articolul D. 344-1-1</w:t>
      </w:r>
      <w:r>
        <w:t>.– În Polinezia Franceză se aplică dispozițiile prezentei cărți menționate în coloana din stânga a tabelului de mai jos, în formularea lor indicată în coloana din dreapta a tabelului menționat:</w:t>
      </w:r>
    </w:p>
    <w:p w:rsidR="00142531" w:rsidRPr="00933EA2" w:rsidRDefault="00142531" w:rsidP="00933EA2">
      <w:pPr>
        <w:spacing w:before="120" w:after="120"/>
      </w:pPr>
      <w:r>
        <w:t>”</w:t>
      </w:r>
    </w:p>
    <w:tbl>
      <w:tblPr>
        <w:tblW w:w="0" w:type="auto"/>
        <w:tblInd w:w="-15" w:type="dxa"/>
        <w:tblLayout w:type="fixed"/>
        <w:tblLook w:val="0000" w:firstRow="0" w:lastRow="0" w:firstColumn="0" w:lastColumn="0" w:noHBand="0" w:noVBand="0"/>
      </w:tblPr>
      <w:tblGrid>
        <w:gridCol w:w="4747"/>
        <w:gridCol w:w="4777"/>
      </w:tblGrid>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center"/>
            </w:pPr>
            <w:r>
              <w:t>DISPOZIȚII APLICABILE</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center"/>
            </w:pPr>
            <w:r>
              <w:t>ÎN FORMULAREA LOR</w:t>
            </w:r>
          </w:p>
        </w:tc>
      </w:tr>
      <w:tr w:rsidR="00142531" w:rsidRPr="00933EA2"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În titlul II</w:t>
            </w:r>
          </w:p>
        </w:tc>
      </w:tr>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both"/>
            </w:pPr>
            <w:r>
              <w:t>D. 320-1-D.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Care reiese din Decretul nr. XXX din XXX</w:t>
            </w:r>
          </w:p>
        </w:tc>
      </w:tr>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both"/>
              <w:rPr>
                <w:bCs/>
                <w:iCs/>
              </w:rPr>
            </w:pPr>
            <w:r>
              <w:t>D. 322-9-D.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Care reiese din Decretul nr. XXX din XXX</w:t>
            </w:r>
          </w:p>
        </w:tc>
      </w:tr>
    </w:tbl>
    <w:p w:rsidR="00142531" w:rsidRPr="00933EA2" w:rsidRDefault="00142531" w:rsidP="00933EA2">
      <w:pPr>
        <w:spacing w:before="120" w:after="120"/>
        <w:jc w:val="right"/>
      </w:pPr>
      <w:r>
        <w:t>”;</w:t>
      </w:r>
    </w:p>
    <w:p w:rsidR="00142531" w:rsidRPr="00933EA2" w:rsidRDefault="00F77C81" w:rsidP="00933EA2">
      <w:pPr>
        <w:spacing w:before="120" w:after="120"/>
        <w:jc w:val="both"/>
      </w:pPr>
      <w:r>
        <w:t>2. Articolul D. 345-2 se modifică după cum urmează:</w:t>
      </w:r>
    </w:p>
    <w:p w:rsidR="00142531" w:rsidRPr="00933EA2" w:rsidRDefault="00142531" w:rsidP="00933EA2">
      <w:pPr>
        <w:spacing w:before="120" w:after="120"/>
        <w:jc w:val="both"/>
      </w:pPr>
      <w:r>
        <w:t>(a) După rândul:</w:t>
      </w:r>
    </w:p>
    <w:p w:rsidR="00142531" w:rsidRPr="00933EA2" w:rsidRDefault="00142531" w:rsidP="00933EA2">
      <w:pPr>
        <w:spacing w:before="120" w:after="120"/>
        <w:jc w:val="both"/>
      </w:pPr>
      <w:r>
        <w:t>„</w:t>
      </w:r>
    </w:p>
    <w:tbl>
      <w:tblPr>
        <w:tblW w:w="0" w:type="auto"/>
        <w:tblInd w:w="-15" w:type="dxa"/>
        <w:tblLayout w:type="fixed"/>
        <w:tblLook w:val="0000" w:firstRow="0" w:lastRow="0" w:firstColumn="0" w:lastColumn="0" w:noHBand="0" w:noVBand="0"/>
      </w:tblPr>
      <w:tblGrid>
        <w:gridCol w:w="9524"/>
      </w:tblGrid>
      <w:tr w:rsidR="00142531" w:rsidRPr="00933EA2" w:rsidTr="00933EA2">
        <w:trPr>
          <w:cantSplit/>
        </w:trPr>
        <w:tc>
          <w:tcPr>
            <w:tcW w:w="9524"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În titlul II</w:t>
            </w:r>
          </w:p>
        </w:tc>
      </w:tr>
    </w:tbl>
    <w:p w:rsidR="00142531" w:rsidRPr="00933EA2" w:rsidRDefault="00142531" w:rsidP="00933EA2">
      <w:pPr>
        <w:spacing w:before="120" w:after="120"/>
        <w:jc w:val="right"/>
      </w:pPr>
      <w:r>
        <w:t>”</w:t>
      </w:r>
    </w:p>
    <w:p w:rsidR="00142531" w:rsidRPr="00933EA2" w:rsidRDefault="00142531" w:rsidP="00933EA2">
      <w:pPr>
        <w:spacing w:before="120" w:after="120"/>
        <w:jc w:val="both"/>
      </w:pPr>
      <w:r>
        <w:t>se introduce rândul următor:</w:t>
      </w:r>
    </w:p>
    <w:p w:rsidR="00142531" w:rsidRPr="00933EA2" w:rsidRDefault="00142531" w:rsidP="00933EA2">
      <w:pPr>
        <w:spacing w:before="120" w:after="120"/>
        <w:jc w:val="both"/>
      </w:pPr>
      <w:r>
        <w:t>„</w:t>
      </w:r>
    </w:p>
    <w:tbl>
      <w:tblPr>
        <w:tblW w:w="0" w:type="auto"/>
        <w:tblInd w:w="-15" w:type="dxa"/>
        <w:tblLayout w:type="fixed"/>
        <w:tblLook w:val="0000" w:firstRow="0" w:lastRow="0" w:firstColumn="0" w:lastColumn="0" w:noHBand="0" w:noVBand="0"/>
      </w:tblPr>
      <w:tblGrid>
        <w:gridCol w:w="4747"/>
        <w:gridCol w:w="4777"/>
      </w:tblGrid>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both"/>
            </w:pPr>
            <w:r>
              <w:t>D. 320-1-D.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Care reiese din Decretul nr. XXX din XXX</w:t>
            </w:r>
          </w:p>
        </w:tc>
      </w:tr>
    </w:tbl>
    <w:p w:rsidR="00142531" w:rsidRPr="00933EA2" w:rsidRDefault="00142531" w:rsidP="00933EA2">
      <w:pPr>
        <w:spacing w:before="120" w:after="120"/>
        <w:jc w:val="right"/>
      </w:pPr>
      <w:r>
        <w:t>”;</w:t>
      </w:r>
    </w:p>
    <w:p w:rsidR="00142531" w:rsidRPr="00933EA2" w:rsidRDefault="00142531" w:rsidP="00933EA2">
      <w:pPr>
        <w:spacing w:before="120" w:after="120"/>
        <w:jc w:val="both"/>
      </w:pPr>
      <w:r>
        <w:t>(b) După rândul:</w:t>
      </w:r>
    </w:p>
    <w:p w:rsidR="00142531" w:rsidRPr="00933EA2" w:rsidRDefault="00142531" w:rsidP="00933EA2">
      <w:pPr>
        <w:spacing w:before="120" w:after="120"/>
        <w:jc w:val="both"/>
      </w:pPr>
      <w:r>
        <w:t>„</w:t>
      </w:r>
    </w:p>
    <w:tbl>
      <w:tblPr>
        <w:tblW w:w="0" w:type="auto"/>
        <w:tblInd w:w="-15" w:type="dxa"/>
        <w:tblLayout w:type="fixed"/>
        <w:tblLook w:val="0000" w:firstRow="0" w:lastRow="0" w:firstColumn="0" w:lastColumn="0" w:noHBand="0" w:noVBand="0"/>
      </w:tblPr>
      <w:tblGrid>
        <w:gridCol w:w="4747"/>
        <w:gridCol w:w="4777"/>
      </w:tblGrid>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both"/>
            </w:pPr>
            <w:r>
              <w:t>D. 322-4</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Care reiese din Decretul nr. 1253/2014 din 27 octombrie 2014 privind dispozițiile cărților III, VI și VII din partea normativă a Codului securității naționale (Decrete adoptate în Consiliul de Stat și decrete simple)</w:t>
            </w:r>
          </w:p>
        </w:tc>
      </w:tr>
    </w:tbl>
    <w:p w:rsidR="00142531" w:rsidRPr="00933EA2" w:rsidRDefault="00142531" w:rsidP="00933EA2">
      <w:pPr>
        <w:spacing w:before="120" w:after="120"/>
        <w:jc w:val="right"/>
      </w:pPr>
      <w:r>
        <w:t>”</w:t>
      </w:r>
    </w:p>
    <w:p w:rsidR="00142531" w:rsidRPr="00933EA2" w:rsidRDefault="00142531" w:rsidP="00933EA2">
      <w:pPr>
        <w:spacing w:before="120" w:after="120"/>
        <w:jc w:val="both"/>
      </w:pPr>
      <w:r>
        <w:t>se introduce rândul următor:</w:t>
      </w:r>
    </w:p>
    <w:p w:rsidR="00142531" w:rsidRPr="00933EA2" w:rsidRDefault="00142531" w:rsidP="00933EA2">
      <w:pPr>
        <w:spacing w:before="120" w:after="120"/>
        <w:jc w:val="both"/>
      </w:pPr>
      <w:r>
        <w:t>„</w:t>
      </w:r>
    </w:p>
    <w:tbl>
      <w:tblPr>
        <w:tblW w:w="0" w:type="auto"/>
        <w:tblInd w:w="-15" w:type="dxa"/>
        <w:tblLayout w:type="fixed"/>
        <w:tblLook w:val="0000" w:firstRow="0" w:lastRow="0" w:firstColumn="0" w:lastColumn="0" w:noHBand="0" w:noVBand="0"/>
      </w:tblPr>
      <w:tblGrid>
        <w:gridCol w:w="4747"/>
        <w:gridCol w:w="4777"/>
      </w:tblGrid>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both"/>
            </w:pPr>
            <w:r>
              <w:lastRenderedPageBreak/>
              <w:t>D. 322-9-D.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Care reiese din Decretul nr. XXX din XXX</w:t>
            </w:r>
          </w:p>
        </w:tc>
      </w:tr>
    </w:tbl>
    <w:p w:rsidR="00142531" w:rsidRPr="00933EA2" w:rsidRDefault="00142531" w:rsidP="00933EA2">
      <w:pPr>
        <w:spacing w:before="120" w:after="120"/>
        <w:jc w:val="right"/>
      </w:pPr>
      <w:r>
        <w:t>”;</w:t>
      </w:r>
    </w:p>
    <w:p w:rsidR="00142531" w:rsidRPr="00933EA2" w:rsidRDefault="00142531" w:rsidP="00933EA2">
      <w:pPr>
        <w:spacing w:before="120" w:after="120"/>
        <w:jc w:val="both"/>
      </w:pPr>
      <w:r>
        <w:t>3. După articolul R. 346-1-1, se introduce articolul D. 346-1-2 cu formularea următoare:</w:t>
      </w:r>
    </w:p>
    <w:p w:rsidR="00142531" w:rsidRPr="00933EA2" w:rsidRDefault="00142531" w:rsidP="00933EA2">
      <w:pPr>
        <w:spacing w:before="120" w:after="120"/>
        <w:jc w:val="both"/>
      </w:pPr>
      <w:r>
        <w:t>„</w:t>
      </w:r>
      <w:r>
        <w:rPr>
          <w:bCs/>
          <w:i/>
          <w:iCs/>
        </w:rPr>
        <w:t>Articolul D. 346-1-2.</w:t>
      </w:r>
      <w:r>
        <w:t>– În insulele Wallis și Futuna se aplică dispozițiile prezentei cărți menționate în coloana din stânga a tabelului de mai jos, în formularea lor indicată în coloana din dreapta a tabelului menționat:”</w:t>
      </w:r>
    </w:p>
    <w:p w:rsidR="00142531" w:rsidRPr="00933EA2" w:rsidRDefault="00142531" w:rsidP="00933EA2">
      <w:pPr>
        <w:spacing w:before="120" w:after="120"/>
      </w:pPr>
      <w:r>
        <w:t>„</w:t>
      </w:r>
    </w:p>
    <w:tbl>
      <w:tblPr>
        <w:tblW w:w="0" w:type="auto"/>
        <w:tblInd w:w="-15" w:type="dxa"/>
        <w:tblLayout w:type="fixed"/>
        <w:tblLook w:val="0000" w:firstRow="0" w:lastRow="0" w:firstColumn="0" w:lastColumn="0" w:noHBand="0" w:noVBand="0"/>
      </w:tblPr>
      <w:tblGrid>
        <w:gridCol w:w="4747"/>
        <w:gridCol w:w="4777"/>
      </w:tblGrid>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center"/>
            </w:pPr>
            <w:r>
              <w:t>DISPOZIȚII APLICABILE</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center"/>
            </w:pPr>
            <w:r>
              <w:t>ÎN FORMULAREA LOR</w:t>
            </w:r>
          </w:p>
        </w:tc>
      </w:tr>
      <w:tr w:rsidR="00142531" w:rsidRPr="00933EA2"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În titlul II</w:t>
            </w:r>
          </w:p>
        </w:tc>
      </w:tr>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both"/>
            </w:pPr>
            <w:r>
              <w:t>D. 320-1-D.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Care reiese din Decretul nr. XXX din XXX</w:t>
            </w:r>
          </w:p>
        </w:tc>
      </w:tr>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both"/>
            </w:pPr>
            <w:r>
              <w:t>D. 322-9-D.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Care reiese din Decretul nr. XXX din XXX</w:t>
            </w:r>
          </w:p>
        </w:tc>
      </w:tr>
    </w:tbl>
    <w:p w:rsidR="00142531" w:rsidRPr="00933EA2" w:rsidRDefault="00142531" w:rsidP="00933EA2">
      <w:pPr>
        <w:spacing w:before="120" w:after="120"/>
        <w:jc w:val="right"/>
      </w:pPr>
      <w:r>
        <w:t>”;</w:t>
      </w:r>
    </w:p>
    <w:p w:rsidR="00142531" w:rsidRPr="00933EA2" w:rsidRDefault="00142531" w:rsidP="00933EA2">
      <w:pPr>
        <w:spacing w:before="120" w:after="120"/>
        <w:jc w:val="both"/>
      </w:pPr>
      <w:r>
        <w:t>4. Capitolul II se completează cu articolul L. 347-1 cu următoarea formulare:</w:t>
      </w:r>
    </w:p>
    <w:p w:rsidR="00142531" w:rsidRPr="00933EA2" w:rsidRDefault="00142531" w:rsidP="00933EA2">
      <w:pPr>
        <w:spacing w:before="120" w:after="120"/>
        <w:jc w:val="both"/>
      </w:pPr>
      <w:r>
        <w:t>„</w:t>
      </w:r>
      <w:r>
        <w:rPr>
          <w:bCs/>
          <w:i/>
          <w:iCs/>
        </w:rPr>
        <w:t>Articolul D. 347-1</w:t>
      </w:r>
      <w:r>
        <w:t>.– În Teritoriile australe și antarctice franceze se aplică dispozițiile prezentei cărți menționate în coloana din stânga a tabelului de mai jos, în formularea lor indicată în coloana din dreapta a tabelului menționat:</w:t>
      </w:r>
    </w:p>
    <w:p w:rsidR="00142531" w:rsidRPr="00933EA2" w:rsidRDefault="00142531" w:rsidP="00933EA2">
      <w:pPr>
        <w:spacing w:before="120" w:after="120"/>
      </w:pPr>
      <w:r>
        <w:t>”</w:t>
      </w:r>
    </w:p>
    <w:tbl>
      <w:tblPr>
        <w:tblW w:w="0" w:type="auto"/>
        <w:tblInd w:w="-15" w:type="dxa"/>
        <w:tblLayout w:type="fixed"/>
        <w:tblLook w:val="0000" w:firstRow="0" w:lastRow="0" w:firstColumn="0" w:lastColumn="0" w:noHBand="0" w:noVBand="0"/>
      </w:tblPr>
      <w:tblGrid>
        <w:gridCol w:w="4747"/>
        <w:gridCol w:w="4777"/>
      </w:tblGrid>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center"/>
            </w:pPr>
            <w:r>
              <w:t>DISPOZIȚII APLICABILE</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center"/>
            </w:pPr>
            <w:r>
              <w:t>ÎN FORMULAREA LOR</w:t>
            </w:r>
          </w:p>
        </w:tc>
      </w:tr>
      <w:tr w:rsidR="00142531" w:rsidRPr="00933EA2"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În titlul II</w:t>
            </w:r>
          </w:p>
        </w:tc>
      </w:tr>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both"/>
            </w:pPr>
            <w:r>
              <w:t>D. 320-1-D.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Care reiese din Decretul nr. XXX din XXX</w:t>
            </w:r>
          </w:p>
        </w:tc>
      </w:tr>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both"/>
            </w:pPr>
            <w:r>
              <w:t>D. 322-9-D.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Care reiese din Decretul nr. XXX din XXX</w:t>
            </w:r>
          </w:p>
        </w:tc>
      </w:tr>
    </w:tbl>
    <w:p w:rsidR="00142531" w:rsidRPr="00933EA2" w:rsidRDefault="00142531" w:rsidP="00933EA2">
      <w:pPr>
        <w:spacing w:after="200" w:line="276" w:lineRule="auto"/>
        <w:jc w:val="both"/>
        <w:rPr>
          <w:rFonts w:eastAsiaTheme="minorHAnsi"/>
          <w:b/>
          <w:lang w:eastAsia="en-US"/>
        </w:rPr>
      </w:pPr>
    </w:p>
    <w:p w:rsidR="00834E0B" w:rsidRPr="00933EA2" w:rsidRDefault="00142531" w:rsidP="00933EA2">
      <w:pPr>
        <w:keepNext/>
        <w:keepLines/>
        <w:spacing w:after="200" w:line="276" w:lineRule="auto"/>
        <w:jc w:val="center"/>
        <w:rPr>
          <w:rFonts w:eastAsiaTheme="minorHAnsi"/>
          <w:b/>
        </w:rPr>
      </w:pPr>
      <w:r>
        <w:rPr>
          <w:b/>
        </w:rPr>
        <w:t>Titlul XI:DISPOZIȚII TRANZITORII ȘI FINALE</w:t>
      </w:r>
    </w:p>
    <w:p w:rsidR="00834E0B" w:rsidRDefault="00C342AB" w:rsidP="00933EA2">
      <w:pPr>
        <w:pStyle w:val="BodyText"/>
        <w:keepNext/>
        <w:keepLines/>
        <w:jc w:val="center"/>
        <w:rPr>
          <w:b/>
        </w:rPr>
      </w:pPr>
      <w:r>
        <w:rPr>
          <w:b/>
        </w:rPr>
        <w:t>Articolul 51</w:t>
      </w:r>
    </w:p>
    <w:p w:rsidR="00933EA2" w:rsidRPr="00933EA2" w:rsidRDefault="00933EA2" w:rsidP="00933EA2">
      <w:pPr>
        <w:keepNext/>
        <w:keepLines/>
        <w:rPr>
          <w:b/>
        </w:rPr>
      </w:pPr>
    </w:p>
    <w:p w:rsidR="00834E0B" w:rsidRPr="00933EA2" w:rsidRDefault="00834E0B" w:rsidP="00933EA2">
      <w:pPr>
        <w:spacing w:after="200" w:line="276" w:lineRule="auto"/>
        <w:jc w:val="both"/>
        <w:rPr>
          <w:rFonts w:eastAsiaTheme="minorHAnsi"/>
        </w:rPr>
      </w:pPr>
      <w:r>
        <w:t>Se abrogă:</w:t>
      </w:r>
    </w:p>
    <w:p w:rsidR="00834E0B" w:rsidRPr="00933EA2" w:rsidRDefault="00834E0B" w:rsidP="00933EA2">
      <w:pPr>
        <w:spacing w:after="200" w:line="276" w:lineRule="auto"/>
        <w:jc w:val="both"/>
        <w:rPr>
          <w:rFonts w:eastAsiaTheme="minorHAnsi"/>
        </w:rPr>
      </w:pPr>
      <w:r>
        <w:t>- Decretul nr. 605/2010 din 4 iunie 2010 privind procentul maxim din sumele plătite în medie jucătorilor de către operatorii autorizați de pariuri hipice și de pariuri sportive online;</w:t>
      </w:r>
    </w:p>
    <w:p w:rsidR="00834E0B" w:rsidRPr="00933EA2" w:rsidRDefault="00834E0B" w:rsidP="00933EA2">
      <w:pPr>
        <w:spacing w:after="200" w:line="276" w:lineRule="auto"/>
        <w:jc w:val="both"/>
        <w:rPr>
          <w:rFonts w:eastAsiaTheme="minorHAnsi"/>
        </w:rPr>
      </w:pPr>
      <w:r>
        <w:t>- Decretul nr. 614/2010 din 7 iunie 2010 privind condițiile de comercializare a drepturilor referitoare la organizarea pariurilor pentru un eveniment sau competiție sportivă;</w:t>
      </w:r>
    </w:p>
    <w:p w:rsidR="00834E0B" w:rsidRPr="00933EA2" w:rsidRDefault="00834E0B" w:rsidP="00933EA2">
      <w:pPr>
        <w:spacing w:after="200" w:line="276" w:lineRule="auto"/>
        <w:jc w:val="both"/>
        <w:rPr>
          <w:rFonts w:eastAsiaTheme="minorHAnsi"/>
        </w:rPr>
      </w:pPr>
      <w:r>
        <w:t>- Decretul nr. 483/2010 din 12 mai 2010 privind competițiile sportive și tipurile de rezultate sportive definite de Oficiul de Reglementare a Jocurilor Online.</w:t>
      </w:r>
    </w:p>
    <w:p w:rsidR="004A5445" w:rsidRPr="00933EA2" w:rsidRDefault="004A5445" w:rsidP="00933EA2">
      <w:pPr>
        <w:pStyle w:val="BodyText"/>
      </w:pPr>
    </w:p>
    <w:p w:rsidR="00045126" w:rsidRPr="00933EA2" w:rsidRDefault="004A5445" w:rsidP="00933EA2">
      <w:pPr>
        <w:pStyle w:val="BodyText"/>
        <w:keepNext/>
        <w:keepLines/>
        <w:jc w:val="center"/>
        <w:rPr>
          <w:b/>
        </w:rPr>
      </w:pPr>
      <w:r>
        <w:rPr>
          <w:b/>
        </w:rPr>
        <w:lastRenderedPageBreak/>
        <w:t>Articolul 52</w:t>
      </w:r>
    </w:p>
    <w:p w:rsidR="004A5445" w:rsidRPr="00933EA2" w:rsidRDefault="004A5445" w:rsidP="00933EA2">
      <w:pPr>
        <w:keepNext/>
        <w:keepLines/>
        <w:rPr>
          <w:b/>
        </w:rPr>
      </w:pPr>
    </w:p>
    <w:p w:rsidR="00F77C81" w:rsidRPr="00933EA2" w:rsidRDefault="00F77C81" w:rsidP="00933EA2">
      <w:pPr>
        <w:spacing w:after="200" w:line="276" w:lineRule="auto"/>
        <w:jc w:val="both"/>
        <w:rPr>
          <w:rFonts w:eastAsiaTheme="minorHAnsi"/>
        </w:rPr>
      </w:pPr>
      <w:r>
        <w:t>Prezentul decret intră în vigoare la 15 martie 2020, cu excepția articolelor 45 și 46 care intră în vigoare de la data primei reuniuni a colegiului Oficiului Național pentru Jocuri de Noroc și a articolelor D. 320-10 și D. 320-12 din Codul securității naționale, în formularea lor care reiese din prezentul decret, care intră în vigoare la 1 aprilie 2020.</w:t>
      </w:r>
    </w:p>
    <w:p w:rsidR="00F77C81" w:rsidRDefault="00C342AB" w:rsidP="00933EA2">
      <w:pPr>
        <w:pStyle w:val="BodyText"/>
        <w:keepNext/>
        <w:keepLines/>
        <w:jc w:val="center"/>
        <w:rPr>
          <w:b/>
        </w:rPr>
      </w:pPr>
      <w:r>
        <w:rPr>
          <w:b/>
        </w:rPr>
        <w:t>Articolul 53</w:t>
      </w:r>
    </w:p>
    <w:p w:rsidR="00933EA2" w:rsidRPr="00933EA2" w:rsidRDefault="00933EA2" w:rsidP="00933EA2">
      <w:pPr>
        <w:keepNext/>
        <w:keepLines/>
        <w:rPr>
          <w:b/>
        </w:rPr>
      </w:pPr>
    </w:p>
    <w:p w:rsidR="00045126" w:rsidRPr="00933EA2" w:rsidRDefault="00E47B2C" w:rsidP="00933EA2">
      <w:pPr>
        <w:spacing w:after="200" w:line="276" w:lineRule="auto"/>
        <w:jc w:val="both"/>
        <w:rPr>
          <w:rFonts w:eastAsiaTheme="minorHAnsi"/>
        </w:rPr>
      </w:pPr>
      <w:r>
        <w:t xml:space="preserve">Ministrul solidarității și sănătății, ministrul economiei și finanțelor și ministrul acțiunii și conturilor publice, ministrul sportului sunt responsabili, fiecare în sfera sa de competență, cu punerea în aplicare a prezentului decret care va fi publicat în </w:t>
      </w:r>
      <w:r>
        <w:rPr>
          <w:i/>
          <w:iCs/>
        </w:rPr>
        <w:t>Jurnalul Oficial</w:t>
      </w:r>
      <w:r>
        <w:t xml:space="preserve"> al Republicii Franceze.</w:t>
      </w:r>
    </w:p>
    <w:p w:rsidR="00045126" w:rsidRPr="00933EA2" w:rsidRDefault="00045126" w:rsidP="00933EA2">
      <w:pPr>
        <w:jc w:val="both"/>
      </w:pPr>
    </w:p>
    <w:p w:rsidR="00045126" w:rsidRPr="00933EA2" w:rsidRDefault="00045126" w:rsidP="00933EA2">
      <w:pPr>
        <w:pStyle w:val="SNDate"/>
      </w:pPr>
      <w:r>
        <w:t>Elaborat la .</w:t>
      </w:r>
    </w:p>
    <w:p w:rsidR="00045126" w:rsidRPr="00933EA2" w:rsidRDefault="00045126" w:rsidP="00933EA2">
      <w:pPr>
        <w:pStyle w:val="SNContreseing"/>
      </w:pPr>
      <w:r>
        <w:t>De către prim-ministru:</w:t>
      </w:r>
    </w:p>
    <w:p w:rsidR="002639F9" w:rsidRPr="00933EA2" w:rsidRDefault="002639F9" w:rsidP="00933EA2">
      <w:pPr>
        <w:pStyle w:val="SNSignatureGauche"/>
      </w:pPr>
    </w:p>
    <w:p w:rsidR="002639F9" w:rsidRPr="00933EA2" w:rsidRDefault="002639F9" w:rsidP="00933EA2">
      <w:pPr>
        <w:pStyle w:val="SNSignatureGauche"/>
      </w:pPr>
      <w:r>
        <w:t>Ministrul Solidarității și Sănătății,</w:t>
      </w:r>
    </w:p>
    <w:p w:rsidR="002639F9" w:rsidRPr="00933EA2" w:rsidRDefault="002639F9" w:rsidP="00933EA2">
      <w:pPr>
        <w:pStyle w:val="SNSignatureGauche"/>
      </w:pPr>
      <w:r>
        <w:t>Ministrul Economiei și Finanțelor,</w:t>
      </w:r>
    </w:p>
    <w:p w:rsidR="0084714D" w:rsidRPr="00933EA2" w:rsidRDefault="00045126" w:rsidP="00933EA2">
      <w:pPr>
        <w:pStyle w:val="SNSignatureGauche"/>
      </w:pPr>
      <w:r>
        <w:lastRenderedPageBreak/>
        <w:t>Ministrul Acțiunii și Conturilor Publice,</w:t>
      </w:r>
    </w:p>
    <w:p w:rsidR="002639F9" w:rsidRPr="00933EA2" w:rsidRDefault="002639F9" w:rsidP="00933EA2">
      <w:r>
        <w:tab/>
        <w:t>Ministrul Afacerilor Interne,</w:t>
      </w:r>
    </w:p>
    <w:p w:rsidR="0084714D" w:rsidRPr="00933EA2" w:rsidRDefault="0084714D" w:rsidP="00933EA2">
      <w:r>
        <w:tab/>
      </w:r>
    </w:p>
    <w:p w:rsidR="0084714D" w:rsidRPr="00933EA2" w:rsidRDefault="0084714D" w:rsidP="00933EA2"/>
    <w:p w:rsidR="0084714D" w:rsidRPr="00933EA2" w:rsidRDefault="0084714D" w:rsidP="00933EA2">
      <w:r>
        <w:tab/>
      </w:r>
    </w:p>
    <w:p w:rsidR="0084714D" w:rsidRPr="00933EA2" w:rsidRDefault="0084714D" w:rsidP="00933EA2"/>
    <w:p w:rsidR="0084714D" w:rsidRPr="00933EA2" w:rsidRDefault="0084714D" w:rsidP="00933EA2"/>
    <w:p w:rsidR="0084714D" w:rsidRPr="00933EA2" w:rsidRDefault="0084714D" w:rsidP="00933EA2">
      <w:r>
        <w:tab/>
      </w:r>
    </w:p>
    <w:p w:rsidR="0084714D" w:rsidRPr="00933EA2" w:rsidRDefault="0084714D" w:rsidP="00933EA2"/>
    <w:p w:rsidR="0084714D" w:rsidRPr="00933EA2" w:rsidRDefault="0084714D" w:rsidP="00933EA2"/>
    <w:p w:rsidR="0084714D" w:rsidRPr="00933EA2" w:rsidRDefault="0084714D" w:rsidP="00933EA2"/>
    <w:p w:rsidR="0084714D" w:rsidRPr="00933EA2" w:rsidRDefault="0084714D" w:rsidP="00933EA2">
      <w:r>
        <w:tab/>
        <w:t>Ministrul Sportului,</w:t>
      </w:r>
    </w:p>
    <w:p w:rsidR="00045126" w:rsidRPr="00933EA2" w:rsidRDefault="00045126" w:rsidP="00933EA2">
      <w:pPr>
        <w:pStyle w:val="SNSignatureprnomnomDroite"/>
      </w:pPr>
    </w:p>
    <w:p w:rsidR="00FA6DCF" w:rsidRPr="00933EA2" w:rsidRDefault="00FA6DCF" w:rsidP="00933EA2"/>
    <w:sectPr w:rsidR="00FA6DCF" w:rsidRPr="00933EA2" w:rsidSect="00746D3A">
      <w:pgSz w:w="11906" w:h="16838"/>
      <w:pgMar w:top="1134"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3AB"/>
    <w:multiLevelType w:val="hybridMultilevel"/>
    <w:tmpl w:val="9D22A510"/>
    <w:lvl w:ilvl="0" w:tplc="7352B29C">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105388"/>
    <w:multiLevelType w:val="hybridMultilevel"/>
    <w:tmpl w:val="51688AC2"/>
    <w:lvl w:ilvl="0" w:tplc="A358F4A0">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0705FC"/>
    <w:multiLevelType w:val="hybridMultilevel"/>
    <w:tmpl w:val="62164F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6DE4FB9"/>
    <w:multiLevelType w:val="hybridMultilevel"/>
    <w:tmpl w:val="5B147600"/>
    <w:lvl w:ilvl="0" w:tplc="FB9E8B52">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compat>
    <w:compatSetting w:name="compatibilityMode" w:uri="http://schemas.microsoft.com/office/word" w:val="12"/>
  </w:compat>
  <w:rsids>
    <w:rsidRoot w:val="00045126"/>
    <w:rsid w:val="00045126"/>
    <w:rsid w:val="000546D5"/>
    <w:rsid w:val="000B249A"/>
    <w:rsid w:val="00116832"/>
    <w:rsid w:val="00142531"/>
    <w:rsid w:val="001441BB"/>
    <w:rsid w:val="001A3887"/>
    <w:rsid w:val="001A748C"/>
    <w:rsid w:val="001C08C5"/>
    <w:rsid w:val="001D2F2A"/>
    <w:rsid w:val="001D5634"/>
    <w:rsid w:val="00236A47"/>
    <w:rsid w:val="00240CB2"/>
    <w:rsid w:val="002639F9"/>
    <w:rsid w:val="00274506"/>
    <w:rsid w:val="0030487E"/>
    <w:rsid w:val="00342260"/>
    <w:rsid w:val="00361A86"/>
    <w:rsid w:val="003640D7"/>
    <w:rsid w:val="003A46B9"/>
    <w:rsid w:val="003A7FAA"/>
    <w:rsid w:val="003E77DA"/>
    <w:rsid w:val="00452EF3"/>
    <w:rsid w:val="004A5445"/>
    <w:rsid w:val="004A5492"/>
    <w:rsid w:val="00513BA8"/>
    <w:rsid w:val="0053784D"/>
    <w:rsid w:val="005460E9"/>
    <w:rsid w:val="00591BC1"/>
    <w:rsid w:val="00605C60"/>
    <w:rsid w:val="006E57E4"/>
    <w:rsid w:val="00746D3A"/>
    <w:rsid w:val="00757561"/>
    <w:rsid w:val="00794988"/>
    <w:rsid w:val="007A780D"/>
    <w:rsid w:val="007C0916"/>
    <w:rsid w:val="007E61D1"/>
    <w:rsid w:val="00805098"/>
    <w:rsid w:val="00813F86"/>
    <w:rsid w:val="008332C7"/>
    <w:rsid w:val="00834E0B"/>
    <w:rsid w:val="0084714D"/>
    <w:rsid w:val="00870029"/>
    <w:rsid w:val="008701C9"/>
    <w:rsid w:val="0087707C"/>
    <w:rsid w:val="00897E35"/>
    <w:rsid w:val="008B0867"/>
    <w:rsid w:val="0091270F"/>
    <w:rsid w:val="00933EA2"/>
    <w:rsid w:val="0096792E"/>
    <w:rsid w:val="00B148A7"/>
    <w:rsid w:val="00B267A3"/>
    <w:rsid w:val="00B705CF"/>
    <w:rsid w:val="00B84182"/>
    <w:rsid w:val="00B8530E"/>
    <w:rsid w:val="00B86A8C"/>
    <w:rsid w:val="00BC35EB"/>
    <w:rsid w:val="00BD5FA1"/>
    <w:rsid w:val="00C342AB"/>
    <w:rsid w:val="00CD4953"/>
    <w:rsid w:val="00CE7325"/>
    <w:rsid w:val="00D13FBA"/>
    <w:rsid w:val="00D546FF"/>
    <w:rsid w:val="00D84837"/>
    <w:rsid w:val="00DC5B05"/>
    <w:rsid w:val="00DD75EA"/>
    <w:rsid w:val="00E47B2C"/>
    <w:rsid w:val="00E60B45"/>
    <w:rsid w:val="00E83532"/>
    <w:rsid w:val="00E93956"/>
    <w:rsid w:val="00EB04CB"/>
    <w:rsid w:val="00F25772"/>
    <w:rsid w:val="00F52FE4"/>
    <w:rsid w:val="00F77C81"/>
    <w:rsid w:val="00FA6DCF"/>
    <w:rsid w:val="00FE26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DA4445-AFD3-4F26-A40C-8F1986E9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126"/>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REPUBLIQUE">
    <w:name w:val="SNREPUBLIQUE"/>
    <w:basedOn w:val="Normal"/>
    <w:rsid w:val="00045126"/>
    <w:pPr>
      <w:jc w:val="center"/>
    </w:pPr>
    <w:rPr>
      <w:b/>
      <w:bCs/>
      <w:szCs w:val="20"/>
    </w:rPr>
  </w:style>
  <w:style w:type="paragraph" w:customStyle="1" w:styleId="SNNature">
    <w:name w:val="SNNature"/>
    <w:basedOn w:val="Normal"/>
    <w:next w:val="Normal"/>
    <w:autoRedefine/>
    <w:rsid w:val="00045126"/>
    <w:pPr>
      <w:widowControl w:val="0"/>
      <w:suppressLineNumbers/>
      <w:suppressAutoHyphens/>
      <w:spacing w:before="720" w:after="120"/>
      <w:jc w:val="center"/>
    </w:pPr>
    <w:rPr>
      <w:rFonts w:eastAsia="Lucida Sans Unicode"/>
      <w:b/>
      <w:bCs/>
    </w:rPr>
  </w:style>
  <w:style w:type="paragraph" w:customStyle="1" w:styleId="SNNORCentr">
    <w:name w:val="SNNOR+Centré"/>
    <w:next w:val="SNAutorit"/>
    <w:rsid w:val="00045126"/>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045126"/>
    <w:pPr>
      <w:spacing w:before="720" w:after="240"/>
      <w:ind w:firstLine="720"/>
    </w:pPr>
    <w:rPr>
      <w:b/>
    </w:rPr>
  </w:style>
  <w:style w:type="paragraph" w:customStyle="1" w:styleId="SNSignatureprnomnomDroite">
    <w:name w:val="SNSignature prénom+nom Droite"/>
    <w:basedOn w:val="Normal"/>
    <w:next w:val="SNSignatureGauche"/>
    <w:rsid w:val="00045126"/>
    <w:pPr>
      <w:spacing w:before="120" w:after="120"/>
      <w:ind w:left="5041"/>
      <w:jc w:val="right"/>
    </w:pPr>
    <w:rPr>
      <w:color w:val="000000"/>
    </w:rPr>
  </w:style>
  <w:style w:type="paragraph" w:customStyle="1" w:styleId="SNSignatureGauche">
    <w:name w:val="SNSignatureGauche"/>
    <w:basedOn w:val="Normal"/>
    <w:next w:val="Normal"/>
    <w:autoRedefine/>
    <w:rsid w:val="002639F9"/>
    <w:pPr>
      <w:spacing w:before="120" w:after="1680"/>
      <w:ind w:left="720" w:right="4494"/>
      <w:jc w:val="both"/>
    </w:pPr>
  </w:style>
  <w:style w:type="paragraph" w:customStyle="1" w:styleId="SNTimbre">
    <w:name w:val="SNTimbre"/>
    <w:basedOn w:val="Normal"/>
    <w:link w:val="SNTimbreCar"/>
    <w:autoRedefine/>
    <w:rsid w:val="00045126"/>
    <w:pPr>
      <w:widowControl w:val="0"/>
      <w:suppressAutoHyphens/>
      <w:snapToGrid w:val="0"/>
      <w:spacing w:before="120"/>
      <w:jc w:val="center"/>
    </w:pPr>
    <w:rPr>
      <w:rFonts w:eastAsia="Lucida Sans Unicode"/>
    </w:rPr>
  </w:style>
  <w:style w:type="character" w:customStyle="1" w:styleId="SNTimbreCar">
    <w:name w:val="SNTimbre Car"/>
    <w:basedOn w:val="DefaultParagraphFont"/>
    <w:link w:val="SNTimbre"/>
    <w:rsid w:val="00045126"/>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D13FBA"/>
    <w:pPr>
      <w:spacing w:before="240" w:after="120"/>
      <w:ind w:firstLine="720"/>
      <w:jc w:val="both"/>
    </w:pPr>
  </w:style>
  <w:style w:type="paragraph" w:customStyle="1" w:styleId="SNDate">
    <w:name w:val="SNDate"/>
    <w:basedOn w:val="Normal"/>
    <w:next w:val="SNContreseing"/>
    <w:link w:val="SNDateCar"/>
    <w:autoRedefine/>
    <w:rsid w:val="00045126"/>
    <w:pPr>
      <w:spacing w:before="480" w:after="2760"/>
      <w:ind w:firstLine="720"/>
    </w:pPr>
  </w:style>
  <w:style w:type="paragraph" w:customStyle="1" w:styleId="SNContreseing">
    <w:name w:val="SNContreseing"/>
    <w:basedOn w:val="Normal"/>
    <w:next w:val="SNSignatureGauche"/>
    <w:autoRedefine/>
    <w:rsid w:val="00045126"/>
    <w:pPr>
      <w:spacing w:before="480"/>
      <w:ind w:firstLine="720"/>
    </w:pPr>
  </w:style>
  <w:style w:type="character" w:customStyle="1" w:styleId="SNDateCar">
    <w:name w:val="SNDate Car"/>
    <w:basedOn w:val="DefaultParagraphFont"/>
    <w:link w:val="SNDate"/>
    <w:rsid w:val="00045126"/>
    <w:rPr>
      <w:rFonts w:ascii="Times New Roman" w:eastAsia="Times New Roman" w:hAnsi="Times New Roman" w:cs="Times New Roman"/>
      <w:sz w:val="24"/>
      <w:szCs w:val="24"/>
      <w:lang w:eastAsia="fr-FR"/>
    </w:rPr>
  </w:style>
  <w:style w:type="paragraph" w:customStyle="1" w:styleId="SNActe">
    <w:name w:val="SNActe"/>
    <w:basedOn w:val="Normal"/>
    <w:autoRedefine/>
    <w:rsid w:val="00045126"/>
    <w:pPr>
      <w:spacing w:before="480" w:after="360"/>
      <w:jc w:val="center"/>
    </w:pPr>
    <w:rPr>
      <w:b/>
    </w:rPr>
  </w:style>
  <w:style w:type="paragraph" w:customStyle="1" w:styleId="SNArticle">
    <w:name w:val="SNArticle"/>
    <w:basedOn w:val="Normal"/>
    <w:next w:val="BodyText"/>
    <w:link w:val="SNArticleCar"/>
    <w:autoRedefine/>
    <w:rsid w:val="00045126"/>
    <w:pPr>
      <w:spacing w:before="240" w:after="240"/>
      <w:jc w:val="center"/>
    </w:pPr>
    <w:rPr>
      <w:b/>
    </w:rPr>
  </w:style>
  <w:style w:type="character" w:customStyle="1" w:styleId="SNArticleCar">
    <w:name w:val="SNArticle Car"/>
    <w:basedOn w:val="DefaultParagraphFont"/>
    <w:link w:val="SNArticle"/>
    <w:rsid w:val="00045126"/>
    <w:rPr>
      <w:rFonts w:ascii="Times New Roman" w:eastAsia="Times New Roman" w:hAnsi="Times New Roman" w:cs="Times New Roman"/>
      <w:b/>
      <w:sz w:val="24"/>
      <w:szCs w:val="24"/>
      <w:lang w:eastAsia="fr-FR"/>
    </w:rPr>
  </w:style>
  <w:style w:type="paragraph" w:styleId="ListParagraph">
    <w:name w:val="List Paragraph"/>
    <w:basedOn w:val="Normal"/>
    <w:uiPriority w:val="34"/>
    <w:qFormat/>
    <w:rsid w:val="00045126"/>
    <w:pPr>
      <w:ind w:left="720"/>
      <w:contextualSpacing/>
    </w:pPr>
  </w:style>
  <w:style w:type="paragraph" w:styleId="BodyText">
    <w:name w:val="Body Text"/>
    <w:basedOn w:val="Normal"/>
    <w:link w:val="BodyTextChar"/>
    <w:uiPriority w:val="99"/>
    <w:semiHidden/>
    <w:unhideWhenUsed/>
    <w:rsid w:val="00045126"/>
    <w:pPr>
      <w:spacing w:after="120"/>
    </w:pPr>
  </w:style>
  <w:style w:type="character" w:customStyle="1" w:styleId="BodyTextChar">
    <w:name w:val="Body Text Char"/>
    <w:basedOn w:val="DefaultParagraphFont"/>
    <w:link w:val="BodyText"/>
    <w:uiPriority w:val="99"/>
    <w:semiHidden/>
    <w:rsid w:val="00045126"/>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rsid w:val="007E61D1"/>
    <w:rPr>
      <w:sz w:val="16"/>
      <w:szCs w:val="16"/>
    </w:rPr>
  </w:style>
  <w:style w:type="paragraph" w:styleId="CommentText">
    <w:name w:val="annotation text"/>
    <w:basedOn w:val="Normal"/>
    <w:link w:val="CommentTextChar"/>
    <w:uiPriority w:val="99"/>
    <w:semiHidden/>
    <w:unhideWhenUsed/>
    <w:rsid w:val="007E61D1"/>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7E61D1"/>
    <w:rPr>
      <w:sz w:val="20"/>
      <w:szCs w:val="20"/>
    </w:rPr>
  </w:style>
  <w:style w:type="paragraph" w:styleId="BalloonText">
    <w:name w:val="Balloon Text"/>
    <w:basedOn w:val="Normal"/>
    <w:link w:val="BalloonTextChar"/>
    <w:uiPriority w:val="99"/>
    <w:semiHidden/>
    <w:unhideWhenUsed/>
    <w:rsid w:val="007E6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1D1"/>
    <w:rPr>
      <w:rFonts w:ascii="Segoe UI" w:eastAsia="Times New Roman" w:hAnsi="Segoe UI" w:cs="Segoe UI"/>
      <w:sz w:val="18"/>
      <w:szCs w:val="18"/>
      <w:lang w:eastAsia="fr-FR"/>
    </w:rPr>
  </w:style>
  <w:style w:type="character" w:styleId="Hyperlink">
    <w:name w:val="Hyperlink"/>
    <w:basedOn w:val="DefaultParagraphFont"/>
    <w:uiPriority w:val="99"/>
    <w:unhideWhenUsed/>
    <w:rsid w:val="0084714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36A47"/>
    <w:pPr>
      <w:spacing w:after="0"/>
    </w:pPr>
    <w:rPr>
      <w:rFonts w:ascii="Times New Roman" w:eastAsia="Times New Roman" w:hAnsi="Times New Roman" w:cs="Times New Roman"/>
      <w:b/>
      <w:bCs/>
      <w:lang w:eastAsia="fr-FR"/>
    </w:rPr>
  </w:style>
  <w:style w:type="character" w:customStyle="1" w:styleId="CommentSubjectChar">
    <w:name w:val="Comment Subject Char"/>
    <w:basedOn w:val="CommentTextChar"/>
    <w:link w:val="CommentSubject"/>
    <w:uiPriority w:val="99"/>
    <w:semiHidden/>
    <w:rsid w:val="00236A47"/>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Article.do?cidTexte=JORFTEXT000022204510&amp;idArticle=JORFARTI000022204556&amp;categorieLien=cid" TargetMode="External"/><Relationship Id="rId3" Type="http://schemas.openxmlformats.org/officeDocument/2006/relationships/settings" Target="settings.xml"/><Relationship Id="rId7" Type="http://schemas.openxmlformats.org/officeDocument/2006/relationships/hyperlink" Target="http://www.legifrance.gouv.fr/jopdf/common/jo_pdf.jsp?numJO=0&amp;dateJO=20151021&amp;numTexte=6&amp;pageDebut=19518&amp;pageFin=19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TexteArticle.do?cidTexte=JORFTEXT000022204510&amp;idArticle=JORFARTI000022204556&amp;categorieLien=cid" TargetMode="External"/><Relationship Id="rId5" Type="http://schemas.openxmlformats.org/officeDocument/2006/relationships/hyperlink" Target="http://www.legifrance.gouv.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23</Pages>
  <Words>8255</Words>
  <Characters>47060</Characters>
  <Application>Microsoft Office Word</Application>
  <DocSecurity>0</DocSecurity>
  <Lines>392</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55205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LAPERDRIX Erwann</dc:creator>
  <cp:keywords/>
  <dc:description/>
  <cp:lastModifiedBy>Liu, Lei</cp:lastModifiedBy>
  <cp:revision>5</cp:revision>
  <cp:lastPrinted>2019-12-10T18:02:00Z</cp:lastPrinted>
  <dcterms:created xsi:type="dcterms:W3CDTF">2019-12-11T10:40:00Z</dcterms:created>
  <dcterms:modified xsi:type="dcterms:W3CDTF">2019-12-30T06:27:00Z</dcterms:modified>
</cp:coreProperties>
</file>