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031" w:rsidRPr="00044EE4" w:rsidRDefault="00300031" w:rsidP="00300031">
      <w:pPr>
        <w:jc w:val="center"/>
        <w:rPr>
          <w:rFonts w:ascii="Courier New" w:hAnsi="Courier New"/>
          <w:sz w:val="20"/>
          <w:szCs w:val="20"/>
        </w:rPr>
      </w:pPr>
      <w:r>
        <w:rPr>
          <w:rFonts w:ascii="Courier New" w:hAnsi="Courier New"/>
          <w:sz w:val="20"/>
        </w:rPr>
        <w:t>1. ------IND- 2018 0098 PL- FR- ------ 20180327 --- --- IMPACT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7" w:type="dxa"/>
        </w:tblCellMar>
        <w:tblLook w:val="00A0" w:firstRow="1" w:lastRow="0" w:firstColumn="1" w:lastColumn="0" w:noHBand="0" w:noVBand="0"/>
      </w:tblPr>
      <w:tblGrid>
        <w:gridCol w:w="1633"/>
        <w:gridCol w:w="771"/>
        <w:gridCol w:w="42"/>
        <w:gridCol w:w="435"/>
        <w:gridCol w:w="104"/>
        <w:gridCol w:w="589"/>
        <w:gridCol w:w="213"/>
        <w:gridCol w:w="372"/>
        <w:gridCol w:w="152"/>
        <w:gridCol w:w="670"/>
        <w:gridCol w:w="61"/>
        <w:gridCol w:w="203"/>
        <w:gridCol w:w="156"/>
        <w:gridCol w:w="372"/>
        <w:gridCol w:w="30"/>
        <w:gridCol w:w="556"/>
        <w:gridCol w:w="266"/>
        <w:gridCol w:w="262"/>
        <w:gridCol w:w="57"/>
        <w:gridCol w:w="25"/>
        <w:gridCol w:w="477"/>
        <w:gridCol w:w="76"/>
        <w:gridCol w:w="68"/>
        <w:gridCol w:w="663"/>
        <w:gridCol w:w="15"/>
        <w:gridCol w:w="716"/>
        <w:gridCol w:w="106"/>
        <w:gridCol w:w="562"/>
        <w:gridCol w:w="910"/>
      </w:tblGrid>
      <w:tr w:rsidR="00390AE3" w:rsidRPr="00A808AA" w:rsidTr="005E3488">
        <w:trPr>
          <w:jc w:val="center"/>
        </w:trPr>
        <w:tc>
          <w:tcPr>
            <w:tcW w:w="3299" w:type="pct"/>
            <w:gridSpan w:val="20"/>
          </w:tcPr>
          <w:p w:rsidR="00390AE3" w:rsidRPr="00A808AA" w:rsidRDefault="00390AE3" w:rsidP="00A808AA">
            <w:pPr>
              <w:spacing w:before="120" w:after="0" w:line="240" w:lineRule="auto"/>
              <w:ind w:left="-14"/>
              <w:rPr>
                <w:rFonts w:ascii="Times New Roman" w:hAnsi="Times New Roman" w:cs="Times New Roman"/>
                <w:color w:val="000000"/>
              </w:rPr>
            </w:pPr>
            <w:r>
              <w:rPr>
                <w:rFonts w:ascii="Times New Roman" w:hAnsi="Times New Roman"/>
                <w:b/>
                <w:color w:val="000000"/>
              </w:rPr>
              <w:t>Nom du projet</w:t>
            </w:r>
          </w:p>
          <w:p w:rsidR="00390AE3" w:rsidRPr="00A808AA" w:rsidRDefault="00390AE3" w:rsidP="00A808AA">
            <w:pPr>
              <w:spacing w:after="0" w:line="240" w:lineRule="auto"/>
              <w:ind w:left="-14"/>
              <w:rPr>
                <w:rFonts w:ascii="Times New Roman" w:hAnsi="Times New Roman" w:cs="Times New Roman"/>
                <w:color w:val="000000"/>
              </w:rPr>
            </w:pPr>
            <w:r>
              <w:rPr>
                <w:rFonts w:ascii="Times New Roman" w:hAnsi="Times New Roman"/>
                <w:color w:val="000000"/>
              </w:rPr>
              <w:t>Loi portant modification de la loi sur le système de surveillance et de contrôle de la qualité des carburants et de la loi sur l’administration fiscale</w:t>
            </w:r>
          </w:p>
          <w:p w:rsidR="00390AE3" w:rsidRPr="00A808AA" w:rsidRDefault="00390AE3" w:rsidP="00A808AA">
            <w:pPr>
              <w:spacing w:before="120" w:after="0" w:line="240" w:lineRule="auto"/>
              <w:ind w:left="-14"/>
              <w:rPr>
                <w:rFonts w:ascii="Times New Roman" w:hAnsi="Times New Roman" w:cs="Times New Roman"/>
                <w:b/>
                <w:color w:val="000000"/>
              </w:rPr>
            </w:pPr>
            <w:r>
              <w:rPr>
                <w:rFonts w:ascii="Times New Roman" w:hAnsi="Times New Roman"/>
                <w:b/>
                <w:color w:val="000000"/>
              </w:rPr>
              <w:t>Ministère chargé du projet et ministères ayant collaboré au projet</w:t>
            </w:r>
          </w:p>
          <w:p w:rsidR="00390AE3" w:rsidRPr="00A808AA" w:rsidRDefault="00390AE3" w:rsidP="00A808AA">
            <w:pPr>
              <w:spacing w:after="0" w:line="240" w:lineRule="auto"/>
              <w:ind w:left="-14"/>
              <w:rPr>
                <w:rFonts w:ascii="Times New Roman" w:hAnsi="Times New Roman" w:cs="Times New Roman"/>
                <w:color w:val="000000"/>
              </w:rPr>
            </w:pPr>
            <w:r>
              <w:rPr>
                <w:rFonts w:ascii="Times New Roman" w:hAnsi="Times New Roman"/>
                <w:color w:val="000000"/>
              </w:rPr>
              <w:t>Ministère de l’énergie</w:t>
            </w:r>
          </w:p>
          <w:p w:rsidR="00390AE3" w:rsidRPr="000A3CCC" w:rsidRDefault="00390AE3" w:rsidP="00A808AA">
            <w:pPr>
              <w:spacing w:before="120" w:after="0" w:line="240" w:lineRule="auto"/>
              <w:ind w:left="-14"/>
              <w:rPr>
                <w:rFonts w:ascii="Times New Roman" w:hAnsi="Times New Roman" w:cs="Times New Roman"/>
                <w:b/>
              </w:rPr>
            </w:pPr>
            <w:r>
              <w:rPr>
                <w:rFonts w:ascii="Times New Roman" w:hAnsi="Times New Roman"/>
                <w:b/>
              </w:rPr>
              <w:t xml:space="preserve">Personne responsable du projet: ministre, secrétaire d’État ou sous-secrétaire d’État </w:t>
            </w:r>
          </w:p>
          <w:p w:rsidR="00390AE3" w:rsidRPr="00A808AA" w:rsidRDefault="00390AE3" w:rsidP="00A808AA">
            <w:pPr>
              <w:spacing w:after="0" w:line="240" w:lineRule="auto"/>
              <w:ind w:left="-14"/>
              <w:rPr>
                <w:rFonts w:ascii="Times New Roman" w:hAnsi="Times New Roman" w:cs="Times New Roman"/>
              </w:rPr>
            </w:pPr>
            <w:proofErr w:type="spellStart"/>
            <w:r>
              <w:rPr>
                <w:rFonts w:ascii="Times New Roman" w:hAnsi="Times New Roman"/>
              </w:rPr>
              <w:t>Grzegorz</w:t>
            </w:r>
            <w:proofErr w:type="spellEnd"/>
            <w:r>
              <w:rPr>
                <w:rFonts w:ascii="Times New Roman" w:hAnsi="Times New Roman"/>
              </w:rPr>
              <w:t xml:space="preserve"> </w:t>
            </w:r>
            <w:proofErr w:type="spellStart"/>
            <w:r>
              <w:rPr>
                <w:rFonts w:ascii="Times New Roman" w:hAnsi="Times New Roman"/>
              </w:rPr>
              <w:t>Tobiszowski</w:t>
            </w:r>
            <w:proofErr w:type="spellEnd"/>
            <w:r>
              <w:rPr>
                <w:rFonts w:ascii="Times New Roman" w:hAnsi="Times New Roman"/>
              </w:rPr>
              <w:t xml:space="preserve"> – Secrétaire d’État</w:t>
            </w:r>
          </w:p>
          <w:p w:rsidR="00390AE3" w:rsidRPr="00A808AA" w:rsidRDefault="00390AE3" w:rsidP="00A808AA">
            <w:pPr>
              <w:spacing w:before="120" w:after="0" w:line="240" w:lineRule="auto"/>
              <w:ind w:left="-14"/>
              <w:rPr>
                <w:rFonts w:ascii="Times New Roman" w:hAnsi="Times New Roman" w:cs="Times New Roman"/>
                <w:b/>
                <w:color w:val="000000"/>
              </w:rPr>
            </w:pPr>
            <w:r>
              <w:rPr>
                <w:rFonts w:ascii="Times New Roman" w:hAnsi="Times New Roman"/>
                <w:b/>
                <w:color w:val="000000"/>
              </w:rPr>
              <w:t>Coordonnées du superviseur du contenu du projet</w:t>
            </w:r>
          </w:p>
          <w:p w:rsidR="00390AE3" w:rsidRPr="00A808AA" w:rsidRDefault="00390AE3" w:rsidP="00A808AA">
            <w:pPr>
              <w:spacing w:after="0" w:line="240" w:lineRule="auto"/>
              <w:ind w:left="-14"/>
              <w:rPr>
                <w:rFonts w:ascii="Times New Roman" w:hAnsi="Times New Roman" w:cs="Times New Roman"/>
                <w:color w:val="000000"/>
              </w:rPr>
            </w:pPr>
            <w:proofErr w:type="spellStart"/>
            <w:r>
              <w:rPr>
                <w:rFonts w:ascii="Times New Roman" w:hAnsi="Times New Roman"/>
                <w:color w:val="000000"/>
              </w:rPr>
              <w:t>Jonasz</w:t>
            </w:r>
            <w:proofErr w:type="spellEnd"/>
            <w:r>
              <w:rPr>
                <w:rFonts w:ascii="Times New Roman" w:hAnsi="Times New Roman"/>
                <w:color w:val="000000"/>
              </w:rPr>
              <w:t xml:space="preserve"> </w:t>
            </w:r>
            <w:proofErr w:type="spellStart"/>
            <w:r>
              <w:rPr>
                <w:rFonts w:ascii="Times New Roman" w:hAnsi="Times New Roman"/>
                <w:color w:val="000000"/>
              </w:rPr>
              <w:t>Drabek</w:t>
            </w:r>
            <w:proofErr w:type="spellEnd"/>
            <w:r>
              <w:rPr>
                <w:rFonts w:ascii="Times New Roman" w:hAnsi="Times New Roman"/>
                <w:color w:val="000000"/>
              </w:rPr>
              <w:t>; tel. (22) 695 8303</w:t>
            </w:r>
          </w:p>
        </w:tc>
        <w:tc>
          <w:tcPr>
            <w:tcW w:w="1701" w:type="pct"/>
            <w:gridSpan w:val="9"/>
            <w:shd w:val="clear" w:color="auto" w:fill="FFFFFF"/>
          </w:tcPr>
          <w:p w:rsidR="001578DD" w:rsidRPr="00A808AA" w:rsidRDefault="00390AE3" w:rsidP="001578DD">
            <w:pPr>
              <w:spacing w:before="60" w:after="60" w:line="240" w:lineRule="auto"/>
              <w:rPr>
                <w:rFonts w:ascii="Times New Roman" w:hAnsi="Times New Roman" w:cs="Times New Roman"/>
                <w:b/>
              </w:rPr>
            </w:pPr>
            <w:r>
              <w:rPr>
                <w:rFonts w:ascii="Times New Roman" w:hAnsi="Times New Roman"/>
                <w:b/>
              </w:rPr>
              <w:t>Date de création</w:t>
            </w:r>
          </w:p>
          <w:p w:rsidR="00390AE3" w:rsidRPr="00A808AA" w:rsidRDefault="007B5871" w:rsidP="001578DD">
            <w:pPr>
              <w:spacing w:before="60" w:after="60" w:line="240" w:lineRule="auto"/>
              <w:rPr>
                <w:rFonts w:ascii="Times New Roman" w:hAnsi="Times New Roman" w:cs="Times New Roman"/>
                <w:b/>
              </w:rPr>
            </w:pPr>
            <w:r>
              <w:rPr>
                <w:rFonts w:ascii="Times New Roman" w:hAnsi="Times New Roman"/>
              </w:rPr>
              <w:t>27 février 2018</w:t>
            </w:r>
          </w:p>
          <w:p w:rsidR="00390AE3" w:rsidRPr="00A808AA" w:rsidRDefault="00390AE3" w:rsidP="001578DD">
            <w:pPr>
              <w:spacing w:before="60" w:after="60" w:line="240" w:lineRule="auto"/>
              <w:rPr>
                <w:rFonts w:ascii="Times New Roman" w:hAnsi="Times New Roman" w:cs="Times New Roman"/>
                <w:b/>
                <w:color w:val="000000"/>
              </w:rPr>
            </w:pPr>
          </w:p>
          <w:p w:rsidR="00390AE3" w:rsidRPr="00A808AA" w:rsidRDefault="00390AE3" w:rsidP="001578DD">
            <w:pPr>
              <w:spacing w:before="60" w:after="60" w:line="240" w:lineRule="auto"/>
              <w:rPr>
                <w:rFonts w:ascii="Times New Roman" w:hAnsi="Times New Roman" w:cs="Times New Roman"/>
                <w:b/>
                <w:color w:val="000000"/>
              </w:rPr>
            </w:pPr>
            <w:r>
              <w:rPr>
                <w:rFonts w:ascii="Times New Roman" w:hAnsi="Times New Roman"/>
                <w:b/>
                <w:color w:val="000000"/>
              </w:rPr>
              <w:t xml:space="preserve">Source: </w:t>
            </w:r>
          </w:p>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sans objet</w:t>
            </w:r>
          </w:p>
          <w:p w:rsidR="00390AE3" w:rsidRPr="00A808AA" w:rsidRDefault="00390AE3" w:rsidP="001578DD">
            <w:pPr>
              <w:spacing w:before="60" w:after="60" w:line="240" w:lineRule="auto"/>
              <w:rPr>
                <w:rFonts w:ascii="Times New Roman" w:hAnsi="Times New Roman" w:cs="Times New Roman"/>
                <w:b/>
                <w:color w:val="000000"/>
              </w:rPr>
            </w:pPr>
          </w:p>
          <w:p w:rsidR="00390AE3" w:rsidRPr="00A808AA" w:rsidRDefault="00390AE3" w:rsidP="001578DD">
            <w:pPr>
              <w:spacing w:before="60" w:after="60" w:line="240" w:lineRule="auto"/>
              <w:rPr>
                <w:rFonts w:ascii="Times New Roman" w:hAnsi="Times New Roman" w:cs="Times New Roman"/>
                <w:b/>
                <w:color w:val="000000"/>
              </w:rPr>
            </w:pPr>
            <w:r>
              <w:rPr>
                <w:rFonts w:ascii="Times New Roman" w:hAnsi="Times New Roman"/>
                <w:b/>
                <w:color w:val="000000"/>
              </w:rPr>
              <w:t xml:space="preserve">Numéro sur la liste de travaux </w:t>
            </w:r>
          </w:p>
          <w:p w:rsidR="00390AE3" w:rsidRPr="00A808AA" w:rsidRDefault="00017220" w:rsidP="00A808AA">
            <w:pPr>
              <w:spacing w:before="60" w:after="60" w:line="240" w:lineRule="auto"/>
              <w:rPr>
                <w:rFonts w:ascii="Times New Roman" w:hAnsi="Times New Roman" w:cs="Times New Roman"/>
                <w:color w:val="000000"/>
              </w:rPr>
            </w:pPr>
            <w:r>
              <w:rPr>
                <w:rFonts w:ascii="Times New Roman" w:hAnsi="Times New Roman"/>
                <w:b/>
                <w:color w:val="000000"/>
              </w:rPr>
              <w:t>UD 193</w:t>
            </w:r>
          </w:p>
        </w:tc>
      </w:tr>
      <w:tr w:rsidR="00390AE3" w:rsidRPr="00A808AA" w:rsidTr="005E3488">
        <w:trPr>
          <w:jc w:val="center"/>
        </w:trPr>
        <w:tc>
          <w:tcPr>
            <w:tcW w:w="5000" w:type="pct"/>
            <w:gridSpan w:val="29"/>
            <w:shd w:val="clear" w:color="auto" w:fill="99CCFF"/>
          </w:tcPr>
          <w:p w:rsidR="00390AE3" w:rsidRPr="00A808AA" w:rsidRDefault="00390AE3" w:rsidP="001578DD">
            <w:pPr>
              <w:spacing w:before="60" w:after="60" w:line="240" w:lineRule="auto"/>
              <w:ind w:left="57"/>
              <w:jc w:val="center"/>
              <w:rPr>
                <w:rFonts w:ascii="Times New Roman" w:hAnsi="Times New Roman" w:cs="Times New Roman"/>
                <w:b/>
                <w:color w:val="FFFFFF"/>
                <w:sz w:val="32"/>
                <w:szCs w:val="32"/>
              </w:rPr>
            </w:pPr>
            <w:r>
              <w:rPr>
                <w:rFonts w:ascii="Times New Roman" w:hAnsi="Times New Roman"/>
                <w:b/>
                <w:color w:val="FFFFFF"/>
                <w:sz w:val="32"/>
              </w:rPr>
              <w:t>ÉVALUATION D’IMPACT RÉGLEMENTAIRE</w:t>
            </w:r>
          </w:p>
        </w:tc>
      </w:tr>
      <w:tr w:rsidR="00390AE3" w:rsidRPr="00A808AA" w:rsidTr="005E3488">
        <w:trPr>
          <w:jc w:val="center"/>
        </w:trPr>
        <w:tc>
          <w:tcPr>
            <w:tcW w:w="5000" w:type="pct"/>
            <w:gridSpan w:val="29"/>
            <w:shd w:val="clear" w:color="auto" w:fill="99CCFF"/>
            <w:vAlign w:val="center"/>
          </w:tcPr>
          <w:p w:rsidR="00390AE3" w:rsidRPr="00A808AA"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Pr>
                <w:rFonts w:ascii="Times New Roman" w:hAnsi="Times New Roman"/>
                <w:b/>
              </w:rPr>
              <w:t>Quel est le problème à résoudre?</w:t>
            </w:r>
          </w:p>
        </w:tc>
      </w:tr>
      <w:tr w:rsidR="00390AE3" w:rsidRPr="00A808AA" w:rsidTr="005E3488">
        <w:trPr>
          <w:jc w:val="center"/>
        </w:trPr>
        <w:tc>
          <w:tcPr>
            <w:tcW w:w="5000" w:type="pct"/>
            <w:gridSpan w:val="29"/>
            <w:shd w:val="clear" w:color="auto" w:fill="FFFFFF"/>
          </w:tcPr>
          <w:p w:rsidR="00390AE3" w:rsidRPr="00A808AA" w:rsidRDefault="00DC3731" w:rsidP="00F33ECE">
            <w:pPr>
              <w:numPr>
                <w:ilvl w:val="0"/>
                <w:numId w:val="2"/>
              </w:numPr>
              <w:spacing w:before="60" w:after="0" w:line="240" w:lineRule="auto"/>
              <w:ind w:left="346" w:hanging="284"/>
              <w:jc w:val="both"/>
              <w:rPr>
                <w:rFonts w:ascii="Times New Roman" w:eastAsia="Times New Roman" w:hAnsi="Times New Roman" w:cs="Times New Roman"/>
                <w:color w:val="000000"/>
              </w:rPr>
            </w:pPr>
            <w:r>
              <w:rPr>
                <w:rFonts w:ascii="Times New Roman" w:hAnsi="Times New Roman"/>
                <w:color w:val="000000"/>
              </w:rPr>
              <w:t xml:space="preserve">Lorsqu’ils décident d’acheter des combustibles solides, la plupart des consommateurs sont principalement guidés par le prix, sans prêter attention à leur qualité. En effet, en l’absence d’une réglementation définissant les exigences de qualité des combustibles solides qui se traduit, notamment, par la déréglementation de ce marché, les clients n’ont pas la possibilité d’acheter du combustible solide en se basant sur l’indicateur de sa qualité. Qu’il provienne du marché intérieur ou qu’il soit importé, le combustible solide doit répondre aux exigences de qualité réglementées par les normes juridiques pertinentes. Par conséquent, la mise en œuvre des exigences en matière de qualité des combustibles solides est tout à fait justifiée. L’amendement permettra d’introduire des exigences de qualité pour les combustibles solides et de contrôler leur qualité. </w:t>
            </w:r>
          </w:p>
          <w:p w:rsidR="00390AE3" w:rsidRPr="00A808AA" w:rsidRDefault="00390AE3" w:rsidP="00F33ECE">
            <w:pPr>
              <w:numPr>
                <w:ilvl w:val="0"/>
                <w:numId w:val="2"/>
              </w:numPr>
              <w:spacing w:before="60" w:after="0" w:line="240" w:lineRule="auto"/>
              <w:ind w:left="346" w:hanging="284"/>
              <w:jc w:val="both"/>
              <w:rPr>
                <w:rFonts w:ascii="Times New Roman" w:eastAsia="Times New Roman" w:hAnsi="Times New Roman" w:cs="Times New Roman"/>
                <w:color w:val="000000"/>
              </w:rPr>
            </w:pPr>
            <w:r>
              <w:rPr>
                <w:rFonts w:ascii="Times New Roman" w:hAnsi="Times New Roman"/>
                <w:color w:val="000000"/>
              </w:rPr>
              <w:t>La source ayant permis d’identifier le problème est l’analyse des normes existantes concernant les combustibles solides, l’état d</w:t>
            </w:r>
            <w:r w:rsidR="00F02DDE">
              <w:rPr>
                <w:rFonts w:ascii="Times New Roman" w:hAnsi="Times New Roman"/>
                <w:color w:val="000000"/>
              </w:rPr>
              <w:t xml:space="preserve">es connaissances techniques et </w:t>
            </w:r>
            <w:bookmarkStart w:id="0" w:name="_GoBack"/>
            <w:bookmarkEnd w:id="0"/>
            <w:r>
              <w:rPr>
                <w:rFonts w:ascii="Times New Roman" w:hAnsi="Times New Roman"/>
                <w:color w:val="000000"/>
              </w:rPr>
              <w:t>l’expérience acquise à ce jour. Des consultations ont été menées auprès des producteurs de charbon et des instituts de recherche d’État visant à introduire des groupes de produits combustibles solides qui, une fois les exigences fixées, pourront être mis sur le marché.</w:t>
            </w:r>
          </w:p>
          <w:p w:rsidR="00390AE3" w:rsidRPr="00A808AA" w:rsidRDefault="00390AE3" w:rsidP="00F33ECE">
            <w:pPr>
              <w:numPr>
                <w:ilvl w:val="0"/>
                <w:numId w:val="2"/>
              </w:numPr>
              <w:spacing w:before="60" w:after="0" w:line="240" w:lineRule="auto"/>
              <w:ind w:left="346" w:hanging="284"/>
              <w:jc w:val="both"/>
              <w:rPr>
                <w:rFonts w:ascii="Times New Roman" w:eastAsia="Times New Roman" w:hAnsi="Times New Roman" w:cs="Times New Roman"/>
                <w:color w:val="000000"/>
              </w:rPr>
            </w:pPr>
            <w:r>
              <w:rPr>
                <w:rFonts w:ascii="Times New Roman" w:hAnsi="Times New Roman"/>
                <w:color w:val="000000"/>
              </w:rPr>
              <w:t>Le champ d’application de la réglementation couvre les entreprises du secteur des combustibles solides, les institutions d’État et les consommateurs des combustibles solides. La portée du projet couvre le marché des combustibles solides dans le secteur urbain et domestique, et l’impact de la réglementation variera selon les entités. Porte sur un seul aspect.</w:t>
            </w:r>
          </w:p>
        </w:tc>
      </w:tr>
      <w:tr w:rsidR="00390AE3" w:rsidRPr="00A808AA" w:rsidTr="005E3488">
        <w:trPr>
          <w:jc w:val="center"/>
        </w:trPr>
        <w:tc>
          <w:tcPr>
            <w:tcW w:w="5000" w:type="pct"/>
            <w:gridSpan w:val="29"/>
            <w:shd w:val="clear" w:color="auto" w:fill="99CCFF"/>
            <w:vAlign w:val="center"/>
          </w:tcPr>
          <w:p w:rsidR="00390AE3" w:rsidRPr="00A808AA"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Pr>
                <w:rFonts w:ascii="Times New Roman" w:hAnsi="Times New Roman"/>
                <w:b/>
                <w:color w:val="000000"/>
              </w:rPr>
              <w:t>Solution recommandée, y compris les outils d’intervention prévus et l’effet escompté</w:t>
            </w:r>
          </w:p>
        </w:tc>
      </w:tr>
      <w:tr w:rsidR="00390AE3" w:rsidRPr="00A808AA" w:rsidTr="005E3488">
        <w:trPr>
          <w:jc w:val="center"/>
        </w:trPr>
        <w:tc>
          <w:tcPr>
            <w:tcW w:w="5000" w:type="pct"/>
            <w:gridSpan w:val="29"/>
            <w:shd w:val="clear" w:color="auto" w:fill="auto"/>
          </w:tcPr>
          <w:p w:rsidR="00390AE3" w:rsidRPr="00A808AA" w:rsidRDefault="00390AE3" w:rsidP="001578DD">
            <w:pPr>
              <w:numPr>
                <w:ilvl w:val="0"/>
                <w:numId w:val="2"/>
              </w:numPr>
              <w:spacing w:before="60" w:after="60" w:line="240" w:lineRule="auto"/>
              <w:ind w:left="347" w:hanging="284"/>
              <w:jc w:val="both"/>
              <w:rPr>
                <w:rFonts w:ascii="Times New Roman" w:eastAsia="Times New Roman" w:hAnsi="Times New Roman" w:cs="Times New Roman"/>
                <w:color w:val="000000"/>
              </w:rPr>
            </w:pPr>
            <w:r>
              <w:rPr>
                <w:rFonts w:ascii="Times New Roman" w:hAnsi="Times New Roman"/>
                <w:color w:val="000000"/>
              </w:rPr>
              <w:t>L’entrée en vigueur du présent décret aura pour principal effet de permettre la surveillance et le contrôle de la qualité des combustibles solides conformément à l’état des connaissances techniques et à l’expérience relative à leur utilisation, en mettant un accent particulier sur la réduction des émissions de polluants et de gaz à effet de serre.</w:t>
            </w:r>
          </w:p>
          <w:p w:rsidR="00390AE3" w:rsidRPr="00A808AA" w:rsidRDefault="00390AE3" w:rsidP="00F33ECE">
            <w:pPr>
              <w:numPr>
                <w:ilvl w:val="0"/>
                <w:numId w:val="2"/>
              </w:numPr>
              <w:spacing w:before="60" w:after="60" w:line="240" w:lineRule="auto"/>
              <w:ind w:left="318" w:hanging="267"/>
              <w:jc w:val="both"/>
              <w:rPr>
                <w:rFonts w:ascii="Times New Roman" w:eastAsia="Times New Roman" w:hAnsi="Times New Roman" w:cs="Times New Roman"/>
                <w:color w:val="000000"/>
              </w:rPr>
            </w:pPr>
            <w:r>
              <w:rPr>
                <w:rFonts w:ascii="Times New Roman" w:hAnsi="Times New Roman"/>
                <w:color w:val="000000"/>
              </w:rPr>
              <w:t>Par ailleurs, la solution proposée aura pour effet de structurer le marché des combustibles solides et de permettre aux consommateurs d’acheter des carburants solides répondant aux exigences de qualité des carburants destinés au secteur urbain et domestique et d’obtenir des informations fiables et complètes sur le produit.</w:t>
            </w:r>
          </w:p>
        </w:tc>
      </w:tr>
      <w:tr w:rsidR="00390AE3" w:rsidRPr="000A3CCC" w:rsidTr="005E3488">
        <w:trPr>
          <w:jc w:val="center"/>
        </w:trPr>
        <w:tc>
          <w:tcPr>
            <w:tcW w:w="5000" w:type="pct"/>
            <w:gridSpan w:val="29"/>
            <w:shd w:val="clear" w:color="auto" w:fill="99CCFF"/>
            <w:vAlign w:val="center"/>
          </w:tcPr>
          <w:p w:rsidR="00390AE3" w:rsidRPr="000A3CCC" w:rsidRDefault="00390AE3" w:rsidP="001578DD">
            <w:pPr>
              <w:numPr>
                <w:ilvl w:val="0"/>
                <w:numId w:val="1"/>
              </w:numPr>
              <w:spacing w:before="60" w:after="60" w:line="240" w:lineRule="auto"/>
              <w:ind w:left="318" w:hanging="284"/>
              <w:jc w:val="both"/>
              <w:rPr>
                <w:rFonts w:ascii="Times New Roman" w:hAnsi="Times New Roman" w:cs="Times New Roman"/>
                <w:b/>
              </w:rPr>
            </w:pPr>
            <w:r>
              <w:rPr>
                <w:rFonts w:ascii="Times New Roman" w:hAnsi="Times New Roman"/>
                <w:b/>
              </w:rPr>
              <w:t xml:space="preserve">Comment le problème a-t-il été résolu dans d’autres pays, et notamment dans les pays membres de l’OCDE/l’UE? </w:t>
            </w:r>
          </w:p>
        </w:tc>
      </w:tr>
      <w:tr w:rsidR="00390AE3" w:rsidRPr="00A808AA" w:rsidTr="005E3488">
        <w:trPr>
          <w:jc w:val="center"/>
        </w:trPr>
        <w:tc>
          <w:tcPr>
            <w:tcW w:w="5000" w:type="pct"/>
            <w:gridSpan w:val="29"/>
            <w:shd w:val="clear" w:color="auto" w:fill="auto"/>
          </w:tcPr>
          <w:p w:rsidR="00390AE3" w:rsidRPr="00A808AA" w:rsidRDefault="00390AE3" w:rsidP="001578DD">
            <w:pPr>
              <w:spacing w:before="60" w:after="60" w:line="240" w:lineRule="auto"/>
              <w:jc w:val="both"/>
              <w:rPr>
                <w:rFonts w:ascii="Times New Roman" w:hAnsi="Times New Roman" w:cs="Times New Roman"/>
                <w:color w:val="000000"/>
              </w:rPr>
            </w:pPr>
            <w:r>
              <w:rPr>
                <w:rFonts w:ascii="Times New Roman" w:hAnsi="Times New Roman"/>
                <w:color w:val="000000"/>
              </w:rPr>
              <w:t>Non applicable.</w:t>
            </w:r>
          </w:p>
        </w:tc>
      </w:tr>
      <w:tr w:rsidR="00390AE3" w:rsidRPr="00A808AA" w:rsidTr="005E3488">
        <w:trPr>
          <w:jc w:val="center"/>
        </w:trPr>
        <w:tc>
          <w:tcPr>
            <w:tcW w:w="5000" w:type="pct"/>
            <w:gridSpan w:val="29"/>
            <w:shd w:val="clear" w:color="auto" w:fill="99CCFF"/>
            <w:vAlign w:val="center"/>
          </w:tcPr>
          <w:p w:rsidR="00390AE3" w:rsidRPr="00A808AA"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Pr>
                <w:rFonts w:ascii="Times New Roman" w:hAnsi="Times New Roman"/>
                <w:b/>
                <w:color w:val="000000"/>
              </w:rPr>
              <w:t>Entités concernées par le projet de réglementation</w:t>
            </w:r>
          </w:p>
        </w:tc>
      </w:tr>
      <w:tr w:rsidR="00390AE3" w:rsidRPr="00A808AA" w:rsidTr="005E3488">
        <w:trPr>
          <w:jc w:val="center"/>
        </w:trPr>
        <w:tc>
          <w:tcPr>
            <w:tcW w:w="1364" w:type="pct"/>
            <w:gridSpan w:val="4"/>
            <w:shd w:val="clear" w:color="auto" w:fill="auto"/>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Groupe</w:t>
            </w:r>
          </w:p>
        </w:tc>
        <w:tc>
          <w:tcPr>
            <w:tcW w:w="1119" w:type="pct"/>
            <w:gridSpan w:val="8"/>
            <w:shd w:val="clear" w:color="auto" w:fill="auto"/>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Nombre</w:t>
            </w:r>
          </w:p>
        </w:tc>
        <w:tc>
          <w:tcPr>
            <w:tcW w:w="777" w:type="pct"/>
            <w:gridSpan w:val="6"/>
            <w:shd w:val="clear" w:color="auto" w:fill="auto"/>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 xml:space="preserve">Source des données </w:t>
            </w:r>
          </w:p>
        </w:tc>
        <w:tc>
          <w:tcPr>
            <w:tcW w:w="1740" w:type="pct"/>
            <w:gridSpan w:val="11"/>
            <w:shd w:val="clear" w:color="auto" w:fill="auto"/>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Impact</w:t>
            </w:r>
          </w:p>
        </w:tc>
      </w:tr>
      <w:tr w:rsidR="00390AE3" w:rsidRPr="00A808AA" w:rsidTr="005E3488">
        <w:trPr>
          <w:jc w:val="center"/>
        </w:trPr>
        <w:tc>
          <w:tcPr>
            <w:tcW w:w="1364" w:type="pct"/>
            <w:gridSpan w:val="4"/>
            <w:shd w:val="clear" w:color="auto" w:fill="auto"/>
            <w:vAlign w:val="center"/>
          </w:tcPr>
          <w:p w:rsidR="00344FA2"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Fabricants de combustibles solides - au sens de la loi sur le système de surveillance et de contrôle de la qualité des carburants</w:t>
            </w:r>
          </w:p>
        </w:tc>
        <w:tc>
          <w:tcPr>
            <w:tcW w:w="1119" w:type="pct"/>
            <w:gridSpan w:val="8"/>
            <w:shd w:val="clear" w:color="auto" w:fill="auto"/>
            <w:vAlign w:val="center"/>
          </w:tcPr>
          <w:p w:rsidR="00390AE3" w:rsidRPr="00A808AA" w:rsidRDefault="00390AE3" w:rsidP="00A5252F">
            <w:pPr>
              <w:spacing w:before="60" w:after="60" w:line="240" w:lineRule="auto"/>
              <w:rPr>
                <w:rFonts w:ascii="Times New Roman" w:hAnsi="Times New Roman" w:cs="Times New Roman"/>
                <w:color w:val="000000"/>
              </w:rPr>
            </w:pPr>
            <w:r>
              <w:rPr>
                <w:rFonts w:ascii="Times New Roman" w:hAnsi="Times New Roman"/>
                <w:color w:val="000000"/>
              </w:rPr>
              <w:t>23 mines</w:t>
            </w:r>
          </w:p>
        </w:tc>
        <w:tc>
          <w:tcPr>
            <w:tcW w:w="777" w:type="pct"/>
            <w:gridSpan w:val="6"/>
            <w:shd w:val="clear" w:color="auto" w:fill="auto"/>
            <w:vAlign w:val="center"/>
          </w:tcPr>
          <w:p w:rsidR="00390AE3" w:rsidRPr="00A808AA" w:rsidRDefault="00390AE3" w:rsidP="001578DD">
            <w:pPr>
              <w:spacing w:before="60" w:after="60" w:line="240" w:lineRule="auto"/>
              <w:jc w:val="center"/>
              <w:rPr>
                <w:rFonts w:ascii="Times New Roman" w:hAnsi="Times New Roman" w:cs="Times New Roman"/>
              </w:rPr>
            </w:pPr>
            <w:r>
              <w:rPr>
                <w:rFonts w:ascii="Times New Roman" w:hAnsi="Times New Roman"/>
              </w:rPr>
              <w:t>ARP</w:t>
            </w:r>
          </w:p>
        </w:tc>
        <w:tc>
          <w:tcPr>
            <w:tcW w:w="1740" w:type="pct"/>
            <w:gridSpan w:val="11"/>
            <w:shd w:val="clear" w:color="auto" w:fill="auto"/>
          </w:tcPr>
          <w:p w:rsidR="00390AE3" w:rsidRPr="00A808AA" w:rsidRDefault="00390AE3" w:rsidP="00A5252F">
            <w:pPr>
              <w:spacing w:before="60" w:after="60" w:line="240" w:lineRule="auto"/>
              <w:rPr>
                <w:rFonts w:ascii="Times New Roman" w:hAnsi="Times New Roman" w:cs="Times New Roman"/>
              </w:rPr>
            </w:pPr>
            <w:r>
              <w:rPr>
                <w:rFonts w:ascii="Times New Roman" w:hAnsi="Times New Roman"/>
              </w:rPr>
              <w:t>La nécessité d’ajuster les paramètres de qualité des combustibles solides aux exigences énoncées dans le règlement émis sur la base de la Loi.</w:t>
            </w:r>
          </w:p>
        </w:tc>
      </w:tr>
      <w:tr w:rsidR="00390AE3" w:rsidRPr="00A808AA" w:rsidTr="005E3488">
        <w:trPr>
          <w:jc w:val="center"/>
        </w:trPr>
        <w:tc>
          <w:tcPr>
            <w:tcW w:w="1364" w:type="pct"/>
            <w:gridSpan w:val="4"/>
            <w:shd w:val="clear" w:color="auto" w:fill="auto"/>
            <w:vAlign w:val="center"/>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Les entreprises qui importent le charbon bitumineux</w:t>
            </w:r>
          </w:p>
        </w:tc>
        <w:tc>
          <w:tcPr>
            <w:tcW w:w="1119" w:type="pct"/>
            <w:gridSpan w:val="8"/>
            <w:shd w:val="clear" w:color="auto" w:fill="auto"/>
            <w:vAlign w:val="center"/>
          </w:tcPr>
          <w:p w:rsidR="00390AE3" w:rsidRPr="00A808AA" w:rsidRDefault="00390AE3" w:rsidP="00A5252F">
            <w:pPr>
              <w:spacing w:before="60" w:after="60" w:line="240" w:lineRule="auto"/>
              <w:rPr>
                <w:rFonts w:ascii="Times New Roman" w:hAnsi="Times New Roman" w:cs="Times New Roman"/>
                <w:color w:val="000000"/>
              </w:rPr>
            </w:pPr>
            <w:r>
              <w:rPr>
                <w:rFonts w:ascii="Times New Roman" w:hAnsi="Times New Roman"/>
              </w:rPr>
              <w:t>48 entreprises</w:t>
            </w:r>
          </w:p>
        </w:tc>
        <w:tc>
          <w:tcPr>
            <w:tcW w:w="777" w:type="pct"/>
            <w:gridSpan w:val="6"/>
            <w:shd w:val="clear" w:color="auto" w:fill="auto"/>
            <w:vAlign w:val="center"/>
          </w:tcPr>
          <w:p w:rsidR="00390AE3" w:rsidRPr="00A808AA" w:rsidRDefault="00390AE3" w:rsidP="001578DD">
            <w:pPr>
              <w:spacing w:before="60" w:after="60" w:line="240" w:lineRule="auto"/>
              <w:jc w:val="center"/>
              <w:rPr>
                <w:rFonts w:ascii="Times New Roman" w:hAnsi="Times New Roman" w:cs="Times New Roman"/>
              </w:rPr>
            </w:pPr>
            <w:r>
              <w:rPr>
                <w:rFonts w:ascii="Times New Roman" w:hAnsi="Times New Roman"/>
              </w:rPr>
              <w:t>ARP</w:t>
            </w:r>
          </w:p>
        </w:tc>
        <w:tc>
          <w:tcPr>
            <w:tcW w:w="1740" w:type="pct"/>
            <w:gridSpan w:val="11"/>
            <w:shd w:val="clear" w:color="auto" w:fill="auto"/>
          </w:tcPr>
          <w:p w:rsidR="00390AE3" w:rsidRPr="00A808AA" w:rsidRDefault="00390AE3" w:rsidP="001578DD">
            <w:pPr>
              <w:spacing w:before="60" w:after="60" w:line="240" w:lineRule="auto"/>
              <w:rPr>
                <w:rFonts w:ascii="Times New Roman" w:hAnsi="Times New Roman" w:cs="Times New Roman"/>
              </w:rPr>
            </w:pPr>
            <w:r>
              <w:rPr>
                <w:rFonts w:ascii="Times New Roman" w:hAnsi="Times New Roman"/>
              </w:rPr>
              <w:t>La nécessité d’ajuster les paramètres de qualité des combustibles solides aux exigences énoncées dans le règlement émis sur la base de la Loi.</w:t>
            </w:r>
          </w:p>
        </w:tc>
      </w:tr>
      <w:tr w:rsidR="00390AE3" w:rsidRPr="00A808AA" w:rsidTr="005E3488">
        <w:trPr>
          <w:jc w:val="center"/>
        </w:trPr>
        <w:tc>
          <w:tcPr>
            <w:tcW w:w="1364" w:type="pct"/>
            <w:gridSpan w:val="4"/>
            <w:shd w:val="clear" w:color="auto" w:fill="auto"/>
            <w:vAlign w:val="center"/>
          </w:tcPr>
          <w:p w:rsidR="00390AE3" w:rsidRPr="00A808AA" w:rsidRDefault="00390AE3" w:rsidP="001578DD">
            <w:pPr>
              <w:spacing w:before="60" w:after="60" w:line="240" w:lineRule="auto"/>
              <w:rPr>
                <w:rFonts w:ascii="Times New Roman" w:hAnsi="Times New Roman" w:cs="Times New Roman"/>
              </w:rPr>
            </w:pPr>
            <w:r>
              <w:rPr>
                <w:rFonts w:ascii="Times New Roman" w:hAnsi="Times New Roman"/>
              </w:rPr>
              <w:lastRenderedPageBreak/>
              <w:t>Distributeurs de combustibles solides</w:t>
            </w:r>
          </w:p>
        </w:tc>
        <w:tc>
          <w:tcPr>
            <w:tcW w:w="1119" w:type="pct"/>
            <w:gridSpan w:val="8"/>
            <w:shd w:val="clear" w:color="auto" w:fill="auto"/>
            <w:vAlign w:val="center"/>
          </w:tcPr>
          <w:p w:rsidR="00390AE3" w:rsidRPr="00A808AA" w:rsidRDefault="00390AE3" w:rsidP="00A5252F">
            <w:pPr>
              <w:spacing w:before="60" w:after="60" w:line="240" w:lineRule="auto"/>
              <w:rPr>
                <w:rFonts w:ascii="Times New Roman" w:hAnsi="Times New Roman" w:cs="Times New Roman"/>
              </w:rPr>
            </w:pPr>
            <w:r>
              <w:rPr>
                <w:rFonts w:ascii="Times New Roman" w:hAnsi="Times New Roman"/>
              </w:rPr>
              <w:t>10 000 entrepôts de combustibles</w:t>
            </w:r>
          </w:p>
        </w:tc>
        <w:tc>
          <w:tcPr>
            <w:tcW w:w="777" w:type="pct"/>
            <w:gridSpan w:val="6"/>
            <w:shd w:val="clear" w:color="auto" w:fill="auto"/>
            <w:vAlign w:val="center"/>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ARP</w:t>
            </w:r>
          </w:p>
        </w:tc>
        <w:tc>
          <w:tcPr>
            <w:tcW w:w="1740" w:type="pct"/>
            <w:gridSpan w:val="11"/>
            <w:shd w:val="clear" w:color="auto" w:fill="auto"/>
          </w:tcPr>
          <w:p w:rsidR="00390AE3" w:rsidRPr="00A808AA" w:rsidRDefault="00390AE3" w:rsidP="00A5252F">
            <w:pPr>
              <w:spacing w:before="60" w:after="60" w:line="240" w:lineRule="auto"/>
              <w:rPr>
                <w:rFonts w:ascii="Times New Roman" w:hAnsi="Times New Roman" w:cs="Times New Roman"/>
              </w:rPr>
            </w:pPr>
            <w:r>
              <w:rPr>
                <w:rFonts w:ascii="Times New Roman" w:hAnsi="Times New Roman"/>
              </w:rPr>
              <w:t>Ventes du produit conformément aux exigences de qualité. L’obligation de conserver des copies des certificats et des copies des factures de TVA dans le cas de l’achat de carburants qui ne répondent pas aux exigences de qualité des combustibles solides auprès des distributeurs qui commercialisent des combustibles solides aux fins visées à l’article 1, paragraphe 2 de la loi modifiée et dans un but autre que celui spécifié dans cette disposition.</w:t>
            </w:r>
          </w:p>
        </w:tc>
      </w:tr>
      <w:tr w:rsidR="00390AE3" w:rsidRPr="00A808AA" w:rsidTr="005E3488">
        <w:trPr>
          <w:jc w:val="center"/>
        </w:trPr>
        <w:tc>
          <w:tcPr>
            <w:tcW w:w="1364" w:type="pct"/>
            <w:gridSpan w:val="4"/>
            <w:shd w:val="clear" w:color="auto" w:fill="auto"/>
            <w:vAlign w:val="center"/>
          </w:tcPr>
          <w:p w:rsidR="00390AE3" w:rsidRPr="00A808AA" w:rsidRDefault="00F33ECE" w:rsidP="001578DD">
            <w:pPr>
              <w:spacing w:before="60" w:after="60" w:line="240" w:lineRule="auto"/>
              <w:rPr>
                <w:rFonts w:ascii="Times New Roman" w:hAnsi="Times New Roman" w:cs="Times New Roman"/>
                <w:color w:val="000000"/>
              </w:rPr>
            </w:pPr>
            <w:proofErr w:type="spellStart"/>
            <w:r>
              <w:rPr>
                <w:rFonts w:ascii="Times New Roman" w:hAnsi="Times New Roman"/>
              </w:rPr>
              <w:t>UOKiK</w:t>
            </w:r>
            <w:proofErr w:type="spellEnd"/>
            <w:r>
              <w:rPr>
                <w:rFonts w:ascii="Times New Roman" w:hAnsi="Times New Roman"/>
              </w:rPr>
              <w:t>/Inspection du commerce (IH)</w:t>
            </w:r>
          </w:p>
        </w:tc>
        <w:tc>
          <w:tcPr>
            <w:tcW w:w="1119" w:type="pct"/>
            <w:gridSpan w:val="8"/>
            <w:shd w:val="clear" w:color="auto" w:fill="auto"/>
            <w:vAlign w:val="center"/>
          </w:tcPr>
          <w:p w:rsidR="00390AE3" w:rsidRPr="00A808AA" w:rsidRDefault="00A5252F" w:rsidP="00A5252F">
            <w:pPr>
              <w:spacing w:before="60" w:after="60" w:line="240" w:lineRule="auto"/>
              <w:rPr>
                <w:rFonts w:ascii="Times New Roman" w:hAnsi="Times New Roman" w:cs="Times New Roman"/>
                <w:color w:val="000000"/>
              </w:rPr>
            </w:pPr>
            <w:proofErr w:type="spellStart"/>
            <w:r>
              <w:rPr>
                <w:rFonts w:ascii="Times New Roman" w:hAnsi="Times New Roman"/>
                <w:color w:val="000000"/>
              </w:rPr>
              <w:t>UOKiK</w:t>
            </w:r>
            <w:proofErr w:type="spellEnd"/>
            <w:r>
              <w:rPr>
                <w:rFonts w:ascii="Times New Roman" w:hAnsi="Times New Roman"/>
                <w:color w:val="000000"/>
              </w:rPr>
              <w:t xml:space="preserve"> et 16 inspections commerciales de voïvodies.</w:t>
            </w:r>
          </w:p>
        </w:tc>
        <w:tc>
          <w:tcPr>
            <w:tcW w:w="777" w:type="pct"/>
            <w:gridSpan w:val="6"/>
            <w:shd w:val="clear" w:color="auto" w:fill="auto"/>
            <w:vAlign w:val="center"/>
          </w:tcPr>
          <w:p w:rsidR="00390AE3" w:rsidRPr="00A808AA" w:rsidRDefault="00390AE3" w:rsidP="001578DD">
            <w:pPr>
              <w:spacing w:before="60" w:after="60" w:line="240" w:lineRule="auto"/>
              <w:jc w:val="center"/>
              <w:rPr>
                <w:rFonts w:ascii="Times New Roman" w:hAnsi="Times New Roman" w:cs="Times New Roman"/>
                <w:color w:val="000000"/>
              </w:rPr>
            </w:pPr>
            <w:proofErr w:type="spellStart"/>
            <w:r>
              <w:rPr>
                <w:rFonts w:ascii="Times New Roman" w:hAnsi="Times New Roman"/>
              </w:rPr>
              <w:t>UOKiK</w:t>
            </w:r>
            <w:proofErr w:type="spellEnd"/>
          </w:p>
        </w:tc>
        <w:tc>
          <w:tcPr>
            <w:tcW w:w="1740" w:type="pct"/>
            <w:gridSpan w:val="11"/>
            <w:shd w:val="clear" w:color="auto" w:fill="auto"/>
          </w:tcPr>
          <w:p w:rsidR="00390AE3" w:rsidRPr="00A808AA" w:rsidRDefault="00390AE3" w:rsidP="001578DD">
            <w:pPr>
              <w:spacing w:before="60" w:after="60" w:line="240" w:lineRule="auto"/>
              <w:rPr>
                <w:rFonts w:ascii="Times New Roman" w:hAnsi="Times New Roman" w:cs="Times New Roman"/>
              </w:rPr>
            </w:pPr>
            <w:r>
              <w:rPr>
                <w:rFonts w:ascii="Times New Roman" w:hAnsi="Times New Roman"/>
              </w:rPr>
              <w:t>La nécessité d’inclure dans leurs procédures le contrôle des exigences de qualité des combustibles solides.</w:t>
            </w:r>
          </w:p>
          <w:p w:rsidR="00390AE3" w:rsidRPr="00A808AA" w:rsidRDefault="00E153C9" w:rsidP="00A5252F">
            <w:pPr>
              <w:spacing w:before="60" w:after="60" w:line="240" w:lineRule="auto"/>
              <w:rPr>
                <w:rFonts w:ascii="Times New Roman" w:hAnsi="Times New Roman" w:cs="Times New Roman"/>
                <w:color w:val="000000"/>
              </w:rPr>
            </w:pPr>
            <w:r>
              <w:rPr>
                <w:rFonts w:ascii="Times New Roman" w:hAnsi="Times New Roman"/>
                <w:color w:val="000000"/>
              </w:rPr>
              <w:t>L’obligation de conserver des copies des certificats et des copies des factures de TVA dans le cas de l’achat de carburants qui ne répondent pas aux exigences de qualité des combustibles solides auprès des distributeurs qui commercialisent des combustibles solides aux fins visées à l’article 1, paragraphe 2 de la loi modifiée et dans un but autre que celui spécifié dans cette disposition.</w:t>
            </w:r>
          </w:p>
        </w:tc>
      </w:tr>
      <w:tr w:rsidR="00390AE3" w:rsidRPr="00A808AA" w:rsidTr="005E3488">
        <w:trPr>
          <w:jc w:val="center"/>
        </w:trPr>
        <w:tc>
          <w:tcPr>
            <w:tcW w:w="1364" w:type="pct"/>
            <w:gridSpan w:val="4"/>
            <w:shd w:val="clear" w:color="auto" w:fill="auto"/>
            <w:vAlign w:val="center"/>
          </w:tcPr>
          <w:p w:rsidR="00390AE3" w:rsidRPr="00A808AA" w:rsidRDefault="00464F93" w:rsidP="001578DD">
            <w:pPr>
              <w:spacing w:before="60" w:after="60" w:line="240" w:lineRule="auto"/>
              <w:rPr>
                <w:rFonts w:ascii="Times New Roman" w:hAnsi="Times New Roman" w:cs="Times New Roman"/>
                <w:color w:val="000000"/>
              </w:rPr>
            </w:pPr>
            <w:r>
              <w:rPr>
                <w:rFonts w:ascii="Times New Roman" w:hAnsi="Times New Roman"/>
              </w:rPr>
              <w:t>organes de l’administration fiscale nationale</w:t>
            </w:r>
          </w:p>
        </w:tc>
        <w:tc>
          <w:tcPr>
            <w:tcW w:w="1119" w:type="pct"/>
            <w:gridSpan w:val="8"/>
            <w:shd w:val="clear" w:color="auto" w:fill="auto"/>
            <w:vAlign w:val="center"/>
          </w:tcPr>
          <w:p w:rsidR="00390AE3" w:rsidRPr="00A808AA" w:rsidRDefault="00B95DCA" w:rsidP="00A5252F">
            <w:pPr>
              <w:spacing w:before="60" w:after="60" w:line="240" w:lineRule="auto"/>
              <w:rPr>
                <w:rFonts w:ascii="Times New Roman" w:hAnsi="Times New Roman" w:cs="Times New Roman"/>
              </w:rPr>
            </w:pPr>
            <w:r>
              <w:rPr>
                <w:rFonts w:ascii="Times New Roman" w:hAnsi="Times New Roman"/>
              </w:rPr>
              <w:t>l’administration des douanes et fiscale (16, y compris les délégations - 45 et les douanes - 143).</w:t>
            </w:r>
          </w:p>
        </w:tc>
        <w:tc>
          <w:tcPr>
            <w:tcW w:w="777" w:type="pct"/>
            <w:gridSpan w:val="6"/>
            <w:shd w:val="clear" w:color="auto" w:fill="auto"/>
            <w:vAlign w:val="center"/>
          </w:tcPr>
          <w:p w:rsidR="00390AE3" w:rsidRPr="00A808AA" w:rsidRDefault="00F54E2B" w:rsidP="00F54E2B">
            <w:pPr>
              <w:spacing w:before="60" w:after="60" w:line="240" w:lineRule="auto"/>
              <w:jc w:val="center"/>
              <w:rPr>
                <w:rFonts w:ascii="Times New Roman" w:hAnsi="Times New Roman" w:cs="Times New Roman"/>
                <w:color w:val="000000"/>
              </w:rPr>
            </w:pPr>
            <w:r>
              <w:rPr>
                <w:rFonts w:ascii="Times New Roman" w:hAnsi="Times New Roman"/>
                <w:color w:val="000000"/>
              </w:rPr>
              <w:t>Administration fiscale nationale</w:t>
            </w:r>
          </w:p>
        </w:tc>
        <w:tc>
          <w:tcPr>
            <w:tcW w:w="1740" w:type="pct"/>
            <w:gridSpan w:val="11"/>
            <w:shd w:val="clear" w:color="auto" w:fill="auto"/>
          </w:tcPr>
          <w:p w:rsidR="00390AE3" w:rsidRPr="00A808AA" w:rsidRDefault="0084124C" w:rsidP="00A5252F">
            <w:pPr>
              <w:spacing w:before="60" w:after="60" w:line="240" w:lineRule="auto"/>
              <w:rPr>
                <w:rFonts w:ascii="Times New Roman" w:hAnsi="Times New Roman" w:cs="Times New Roman"/>
              </w:rPr>
            </w:pPr>
            <w:r>
              <w:rPr>
                <w:rFonts w:ascii="Times New Roman" w:hAnsi="Times New Roman"/>
              </w:rPr>
              <w:t>La nécessité d’inclure dans leurs procédures le contrôle des exigences de qualité des combustibles solides.</w:t>
            </w:r>
          </w:p>
          <w:p w:rsidR="00390AE3" w:rsidRPr="00A808AA" w:rsidRDefault="00390AE3" w:rsidP="00A5252F">
            <w:pPr>
              <w:spacing w:before="60" w:after="60" w:line="240" w:lineRule="auto"/>
              <w:rPr>
                <w:rFonts w:ascii="Times New Roman" w:hAnsi="Times New Roman" w:cs="Times New Roman"/>
              </w:rPr>
            </w:pPr>
          </w:p>
        </w:tc>
      </w:tr>
      <w:tr w:rsidR="00E153C9" w:rsidRPr="00A808AA" w:rsidTr="005E3488">
        <w:trPr>
          <w:jc w:val="center"/>
        </w:trPr>
        <w:tc>
          <w:tcPr>
            <w:tcW w:w="1364" w:type="pct"/>
            <w:gridSpan w:val="4"/>
            <w:shd w:val="clear" w:color="auto" w:fill="auto"/>
            <w:vAlign w:val="center"/>
          </w:tcPr>
          <w:p w:rsidR="00E153C9" w:rsidRPr="00A808AA" w:rsidRDefault="00E153C9" w:rsidP="001578DD">
            <w:pPr>
              <w:spacing w:before="60" w:after="60" w:line="240" w:lineRule="auto"/>
              <w:rPr>
                <w:rFonts w:ascii="Times New Roman" w:hAnsi="Times New Roman" w:cs="Times New Roman"/>
              </w:rPr>
            </w:pPr>
            <w:r>
              <w:rPr>
                <w:rFonts w:ascii="Times New Roman" w:hAnsi="Times New Roman"/>
              </w:rPr>
              <w:t>Les acheteurs de combustibles solides autres que ceux qui satisfont aux exigences de la loi</w:t>
            </w:r>
          </w:p>
        </w:tc>
        <w:tc>
          <w:tcPr>
            <w:tcW w:w="1119" w:type="pct"/>
            <w:gridSpan w:val="8"/>
            <w:shd w:val="clear" w:color="auto" w:fill="auto"/>
            <w:vAlign w:val="center"/>
          </w:tcPr>
          <w:p w:rsidR="00E153C9" w:rsidRPr="00A808AA" w:rsidRDefault="00A5252F" w:rsidP="00A808AA">
            <w:pPr>
              <w:spacing w:before="60" w:after="60" w:line="240" w:lineRule="auto"/>
              <w:rPr>
                <w:rFonts w:ascii="Times New Roman" w:hAnsi="Times New Roman" w:cs="Times New Roman"/>
              </w:rPr>
            </w:pPr>
            <w:r>
              <w:rPr>
                <w:rFonts w:ascii="Times New Roman" w:hAnsi="Times New Roman"/>
              </w:rPr>
              <w:t>4812 entités dans la fourchette de 1 à 50 MW (dont 3441 de la fourchette comprise entre 1 et 5 MW, 1253 dans la fourchette comprise entre 5 et 20 MW, 112 dans la fourchette comprise entre 20 et 50 MW)</w:t>
            </w:r>
          </w:p>
        </w:tc>
        <w:tc>
          <w:tcPr>
            <w:tcW w:w="777" w:type="pct"/>
            <w:gridSpan w:val="6"/>
            <w:shd w:val="clear" w:color="auto" w:fill="auto"/>
            <w:vAlign w:val="center"/>
          </w:tcPr>
          <w:p w:rsidR="00E153C9" w:rsidRPr="00A808AA" w:rsidRDefault="00E153C9" w:rsidP="001578DD">
            <w:pPr>
              <w:spacing w:before="60" w:after="60" w:line="240" w:lineRule="auto"/>
              <w:jc w:val="center"/>
              <w:rPr>
                <w:rFonts w:ascii="Times New Roman" w:hAnsi="Times New Roman" w:cs="Times New Roman"/>
                <w:color w:val="000000"/>
              </w:rPr>
            </w:pPr>
            <w:r>
              <w:rPr>
                <w:rFonts w:ascii="Times New Roman" w:hAnsi="Times New Roman"/>
                <w:color w:val="000000"/>
              </w:rPr>
              <w:t>Base KOBIZE</w:t>
            </w:r>
          </w:p>
        </w:tc>
        <w:tc>
          <w:tcPr>
            <w:tcW w:w="1740" w:type="pct"/>
            <w:gridSpan w:val="11"/>
            <w:shd w:val="clear" w:color="auto" w:fill="auto"/>
          </w:tcPr>
          <w:p w:rsidR="00E153C9" w:rsidRPr="00A808AA" w:rsidRDefault="00E153C9" w:rsidP="00A5252F">
            <w:pPr>
              <w:spacing w:before="60" w:after="60" w:line="240" w:lineRule="auto"/>
              <w:rPr>
                <w:rFonts w:ascii="Times New Roman" w:hAnsi="Times New Roman" w:cs="Times New Roman"/>
              </w:rPr>
            </w:pPr>
            <w:r>
              <w:rPr>
                <w:rFonts w:ascii="Times New Roman" w:hAnsi="Times New Roman"/>
              </w:rPr>
              <w:t>L’obligation de fournir des copies des certificats d’exploitation de l’installation en cas d’achat du combustible solide auprès de distributeurs de combustible solide qui le vendent aux ménages et aux installations d’une capacité inférieure à 1 MW et à d’autres fins.</w:t>
            </w:r>
          </w:p>
        </w:tc>
      </w:tr>
      <w:tr w:rsidR="00390AE3" w:rsidRPr="00A808AA" w:rsidTr="005E3488">
        <w:trPr>
          <w:jc w:val="center"/>
        </w:trPr>
        <w:tc>
          <w:tcPr>
            <w:tcW w:w="1364" w:type="pct"/>
            <w:gridSpan w:val="4"/>
            <w:shd w:val="clear" w:color="auto" w:fill="auto"/>
            <w:vAlign w:val="center"/>
          </w:tcPr>
          <w:p w:rsidR="00390AE3" w:rsidRPr="00A808AA" w:rsidRDefault="00390AE3" w:rsidP="001578DD">
            <w:pPr>
              <w:spacing w:before="60" w:after="60" w:line="240" w:lineRule="auto"/>
              <w:rPr>
                <w:rFonts w:ascii="Times New Roman" w:hAnsi="Times New Roman" w:cs="Times New Roman"/>
              </w:rPr>
            </w:pPr>
            <w:r>
              <w:rPr>
                <w:rFonts w:ascii="Times New Roman" w:hAnsi="Times New Roman"/>
              </w:rPr>
              <w:t>Ménages</w:t>
            </w:r>
          </w:p>
        </w:tc>
        <w:tc>
          <w:tcPr>
            <w:tcW w:w="1119" w:type="pct"/>
            <w:gridSpan w:val="8"/>
            <w:shd w:val="clear" w:color="auto" w:fill="auto"/>
            <w:vAlign w:val="center"/>
          </w:tcPr>
          <w:p w:rsidR="00390AE3" w:rsidRPr="00A808AA" w:rsidRDefault="00390AE3" w:rsidP="00A5252F">
            <w:pPr>
              <w:spacing w:before="60" w:after="60" w:line="240" w:lineRule="auto"/>
              <w:rPr>
                <w:rFonts w:ascii="Times New Roman" w:hAnsi="Times New Roman" w:cs="Times New Roman"/>
                <w:color w:val="000000"/>
              </w:rPr>
            </w:pPr>
            <w:r>
              <w:rPr>
                <w:rFonts w:ascii="Times New Roman" w:hAnsi="Times New Roman"/>
                <w:color w:val="000000"/>
              </w:rPr>
              <w:t>Sur 13,4 millions de foyers en Pologne, 5,5 millions (40,9 %) utilisent du charbon, notamment pour:</w:t>
            </w:r>
          </w:p>
          <w:p w:rsidR="00390AE3" w:rsidRPr="00A808AA" w:rsidRDefault="00A5252F" w:rsidP="00F33ECE">
            <w:pPr>
              <w:spacing w:after="0" w:line="240" w:lineRule="auto"/>
              <w:ind w:left="181" w:hanging="181"/>
              <w:rPr>
                <w:rFonts w:ascii="Times New Roman" w:hAnsi="Times New Roman" w:cs="Times New Roman"/>
                <w:color w:val="000000"/>
              </w:rPr>
            </w:pPr>
            <w:r>
              <w:rPr>
                <w:rFonts w:ascii="Times New Roman" w:hAnsi="Times New Roman"/>
                <w:color w:val="000000"/>
              </w:rPr>
              <w:t>–</w:t>
            </w:r>
            <w:r>
              <w:tab/>
            </w:r>
            <w:r>
              <w:rPr>
                <w:rFonts w:ascii="Times New Roman" w:hAnsi="Times New Roman"/>
                <w:color w:val="000000"/>
              </w:rPr>
              <w:t>chauffer les locaux 40,84 %,</w:t>
            </w:r>
          </w:p>
          <w:p w:rsidR="00390AE3" w:rsidRPr="00A808AA" w:rsidRDefault="00A5252F" w:rsidP="00F33ECE">
            <w:pPr>
              <w:spacing w:after="0" w:line="240" w:lineRule="auto"/>
              <w:ind w:left="181" w:hanging="181"/>
              <w:rPr>
                <w:rFonts w:ascii="Times New Roman" w:hAnsi="Times New Roman" w:cs="Times New Roman"/>
                <w:color w:val="000000"/>
              </w:rPr>
            </w:pPr>
            <w:r>
              <w:rPr>
                <w:rFonts w:ascii="Times New Roman" w:hAnsi="Times New Roman"/>
                <w:color w:val="000000"/>
              </w:rPr>
              <w:t>–</w:t>
            </w:r>
            <w:r>
              <w:tab/>
            </w:r>
            <w:r>
              <w:rPr>
                <w:rFonts w:ascii="Times New Roman" w:hAnsi="Times New Roman"/>
                <w:color w:val="000000"/>
              </w:rPr>
              <w:t>chauffer l’eau 28,33 %,</w:t>
            </w:r>
          </w:p>
          <w:p w:rsidR="00390AE3" w:rsidRPr="00A808AA" w:rsidRDefault="00A5252F" w:rsidP="00F33ECE">
            <w:pPr>
              <w:spacing w:after="0" w:line="240" w:lineRule="auto"/>
              <w:ind w:left="181" w:hanging="181"/>
              <w:rPr>
                <w:rFonts w:ascii="Times New Roman" w:hAnsi="Times New Roman" w:cs="Times New Roman"/>
                <w:color w:val="000000"/>
              </w:rPr>
            </w:pPr>
            <w:r>
              <w:rPr>
                <w:rFonts w:ascii="Times New Roman" w:hAnsi="Times New Roman"/>
                <w:color w:val="000000"/>
              </w:rPr>
              <w:t>–</w:t>
            </w:r>
            <w:r>
              <w:tab/>
            </w:r>
            <w:r>
              <w:rPr>
                <w:rFonts w:ascii="Times New Roman" w:hAnsi="Times New Roman"/>
                <w:color w:val="000000"/>
              </w:rPr>
              <w:t>cuisiner les repas 6 %</w:t>
            </w:r>
          </w:p>
        </w:tc>
        <w:tc>
          <w:tcPr>
            <w:tcW w:w="777" w:type="pct"/>
            <w:gridSpan w:val="6"/>
            <w:shd w:val="clear" w:color="auto" w:fill="auto"/>
            <w:vAlign w:val="center"/>
          </w:tcPr>
          <w:p w:rsidR="00390AE3" w:rsidRPr="00A808AA" w:rsidRDefault="00390AE3" w:rsidP="001578DD">
            <w:pPr>
              <w:spacing w:before="60" w:after="60" w:line="240" w:lineRule="auto"/>
              <w:jc w:val="center"/>
              <w:rPr>
                <w:rFonts w:ascii="Times New Roman" w:hAnsi="Times New Roman" w:cs="Times New Roman"/>
              </w:rPr>
            </w:pPr>
            <w:r>
              <w:rPr>
                <w:rFonts w:ascii="Times New Roman" w:hAnsi="Times New Roman"/>
                <w:color w:val="000000"/>
              </w:rPr>
              <w:t>GUS.</w:t>
            </w:r>
          </w:p>
        </w:tc>
        <w:tc>
          <w:tcPr>
            <w:tcW w:w="1740" w:type="pct"/>
            <w:gridSpan w:val="11"/>
            <w:shd w:val="clear" w:color="auto" w:fill="auto"/>
          </w:tcPr>
          <w:p w:rsidR="00390AE3" w:rsidRPr="00A808AA" w:rsidRDefault="0084124C" w:rsidP="001578DD">
            <w:pPr>
              <w:spacing w:before="60" w:after="60" w:line="240" w:lineRule="auto"/>
              <w:rPr>
                <w:rFonts w:ascii="Times New Roman" w:hAnsi="Times New Roman" w:cs="Times New Roman"/>
              </w:rPr>
            </w:pPr>
            <w:r>
              <w:rPr>
                <w:rFonts w:ascii="Times New Roman" w:hAnsi="Times New Roman"/>
              </w:rPr>
              <w:t>Permettra de structurer le marché des combustibles solides en fixant des normes en matière d’intégrité des vendeurs et de qualité de la marchandise.</w:t>
            </w:r>
          </w:p>
          <w:p w:rsidR="00390AE3" w:rsidRPr="00A808AA" w:rsidRDefault="00390AE3" w:rsidP="001578DD">
            <w:pPr>
              <w:spacing w:before="60" w:after="60" w:line="240" w:lineRule="auto"/>
              <w:rPr>
                <w:rFonts w:ascii="Times New Roman" w:hAnsi="Times New Roman" w:cs="Times New Roman"/>
              </w:rPr>
            </w:pPr>
            <w:r>
              <w:rPr>
                <w:rFonts w:ascii="Times New Roman" w:hAnsi="Times New Roman"/>
              </w:rPr>
              <w:t>L’utilisation de combustibles solides répondant aux exigences de qualité pour le chauffage permettra d’améliorer la qualité de l’air en Pologne, à travers la réduction des émissions dites faibles.</w:t>
            </w:r>
          </w:p>
        </w:tc>
      </w:tr>
      <w:tr w:rsidR="00390AE3" w:rsidRPr="00A808AA" w:rsidTr="005E3488">
        <w:trPr>
          <w:jc w:val="center"/>
        </w:trPr>
        <w:tc>
          <w:tcPr>
            <w:tcW w:w="5000" w:type="pct"/>
            <w:gridSpan w:val="29"/>
            <w:shd w:val="clear" w:color="auto" w:fill="99CCFF"/>
            <w:vAlign w:val="center"/>
          </w:tcPr>
          <w:p w:rsidR="00390AE3" w:rsidRPr="00A808AA"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Pr>
                <w:rFonts w:ascii="Times New Roman" w:hAnsi="Times New Roman"/>
                <w:b/>
                <w:color w:val="000000"/>
              </w:rPr>
              <w:t>Informations sur la portée, la durée et le résumé des résultats de la consultation</w:t>
            </w:r>
          </w:p>
        </w:tc>
      </w:tr>
      <w:tr w:rsidR="00390AE3" w:rsidRPr="00A808AA" w:rsidTr="005E3488">
        <w:trPr>
          <w:jc w:val="center"/>
        </w:trPr>
        <w:tc>
          <w:tcPr>
            <w:tcW w:w="5000" w:type="pct"/>
            <w:gridSpan w:val="29"/>
            <w:shd w:val="clear" w:color="auto" w:fill="FFFFFF"/>
          </w:tcPr>
          <w:p w:rsidR="00EF435A" w:rsidRPr="00A808AA" w:rsidRDefault="00310B98" w:rsidP="005E3488">
            <w:pPr>
              <w:spacing w:before="60" w:after="60" w:line="240" w:lineRule="auto"/>
              <w:jc w:val="both"/>
              <w:rPr>
                <w:rFonts w:ascii="Times New Roman" w:hAnsi="Times New Roman" w:cs="Times New Roman"/>
                <w:color w:val="000000"/>
              </w:rPr>
            </w:pPr>
            <w:r>
              <w:rPr>
                <w:rFonts w:ascii="Times New Roman" w:hAnsi="Times New Roman"/>
                <w:color w:val="000000"/>
              </w:rPr>
              <w:t xml:space="preserve">Des consultations publiques et des consultations interministérielles du projet de loi ont été organisées du 31 janvier au 21 février 2017. Par ailleurs, le projet a été publié sur les sites Web du Centre de législation du gouvernement. La durée de la consultation a été limitée à 30 jours compte tenu de l’importance de l’intérêt public visé, à savoir une mise en œuvre rapide de la réglementation proposée. Le projet de réglementation a fait l’objet de 151 observations. Le 23 mars de cette année a eu lieu une conférence de concertation. Le rapport de consultation est joint en annexe à </w:t>
            </w:r>
            <w:r>
              <w:rPr>
                <w:rFonts w:ascii="Times New Roman" w:hAnsi="Times New Roman"/>
                <w:color w:val="000000"/>
              </w:rPr>
              <w:lastRenderedPageBreak/>
              <w:t>l’AIR.</w:t>
            </w:r>
          </w:p>
        </w:tc>
      </w:tr>
      <w:tr w:rsidR="00390AE3" w:rsidRPr="00A808AA" w:rsidTr="005E3488">
        <w:trPr>
          <w:jc w:val="center"/>
        </w:trPr>
        <w:tc>
          <w:tcPr>
            <w:tcW w:w="5000" w:type="pct"/>
            <w:gridSpan w:val="29"/>
            <w:shd w:val="clear" w:color="auto" w:fill="99CCFF"/>
            <w:vAlign w:val="center"/>
          </w:tcPr>
          <w:p w:rsidR="00390AE3" w:rsidRPr="00A808AA"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Pr>
                <w:rFonts w:ascii="Times New Roman" w:hAnsi="Times New Roman"/>
                <w:b/>
                <w:color w:val="000000"/>
              </w:rPr>
              <w:lastRenderedPageBreak/>
              <w:t>Impact sur le secteur des finances publiques</w:t>
            </w:r>
          </w:p>
        </w:tc>
      </w:tr>
      <w:tr w:rsidR="00390AE3" w:rsidRPr="00A808AA" w:rsidTr="005E3488">
        <w:trPr>
          <w:jc w:val="center"/>
        </w:trPr>
        <w:tc>
          <w:tcPr>
            <w:tcW w:w="1138" w:type="pct"/>
            <w:gridSpan w:val="2"/>
            <w:vMerge w:val="restart"/>
            <w:shd w:val="clear" w:color="auto" w:fill="FFFFFF"/>
          </w:tcPr>
          <w:p w:rsidR="00390AE3" w:rsidRPr="00A808AA" w:rsidRDefault="00390AE3" w:rsidP="001578DD">
            <w:pPr>
              <w:spacing w:before="60" w:after="60" w:line="240" w:lineRule="auto"/>
              <w:rPr>
                <w:rFonts w:ascii="Times New Roman" w:hAnsi="Times New Roman" w:cs="Times New Roman"/>
                <w:i/>
                <w:color w:val="000000"/>
              </w:rPr>
            </w:pPr>
            <w:r>
              <w:rPr>
                <w:rFonts w:ascii="Times New Roman" w:hAnsi="Times New Roman"/>
                <w:color w:val="000000"/>
              </w:rPr>
              <w:t>(prix constants pour 2015)</w:t>
            </w:r>
          </w:p>
        </w:tc>
        <w:tc>
          <w:tcPr>
            <w:tcW w:w="3862" w:type="pct"/>
            <w:gridSpan w:val="27"/>
            <w:shd w:val="clear" w:color="auto" w:fill="FFFFFF"/>
          </w:tcPr>
          <w:p w:rsidR="00390AE3" w:rsidRPr="00A808AA" w:rsidRDefault="00390AE3" w:rsidP="001578DD">
            <w:pPr>
              <w:spacing w:before="60" w:after="60" w:line="240" w:lineRule="auto"/>
              <w:jc w:val="center"/>
              <w:rPr>
                <w:rFonts w:ascii="Times New Roman" w:hAnsi="Times New Roman" w:cs="Times New Roman"/>
                <w:i/>
                <w:color w:val="000000"/>
              </w:rPr>
            </w:pPr>
            <w:r>
              <w:rPr>
                <w:rFonts w:ascii="Times New Roman" w:hAnsi="Times New Roman"/>
                <w:color w:val="000000"/>
              </w:rPr>
              <w:t>Effets sur une période de 10 ans à compter de la date d’entrée en vigueur des modifications [en millions de PLN]</w:t>
            </w:r>
          </w:p>
        </w:tc>
      </w:tr>
      <w:tr w:rsidR="000F3E33" w:rsidRPr="00A808AA" w:rsidTr="005E3488">
        <w:trPr>
          <w:jc w:val="center"/>
        </w:trPr>
        <w:tc>
          <w:tcPr>
            <w:tcW w:w="1138" w:type="pct"/>
            <w:gridSpan w:val="2"/>
            <w:vMerge/>
            <w:shd w:val="clear" w:color="auto" w:fill="FFFFFF"/>
          </w:tcPr>
          <w:p w:rsidR="00390AE3" w:rsidRPr="00A808AA" w:rsidRDefault="00390AE3" w:rsidP="001578DD">
            <w:pPr>
              <w:spacing w:before="60" w:after="60" w:line="240" w:lineRule="auto"/>
              <w:rPr>
                <w:rFonts w:ascii="Times New Roman" w:hAnsi="Times New Roman" w:cs="Times New Roman"/>
                <w:i/>
                <w:color w:val="000000"/>
              </w:rPr>
            </w:pPr>
          </w:p>
        </w:tc>
        <w:tc>
          <w:tcPr>
            <w:tcW w:w="275" w:type="pct"/>
            <w:gridSpan w:val="3"/>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1</w:t>
            </w:r>
          </w:p>
        </w:tc>
        <w:tc>
          <w:tcPr>
            <w:tcW w:w="349" w:type="pct"/>
            <w:gridSpan w:val="3"/>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2</w:t>
            </w:r>
          </w:p>
        </w:tc>
        <w:tc>
          <w:tcPr>
            <w:tcW w:w="346" w:type="pct"/>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3</w:t>
            </w:r>
          </w:p>
        </w:tc>
        <w:tc>
          <w:tcPr>
            <w:tcW w:w="346" w:type="pct"/>
            <w:gridSpan w:val="3"/>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4</w:t>
            </w:r>
          </w:p>
        </w:tc>
        <w:tc>
          <w:tcPr>
            <w:tcW w:w="277" w:type="pct"/>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5</w:t>
            </w:r>
          </w:p>
        </w:tc>
        <w:tc>
          <w:tcPr>
            <w:tcW w:w="277" w:type="pct"/>
            <w:gridSpan w:val="3"/>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6</w:t>
            </w:r>
          </w:p>
        </w:tc>
        <w:tc>
          <w:tcPr>
            <w:tcW w:w="274" w:type="pct"/>
            <w:gridSpan w:val="3"/>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7</w:t>
            </w:r>
          </w:p>
        </w:tc>
        <w:tc>
          <w:tcPr>
            <w:tcW w:w="346" w:type="pct"/>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8</w:t>
            </w:r>
          </w:p>
        </w:tc>
        <w:tc>
          <w:tcPr>
            <w:tcW w:w="346" w:type="pct"/>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9</w:t>
            </w:r>
          </w:p>
        </w:tc>
        <w:tc>
          <w:tcPr>
            <w:tcW w:w="316" w:type="pct"/>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r>
              <w:rPr>
                <w:rFonts w:ascii="Times New Roman" w:hAnsi="Times New Roman"/>
                <w:color w:val="000000"/>
              </w:rPr>
              <w:t>10</w:t>
            </w:r>
          </w:p>
        </w:tc>
        <w:tc>
          <w:tcPr>
            <w:tcW w:w="432" w:type="pct"/>
            <w:shd w:val="clear" w:color="auto" w:fill="FFFFFF"/>
          </w:tcPr>
          <w:p w:rsidR="00390AE3" w:rsidRPr="00A808AA" w:rsidRDefault="001578DD" w:rsidP="001578DD">
            <w:pPr>
              <w:spacing w:before="60" w:after="60" w:line="240" w:lineRule="auto"/>
              <w:jc w:val="center"/>
              <w:rPr>
                <w:rFonts w:ascii="Times New Roman" w:hAnsi="Times New Roman" w:cs="Times New Roman"/>
                <w:color w:val="000000"/>
              </w:rPr>
            </w:pPr>
            <w:r>
              <w:rPr>
                <w:rFonts w:ascii="Times New Roman" w:hAnsi="Times New Roman"/>
                <w:color w:val="000000"/>
              </w:rPr>
              <w:t>Au total (0-10)</w:t>
            </w:r>
          </w:p>
        </w:tc>
      </w:tr>
      <w:tr w:rsidR="000769A3" w:rsidRPr="00A808AA" w:rsidTr="005E3488">
        <w:trPr>
          <w:jc w:val="center"/>
        </w:trPr>
        <w:tc>
          <w:tcPr>
            <w:tcW w:w="1138" w:type="pct"/>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b/>
                <w:color w:val="000000"/>
              </w:rPr>
              <w:t>Total des recettes</w:t>
            </w:r>
          </w:p>
        </w:tc>
        <w:tc>
          <w:tcPr>
            <w:tcW w:w="275"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9"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4"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1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432"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w:rsidR="000769A3" w:rsidRPr="00A808AA" w:rsidTr="005E3488">
        <w:trPr>
          <w:jc w:val="center"/>
        </w:trPr>
        <w:tc>
          <w:tcPr>
            <w:tcW w:w="1138" w:type="pct"/>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color w:val="000000"/>
              </w:rPr>
              <w:t>budget de l’État</w:t>
            </w:r>
          </w:p>
        </w:tc>
        <w:tc>
          <w:tcPr>
            <w:tcW w:w="275"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9"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4"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1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432"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w:rsidR="000769A3" w:rsidRPr="00A808AA" w:rsidTr="005E3488">
        <w:trPr>
          <w:jc w:val="center"/>
        </w:trPr>
        <w:tc>
          <w:tcPr>
            <w:tcW w:w="1138" w:type="pct"/>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color w:val="000000"/>
              </w:rPr>
              <w:t>JST (collectivités territoriales)</w:t>
            </w:r>
          </w:p>
        </w:tc>
        <w:tc>
          <w:tcPr>
            <w:tcW w:w="275"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9"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4"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1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432"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w:rsidR="000769A3" w:rsidRPr="00A808AA" w:rsidTr="005E3488">
        <w:trPr>
          <w:jc w:val="center"/>
        </w:trPr>
        <w:tc>
          <w:tcPr>
            <w:tcW w:w="1138" w:type="pct"/>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color w:val="000000"/>
              </w:rPr>
              <w:t>Autres entités (séparément)</w:t>
            </w:r>
          </w:p>
        </w:tc>
        <w:tc>
          <w:tcPr>
            <w:tcW w:w="275"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9"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4"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1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432"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w:rsidR="004E5D0A" w:rsidRPr="00A808AA" w:rsidTr="005E3488">
        <w:trPr>
          <w:jc w:val="center"/>
        </w:trPr>
        <w:tc>
          <w:tcPr>
            <w:tcW w:w="1138" w:type="pct"/>
            <w:gridSpan w:val="2"/>
            <w:shd w:val="clear" w:color="auto" w:fill="FFFFFF"/>
            <w:vAlign w:val="center"/>
          </w:tcPr>
          <w:p w:rsidR="004E5D0A" w:rsidRPr="00A808AA" w:rsidRDefault="004E5D0A" w:rsidP="001578DD">
            <w:pPr>
              <w:spacing w:before="60" w:after="60" w:line="240" w:lineRule="auto"/>
              <w:rPr>
                <w:rFonts w:ascii="Times New Roman" w:hAnsi="Times New Roman" w:cs="Times New Roman"/>
                <w:color w:val="000000"/>
              </w:rPr>
            </w:pPr>
            <w:r>
              <w:rPr>
                <w:rFonts w:ascii="Times New Roman" w:hAnsi="Times New Roman"/>
                <w:b/>
                <w:color w:val="000000"/>
              </w:rPr>
              <w:t>Total des dépenses</w:t>
            </w:r>
          </w:p>
        </w:tc>
        <w:tc>
          <w:tcPr>
            <w:tcW w:w="275" w:type="pct"/>
            <w:gridSpan w:val="3"/>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0</w:t>
            </w:r>
          </w:p>
        </w:tc>
        <w:tc>
          <w:tcPr>
            <w:tcW w:w="279" w:type="pct"/>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8,43</w:t>
            </w:r>
          </w:p>
        </w:tc>
        <w:tc>
          <w:tcPr>
            <w:tcW w:w="349"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7,99</w:t>
            </w:r>
          </w:p>
        </w:tc>
        <w:tc>
          <w:tcPr>
            <w:tcW w:w="34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8,19</w:t>
            </w:r>
          </w:p>
        </w:tc>
        <w:tc>
          <w:tcPr>
            <w:tcW w:w="346"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8,39</w:t>
            </w:r>
          </w:p>
        </w:tc>
        <w:tc>
          <w:tcPr>
            <w:tcW w:w="277"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8,60</w:t>
            </w:r>
          </w:p>
        </w:tc>
        <w:tc>
          <w:tcPr>
            <w:tcW w:w="277"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8,82</w:t>
            </w:r>
          </w:p>
        </w:tc>
        <w:tc>
          <w:tcPr>
            <w:tcW w:w="274"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9,04</w:t>
            </w:r>
          </w:p>
        </w:tc>
        <w:tc>
          <w:tcPr>
            <w:tcW w:w="34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9,27</w:t>
            </w:r>
          </w:p>
        </w:tc>
        <w:tc>
          <w:tcPr>
            <w:tcW w:w="34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9,50</w:t>
            </w:r>
          </w:p>
        </w:tc>
        <w:tc>
          <w:tcPr>
            <w:tcW w:w="31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9,73</w:t>
            </w:r>
          </w:p>
        </w:tc>
        <w:tc>
          <w:tcPr>
            <w:tcW w:w="432" w:type="pct"/>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87,96</w:t>
            </w:r>
          </w:p>
        </w:tc>
      </w:tr>
      <w:tr w:rsidR="004E5D0A" w:rsidRPr="00A808AA" w:rsidTr="005E3488">
        <w:trPr>
          <w:jc w:val="center"/>
        </w:trPr>
        <w:tc>
          <w:tcPr>
            <w:tcW w:w="1138" w:type="pct"/>
            <w:gridSpan w:val="2"/>
            <w:shd w:val="clear" w:color="auto" w:fill="FFFFFF"/>
            <w:vAlign w:val="center"/>
          </w:tcPr>
          <w:p w:rsidR="004E5D0A" w:rsidRPr="00A808AA" w:rsidRDefault="004E5D0A" w:rsidP="001578DD">
            <w:pPr>
              <w:spacing w:before="60" w:after="60" w:line="240" w:lineRule="auto"/>
              <w:rPr>
                <w:rFonts w:ascii="Times New Roman" w:hAnsi="Times New Roman" w:cs="Times New Roman"/>
                <w:color w:val="000000"/>
              </w:rPr>
            </w:pPr>
            <w:r>
              <w:rPr>
                <w:rFonts w:ascii="Times New Roman" w:hAnsi="Times New Roman"/>
                <w:color w:val="000000"/>
              </w:rPr>
              <w:t>budget de l’État</w:t>
            </w:r>
          </w:p>
        </w:tc>
        <w:tc>
          <w:tcPr>
            <w:tcW w:w="275" w:type="pct"/>
            <w:gridSpan w:val="3"/>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8,43</w:t>
            </w:r>
          </w:p>
        </w:tc>
        <w:tc>
          <w:tcPr>
            <w:tcW w:w="349"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7,99</w:t>
            </w:r>
          </w:p>
        </w:tc>
        <w:tc>
          <w:tcPr>
            <w:tcW w:w="34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8,19</w:t>
            </w:r>
          </w:p>
        </w:tc>
        <w:tc>
          <w:tcPr>
            <w:tcW w:w="346"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8,39</w:t>
            </w:r>
          </w:p>
        </w:tc>
        <w:tc>
          <w:tcPr>
            <w:tcW w:w="277"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8,60</w:t>
            </w:r>
          </w:p>
        </w:tc>
        <w:tc>
          <w:tcPr>
            <w:tcW w:w="277"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8,82</w:t>
            </w:r>
          </w:p>
        </w:tc>
        <w:tc>
          <w:tcPr>
            <w:tcW w:w="274"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9,04</w:t>
            </w:r>
          </w:p>
        </w:tc>
        <w:tc>
          <w:tcPr>
            <w:tcW w:w="34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9,27</w:t>
            </w:r>
          </w:p>
        </w:tc>
        <w:tc>
          <w:tcPr>
            <w:tcW w:w="34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9,50</w:t>
            </w:r>
          </w:p>
        </w:tc>
        <w:tc>
          <w:tcPr>
            <w:tcW w:w="31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9,73</w:t>
            </w:r>
          </w:p>
        </w:tc>
        <w:tc>
          <w:tcPr>
            <w:tcW w:w="432" w:type="pct"/>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b/>
                <w:color w:val="000000"/>
              </w:rPr>
              <w:t>87,96</w:t>
            </w:r>
          </w:p>
        </w:tc>
      </w:tr>
      <w:tr w:rsidR="00CF6BCC" w:rsidRPr="00A808AA" w:rsidTr="005E3488">
        <w:trPr>
          <w:jc w:val="center"/>
        </w:trPr>
        <w:tc>
          <w:tcPr>
            <w:tcW w:w="1138" w:type="pct"/>
            <w:gridSpan w:val="2"/>
            <w:shd w:val="clear" w:color="auto" w:fill="FFFFFF"/>
            <w:vAlign w:val="center"/>
          </w:tcPr>
          <w:p w:rsidR="00CF6BCC" w:rsidRPr="00A808AA" w:rsidRDefault="00CF6BCC" w:rsidP="001578DD">
            <w:pPr>
              <w:spacing w:before="60" w:after="60" w:line="240" w:lineRule="auto"/>
              <w:ind w:firstLine="176"/>
              <w:rPr>
                <w:rFonts w:ascii="Times New Roman" w:hAnsi="Times New Roman" w:cs="Times New Roman"/>
                <w:color w:val="000000"/>
              </w:rPr>
            </w:pPr>
            <w:r>
              <w:rPr>
                <w:rFonts w:ascii="Times New Roman" w:hAnsi="Times New Roman"/>
                <w:color w:val="000000"/>
              </w:rPr>
              <w:t>Président d’</w:t>
            </w:r>
            <w:proofErr w:type="spellStart"/>
            <w:r>
              <w:rPr>
                <w:rFonts w:ascii="Times New Roman" w:hAnsi="Times New Roman"/>
                <w:color w:val="000000"/>
              </w:rPr>
              <w:t>UOKiK</w:t>
            </w:r>
            <w:proofErr w:type="spellEnd"/>
          </w:p>
        </w:tc>
        <w:tc>
          <w:tcPr>
            <w:tcW w:w="275" w:type="pct"/>
            <w:gridSpan w:val="3"/>
            <w:shd w:val="clear" w:color="auto" w:fill="FFFFFF"/>
            <w:vAlign w:val="center"/>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3,31</w:t>
            </w:r>
          </w:p>
        </w:tc>
        <w:tc>
          <w:tcPr>
            <w:tcW w:w="349"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3,19</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3,27</w:t>
            </w:r>
          </w:p>
        </w:tc>
        <w:tc>
          <w:tcPr>
            <w:tcW w:w="346"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3,35</w:t>
            </w:r>
          </w:p>
        </w:tc>
        <w:tc>
          <w:tcPr>
            <w:tcW w:w="277"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3,43</w:t>
            </w:r>
          </w:p>
        </w:tc>
        <w:tc>
          <w:tcPr>
            <w:tcW w:w="277"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3,52</w:t>
            </w:r>
          </w:p>
        </w:tc>
        <w:tc>
          <w:tcPr>
            <w:tcW w:w="274"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3,61</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3,70</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3,79</w:t>
            </w:r>
          </w:p>
        </w:tc>
        <w:tc>
          <w:tcPr>
            <w:tcW w:w="31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3,89</w:t>
            </w:r>
          </w:p>
        </w:tc>
        <w:tc>
          <w:tcPr>
            <w:tcW w:w="432" w:type="pct"/>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35,05</w:t>
            </w:r>
          </w:p>
        </w:tc>
      </w:tr>
      <w:tr w:rsidR="00CF6BCC" w:rsidRPr="00A808AA" w:rsidTr="005E3488">
        <w:trPr>
          <w:jc w:val="center"/>
        </w:trPr>
        <w:tc>
          <w:tcPr>
            <w:tcW w:w="1138" w:type="pct"/>
            <w:gridSpan w:val="2"/>
            <w:shd w:val="clear" w:color="auto" w:fill="FFFFFF"/>
            <w:vAlign w:val="center"/>
          </w:tcPr>
          <w:p w:rsidR="00CF6BCC" w:rsidRPr="00A808AA" w:rsidRDefault="00CF6BCC" w:rsidP="001578DD">
            <w:pPr>
              <w:spacing w:before="60" w:after="60" w:line="240" w:lineRule="auto"/>
              <w:ind w:left="176"/>
              <w:rPr>
                <w:rFonts w:ascii="Times New Roman" w:hAnsi="Times New Roman" w:cs="Times New Roman"/>
                <w:color w:val="000000"/>
              </w:rPr>
            </w:pPr>
            <w:r>
              <w:rPr>
                <w:rFonts w:ascii="Times New Roman" w:hAnsi="Times New Roman"/>
                <w:color w:val="000000"/>
              </w:rPr>
              <w:t>Inspection du commerce de voïvodie</w:t>
            </w:r>
          </w:p>
        </w:tc>
        <w:tc>
          <w:tcPr>
            <w:tcW w:w="275" w:type="pct"/>
            <w:gridSpan w:val="3"/>
            <w:shd w:val="clear" w:color="auto" w:fill="FFFFFF"/>
            <w:vAlign w:val="center"/>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2,71</w:t>
            </w:r>
          </w:p>
        </w:tc>
        <w:tc>
          <w:tcPr>
            <w:tcW w:w="349"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2,52</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2,58</w:t>
            </w:r>
          </w:p>
        </w:tc>
        <w:tc>
          <w:tcPr>
            <w:tcW w:w="346"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2,65</w:t>
            </w:r>
          </w:p>
        </w:tc>
        <w:tc>
          <w:tcPr>
            <w:tcW w:w="277"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2,71</w:t>
            </w:r>
          </w:p>
        </w:tc>
        <w:tc>
          <w:tcPr>
            <w:tcW w:w="277"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2,78</w:t>
            </w:r>
          </w:p>
        </w:tc>
        <w:tc>
          <w:tcPr>
            <w:tcW w:w="274"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2,85</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2,92</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2,99</w:t>
            </w:r>
          </w:p>
        </w:tc>
        <w:tc>
          <w:tcPr>
            <w:tcW w:w="31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3,07</w:t>
            </w:r>
          </w:p>
        </w:tc>
        <w:tc>
          <w:tcPr>
            <w:tcW w:w="432" w:type="pct"/>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27,77</w:t>
            </w:r>
          </w:p>
        </w:tc>
      </w:tr>
      <w:tr w:rsidR="00CF6BCC" w:rsidRPr="00A808AA" w:rsidTr="005E3488">
        <w:trPr>
          <w:jc w:val="center"/>
        </w:trPr>
        <w:tc>
          <w:tcPr>
            <w:tcW w:w="1138" w:type="pct"/>
            <w:gridSpan w:val="2"/>
            <w:shd w:val="clear" w:color="auto" w:fill="FFFFFF"/>
            <w:vAlign w:val="center"/>
          </w:tcPr>
          <w:p w:rsidR="00CF6BCC" w:rsidRPr="00A808AA" w:rsidRDefault="00CF6BCC" w:rsidP="001578DD">
            <w:pPr>
              <w:spacing w:before="60" w:after="60" w:line="240" w:lineRule="auto"/>
              <w:ind w:left="176"/>
              <w:rPr>
                <w:rFonts w:ascii="Times New Roman" w:hAnsi="Times New Roman" w:cs="Times New Roman"/>
                <w:color w:val="000000"/>
              </w:rPr>
            </w:pPr>
            <w:r>
              <w:rPr>
                <w:rFonts w:ascii="Times New Roman" w:hAnsi="Times New Roman"/>
                <w:color w:val="000000"/>
              </w:rPr>
              <w:t>KAS (administration fiscale nationale)</w:t>
            </w:r>
          </w:p>
        </w:tc>
        <w:tc>
          <w:tcPr>
            <w:tcW w:w="275" w:type="pct"/>
            <w:gridSpan w:val="3"/>
            <w:shd w:val="clear" w:color="auto" w:fill="FFFFFF"/>
            <w:vAlign w:val="center"/>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2,41</w:t>
            </w:r>
          </w:p>
        </w:tc>
        <w:tc>
          <w:tcPr>
            <w:tcW w:w="349"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2,28</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2,34</w:t>
            </w:r>
          </w:p>
        </w:tc>
        <w:tc>
          <w:tcPr>
            <w:tcW w:w="346"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2,40</w:t>
            </w:r>
          </w:p>
        </w:tc>
        <w:tc>
          <w:tcPr>
            <w:tcW w:w="277"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2,46</w:t>
            </w:r>
          </w:p>
        </w:tc>
        <w:tc>
          <w:tcPr>
            <w:tcW w:w="277"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2,52</w:t>
            </w:r>
          </w:p>
        </w:tc>
        <w:tc>
          <w:tcPr>
            <w:tcW w:w="274"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2,58</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2,65</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2,71</w:t>
            </w:r>
          </w:p>
        </w:tc>
        <w:tc>
          <w:tcPr>
            <w:tcW w:w="31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2,78</w:t>
            </w:r>
          </w:p>
        </w:tc>
        <w:tc>
          <w:tcPr>
            <w:tcW w:w="432" w:type="pct"/>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25,13</w:t>
            </w:r>
          </w:p>
        </w:tc>
      </w:tr>
      <w:tr w:rsidR="000769A3" w:rsidRPr="00A808AA" w:rsidTr="005E3488">
        <w:trPr>
          <w:jc w:val="center"/>
        </w:trPr>
        <w:tc>
          <w:tcPr>
            <w:tcW w:w="1138" w:type="pct"/>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color w:val="000000"/>
              </w:rPr>
              <w:t>JST (collectivités territoriales)</w:t>
            </w:r>
          </w:p>
        </w:tc>
        <w:tc>
          <w:tcPr>
            <w:tcW w:w="275"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9"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4"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1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432"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w:rsidR="000769A3" w:rsidRPr="00A808AA" w:rsidTr="005E3488">
        <w:trPr>
          <w:jc w:val="center"/>
        </w:trPr>
        <w:tc>
          <w:tcPr>
            <w:tcW w:w="1138" w:type="pct"/>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color w:val="000000"/>
              </w:rPr>
              <w:t>Autres entités (séparément)</w:t>
            </w:r>
          </w:p>
        </w:tc>
        <w:tc>
          <w:tcPr>
            <w:tcW w:w="275"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9"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4"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1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432"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w:rsidR="004E5D0A" w:rsidRPr="00A808AA" w:rsidTr="005E3488">
        <w:trPr>
          <w:jc w:val="center"/>
        </w:trPr>
        <w:tc>
          <w:tcPr>
            <w:tcW w:w="1138" w:type="pct"/>
            <w:gridSpan w:val="2"/>
            <w:shd w:val="clear" w:color="auto" w:fill="FFFFFF"/>
            <w:vAlign w:val="center"/>
          </w:tcPr>
          <w:p w:rsidR="004E5D0A" w:rsidRPr="00A808AA" w:rsidRDefault="004E5D0A" w:rsidP="001578DD">
            <w:pPr>
              <w:spacing w:before="60" w:after="60" w:line="240" w:lineRule="auto"/>
              <w:rPr>
                <w:rFonts w:ascii="Times New Roman" w:hAnsi="Times New Roman" w:cs="Times New Roman"/>
                <w:color w:val="000000"/>
              </w:rPr>
            </w:pPr>
            <w:r>
              <w:rPr>
                <w:rFonts w:ascii="Times New Roman" w:hAnsi="Times New Roman"/>
                <w:b/>
                <w:color w:val="000000"/>
              </w:rPr>
              <w:t>Solde total</w:t>
            </w:r>
          </w:p>
        </w:tc>
        <w:tc>
          <w:tcPr>
            <w:tcW w:w="275" w:type="pct"/>
            <w:gridSpan w:val="3"/>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0</w:t>
            </w:r>
          </w:p>
        </w:tc>
        <w:tc>
          <w:tcPr>
            <w:tcW w:w="279" w:type="pct"/>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-8,43</w:t>
            </w:r>
          </w:p>
        </w:tc>
        <w:tc>
          <w:tcPr>
            <w:tcW w:w="349"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-7,99</w:t>
            </w:r>
          </w:p>
        </w:tc>
        <w:tc>
          <w:tcPr>
            <w:tcW w:w="34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-8,19</w:t>
            </w:r>
          </w:p>
        </w:tc>
        <w:tc>
          <w:tcPr>
            <w:tcW w:w="346"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-8,39</w:t>
            </w:r>
          </w:p>
        </w:tc>
        <w:tc>
          <w:tcPr>
            <w:tcW w:w="277"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-8,60</w:t>
            </w:r>
          </w:p>
        </w:tc>
        <w:tc>
          <w:tcPr>
            <w:tcW w:w="277"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-8,82</w:t>
            </w:r>
          </w:p>
        </w:tc>
        <w:tc>
          <w:tcPr>
            <w:tcW w:w="274"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-9,04</w:t>
            </w:r>
          </w:p>
        </w:tc>
        <w:tc>
          <w:tcPr>
            <w:tcW w:w="34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-9,27</w:t>
            </w:r>
          </w:p>
        </w:tc>
        <w:tc>
          <w:tcPr>
            <w:tcW w:w="34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-9,50</w:t>
            </w:r>
          </w:p>
        </w:tc>
        <w:tc>
          <w:tcPr>
            <w:tcW w:w="31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-9,73</w:t>
            </w:r>
          </w:p>
        </w:tc>
        <w:tc>
          <w:tcPr>
            <w:tcW w:w="432" w:type="pct"/>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-87,96</w:t>
            </w:r>
          </w:p>
        </w:tc>
      </w:tr>
      <w:tr w:rsidR="004E5D0A" w:rsidRPr="00A808AA" w:rsidTr="005E3488">
        <w:trPr>
          <w:jc w:val="center"/>
        </w:trPr>
        <w:tc>
          <w:tcPr>
            <w:tcW w:w="1138" w:type="pct"/>
            <w:gridSpan w:val="2"/>
            <w:shd w:val="clear" w:color="auto" w:fill="FFFFFF"/>
            <w:vAlign w:val="center"/>
          </w:tcPr>
          <w:p w:rsidR="004E5D0A" w:rsidRPr="00A808AA" w:rsidRDefault="004E5D0A" w:rsidP="001578DD">
            <w:pPr>
              <w:spacing w:before="60" w:after="60" w:line="240" w:lineRule="auto"/>
              <w:rPr>
                <w:rFonts w:ascii="Times New Roman" w:hAnsi="Times New Roman" w:cs="Times New Roman"/>
                <w:color w:val="000000"/>
              </w:rPr>
            </w:pPr>
            <w:r>
              <w:rPr>
                <w:rFonts w:ascii="Times New Roman" w:hAnsi="Times New Roman"/>
                <w:color w:val="000000"/>
              </w:rPr>
              <w:t>budget de l’État</w:t>
            </w:r>
          </w:p>
        </w:tc>
        <w:tc>
          <w:tcPr>
            <w:tcW w:w="275" w:type="pct"/>
            <w:gridSpan w:val="3"/>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-8,43</w:t>
            </w:r>
          </w:p>
        </w:tc>
        <w:tc>
          <w:tcPr>
            <w:tcW w:w="349"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-7,99</w:t>
            </w:r>
          </w:p>
        </w:tc>
        <w:tc>
          <w:tcPr>
            <w:tcW w:w="34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-8,19</w:t>
            </w:r>
          </w:p>
        </w:tc>
        <w:tc>
          <w:tcPr>
            <w:tcW w:w="346"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-8,39</w:t>
            </w:r>
          </w:p>
        </w:tc>
        <w:tc>
          <w:tcPr>
            <w:tcW w:w="277"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-8,60</w:t>
            </w:r>
          </w:p>
        </w:tc>
        <w:tc>
          <w:tcPr>
            <w:tcW w:w="277"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-8,82</w:t>
            </w:r>
          </w:p>
        </w:tc>
        <w:tc>
          <w:tcPr>
            <w:tcW w:w="274" w:type="pct"/>
            <w:gridSpan w:val="3"/>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-9,04</w:t>
            </w:r>
          </w:p>
        </w:tc>
        <w:tc>
          <w:tcPr>
            <w:tcW w:w="34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-9,27</w:t>
            </w:r>
          </w:p>
        </w:tc>
        <w:tc>
          <w:tcPr>
            <w:tcW w:w="34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-9,50</w:t>
            </w:r>
          </w:p>
        </w:tc>
        <w:tc>
          <w:tcPr>
            <w:tcW w:w="316" w:type="pct"/>
            <w:gridSpan w:val="2"/>
            <w:shd w:val="clear" w:color="auto" w:fill="FFFFFF"/>
            <w:vAlign w:val="center"/>
          </w:tcPr>
          <w:p w:rsidR="004E5D0A" w:rsidRPr="00A808AA" w:rsidRDefault="004E5D0A" w:rsidP="001578DD">
            <w:pPr>
              <w:spacing w:before="60" w:after="60" w:line="240" w:lineRule="auto"/>
              <w:jc w:val="center"/>
              <w:rPr>
                <w:rFonts w:ascii="Times New Roman" w:hAnsi="Times New Roman" w:cs="Times New Roman"/>
                <w:color w:val="000000"/>
              </w:rPr>
            </w:pPr>
            <w:r>
              <w:rPr>
                <w:rFonts w:ascii="Times New Roman" w:hAnsi="Times New Roman"/>
                <w:color w:val="000000"/>
              </w:rPr>
              <w:t>-9,73</w:t>
            </w:r>
          </w:p>
        </w:tc>
        <w:tc>
          <w:tcPr>
            <w:tcW w:w="432" w:type="pct"/>
            <w:shd w:val="clear" w:color="auto" w:fill="FFFFFF"/>
            <w:vAlign w:val="center"/>
          </w:tcPr>
          <w:p w:rsidR="004E5D0A"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b/>
                <w:color w:val="000000"/>
              </w:rPr>
              <w:t>-87,96</w:t>
            </w:r>
          </w:p>
        </w:tc>
      </w:tr>
      <w:tr w:rsidR="00CF6BCC" w:rsidRPr="00A808AA" w:rsidTr="005E3488">
        <w:trPr>
          <w:jc w:val="center"/>
        </w:trPr>
        <w:tc>
          <w:tcPr>
            <w:tcW w:w="1138" w:type="pct"/>
            <w:gridSpan w:val="2"/>
            <w:shd w:val="clear" w:color="auto" w:fill="FFFFFF"/>
            <w:vAlign w:val="center"/>
          </w:tcPr>
          <w:p w:rsidR="00CF6BCC" w:rsidRPr="00A808AA" w:rsidRDefault="00CF6BCC" w:rsidP="001578DD">
            <w:pPr>
              <w:spacing w:before="60" w:after="60" w:line="240" w:lineRule="auto"/>
              <w:ind w:firstLine="176"/>
              <w:rPr>
                <w:rFonts w:ascii="Times New Roman" w:hAnsi="Times New Roman" w:cs="Times New Roman"/>
                <w:color w:val="000000"/>
              </w:rPr>
            </w:pPr>
            <w:r>
              <w:rPr>
                <w:rFonts w:ascii="Times New Roman" w:hAnsi="Times New Roman"/>
                <w:color w:val="000000"/>
              </w:rPr>
              <w:t>Président d’</w:t>
            </w:r>
            <w:proofErr w:type="spellStart"/>
            <w:r>
              <w:rPr>
                <w:rFonts w:ascii="Times New Roman" w:hAnsi="Times New Roman"/>
                <w:color w:val="000000"/>
              </w:rPr>
              <w:t>UOKiK</w:t>
            </w:r>
            <w:proofErr w:type="spellEnd"/>
          </w:p>
        </w:tc>
        <w:tc>
          <w:tcPr>
            <w:tcW w:w="275" w:type="pct"/>
            <w:gridSpan w:val="3"/>
            <w:shd w:val="clear" w:color="auto" w:fill="FFFFFF"/>
            <w:vAlign w:val="center"/>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-3,31</w:t>
            </w:r>
          </w:p>
        </w:tc>
        <w:tc>
          <w:tcPr>
            <w:tcW w:w="349"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-3,19</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-3,27</w:t>
            </w:r>
          </w:p>
        </w:tc>
        <w:tc>
          <w:tcPr>
            <w:tcW w:w="346"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-3,35</w:t>
            </w:r>
          </w:p>
        </w:tc>
        <w:tc>
          <w:tcPr>
            <w:tcW w:w="277"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-3,43</w:t>
            </w:r>
          </w:p>
        </w:tc>
        <w:tc>
          <w:tcPr>
            <w:tcW w:w="277"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-3,52</w:t>
            </w:r>
          </w:p>
        </w:tc>
        <w:tc>
          <w:tcPr>
            <w:tcW w:w="274"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-3,61</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-3,70</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-3,79</w:t>
            </w:r>
          </w:p>
        </w:tc>
        <w:tc>
          <w:tcPr>
            <w:tcW w:w="31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-3,89</w:t>
            </w:r>
          </w:p>
        </w:tc>
        <w:tc>
          <w:tcPr>
            <w:tcW w:w="432" w:type="pct"/>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-35,05</w:t>
            </w:r>
          </w:p>
        </w:tc>
      </w:tr>
      <w:tr w:rsidR="00CF6BCC" w:rsidRPr="00A808AA" w:rsidTr="005E3488">
        <w:trPr>
          <w:jc w:val="center"/>
        </w:trPr>
        <w:tc>
          <w:tcPr>
            <w:tcW w:w="1138" w:type="pct"/>
            <w:gridSpan w:val="2"/>
            <w:shd w:val="clear" w:color="auto" w:fill="FFFFFF"/>
            <w:vAlign w:val="center"/>
          </w:tcPr>
          <w:p w:rsidR="00CF6BCC" w:rsidRPr="00A808AA" w:rsidRDefault="00CF6BCC" w:rsidP="001578DD">
            <w:pPr>
              <w:spacing w:before="60" w:after="60" w:line="240" w:lineRule="auto"/>
              <w:ind w:left="176"/>
              <w:rPr>
                <w:rFonts w:ascii="Times New Roman" w:hAnsi="Times New Roman" w:cs="Times New Roman"/>
                <w:color w:val="000000"/>
              </w:rPr>
            </w:pPr>
            <w:r>
              <w:rPr>
                <w:rFonts w:ascii="Times New Roman" w:hAnsi="Times New Roman"/>
                <w:color w:val="000000"/>
              </w:rPr>
              <w:t>Inspection du commerce de voïvodie</w:t>
            </w:r>
          </w:p>
        </w:tc>
        <w:tc>
          <w:tcPr>
            <w:tcW w:w="275" w:type="pct"/>
            <w:gridSpan w:val="3"/>
            <w:shd w:val="clear" w:color="auto" w:fill="FFFFFF"/>
            <w:vAlign w:val="center"/>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-2,71</w:t>
            </w:r>
          </w:p>
        </w:tc>
        <w:tc>
          <w:tcPr>
            <w:tcW w:w="349"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-2,52</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-2,58</w:t>
            </w:r>
          </w:p>
        </w:tc>
        <w:tc>
          <w:tcPr>
            <w:tcW w:w="346"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-2,65</w:t>
            </w:r>
          </w:p>
        </w:tc>
        <w:tc>
          <w:tcPr>
            <w:tcW w:w="277"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-2,71</w:t>
            </w:r>
          </w:p>
        </w:tc>
        <w:tc>
          <w:tcPr>
            <w:tcW w:w="277"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-2,78</w:t>
            </w:r>
          </w:p>
        </w:tc>
        <w:tc>
          <w:tcPr>
            <w:tcW w:w="274"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-2,85</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-2,92</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-2,99</w:t>
            </w:r>
          </w:p>
        </w:tc>
        <w:tc>
          <w:tcPr>
            <w:tcW w:w="31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-3,07</w:t>
            </w:r>
          </w:p>
        </w:tc>
        <w:tc>
          <w:tcPr>
            <w:tcW w:w="432" w:type="pct"/>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-27,77</w:t>
            </w:r>
          </w:p>
        </w:tc>
      </w:tr>
      <w:tr w:rsidR="00CF6BCC" w:rsidRPr="00A808AA" w:rsidTr="005E3488">
        <w:trPr>
          <w:jc w:val="center"/>
        </w:trPr>
        <w:tc>
          <w:tcPr>
            <w:tcW w:w="1138" w:type="pct"/>
            <w:gridSpan w:val="2"/>
            <w:shd w:val="clear" w:color="auto" w:fill="FFFFFF"/>
            <w:vAlign w:val="center"/>
          </w:tcPr>
          <w:p w:rsidR="00CF6BCC" w:rsidRPr="00A808AA" w:rsidRDefault="00CF6BCC" w:rsidP="001578DD">
            <w:pPr>
              <w:spacing w:before="60" w:after="60" w:line="240" w:lineRule="auto"/>
              <w:ind w:left="176"/>
              <w:rPr>
                <w:rFonts w:ascii="Times New Roman" w:hAnsi="Times New Roman" w:cs="Times New Roman"/>
                <w:color w:val="000000"/>
              </w:rPr>
            </w:pPr>
            <w:r>
              <w:rPr>
                <w:rFonts w:ascii="Times New Roman" w:hAnsi="Times New Roman"/>
                <w:color w:val="000000"/>
              </w:rPr>
              <w:t>KAS (administration fiscale nationale)</w:t>
            </w:r>
          </w:p>
        </w:tc>
        <w:tc>
          <w:tcPr>
            <w:tcW w:w="275" w:type="pct"/>
            <w:gridSpan w:val="3"/>
            <w:shd w:val="clear" w:color="auto" w:fill="FFFFFF"/>
            <w:vAlign w:val="center"/>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-2,41</w:t>
            </w:r>
          </w:p>
        </w:tc>
        <w:tc>
          <w:tcPr>
            <w:tcW w:w="349"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-2,28</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-2,34</w:t>
            </w:r>
          </w:p>
        </w:tc>
        <w:tc>
          <w:tcPr>
            <w:tcW w:w="346"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-2,40</w:t>
            </w:r>
          </w:p>
        </w:tc>
        <w:tc>
          <w:tcPr>
            <w:tcW w:w="277"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-2,46</w:t>
            </w:r>
          </w:p>
        </w:tc>
        <w:tc>
          <w:tcPr>
            <w:tcW w:w="277"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-2,52</w:t>
            </w:r>
          </w:p>
        </w:tc>
        <w:tc>
          <w:tcPr>
            <w:tcW w:w="274" w:type="pct"/>
            <w:gridSpan w:val="3"/>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-2,58</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-2,65</w:t>
            </w:r>
          </w:p>
        </w:tc>
        <w:tc>
          <w:tcPr>
            <w:tcW w:w="34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-2,71</w:t>
            </w:r>
          </w:p>
        </w:tc>
        <w:tc>
          <w:tcPr>
            <w:tcW w:w="316" w:type="pct"/>
            <w:gridSpan w:val="2"/>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color w:val="000000"/>
              </w:rPr>
            </w:pPr>
            <w:r>
              <w:rPr>
                <w:rFonts w:ascii="Times New Roman" w:hAnsi="Times New Roman"/>
                <w:color w:val="000000"/>
              </w:rPr>
              <w:t>-2,78</w:t>
            </w:r>
          </w:p>
        </w:tc>
        <w:tc>
          <w:tcPr>
            <w:tcW w:w="432" w:type="pct"/>
            <w:shd w:val="clear" w:color="auto" w:fill="FFFFFF"/>
            <w:vAlign w:val="bottom"/>
          </w:tcPr>
          <w:p w:rsidR="00CF6BCC" w:rsidRPr="00A808AA" w:rsidRDefault="00CF6BCC" w:rsidP="001578DD">
            <w:pPr>
              <w:spacing w:before="60" w:after="60" w:line="240" w:lineRule="auto"/>
              <w:jc w:val="center"/>
              <w:rPr>
                <w:rFonts w:ascii="Times New Roman" w:hAnsi="Times New Roman" w:cs="Times New Roman"/>
                <w:b/>
                <w:color w:val="000000"/>
              </w:rPr>
            </w:pPr>
            <w:r>
              <w:rPr>
                <w:rFonts w:ascii="Times New Roman" w:hAnsi="Times New Roman"/>
                <w:b/>
                <w:color w:val="000000"/>
              </w:rPr>
              <w:t>-25,13</w:t>
            </w:r>
          </w:p>
        </w:tc>
      </w:tr>
      <w:tr w:rsidR="000769A3" w:rsidRPr="00A808AA" w:rsidTr="005E3488">
        <w:trPr>
          <w:jc w:val="center"/>
        </w:trPr>
        <w:tc>
          <w:tcPr>
            <w:tcW w:w="1138" w:type="pct"/>
            <w:gridSpan w:val="2"/>
            <w:shd w:val="clear" w:color="auto" w:fill="FFFFFF"/>
            <w:vAlign w:val="center"/>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JST (collectivités territoriales)</w:t>
            </w:r>
          </w:p>
        </w:tc>
        <w:tc>
          <w:tcPr>
            <w:tcW w:w="275" w:type="pct"/>
            <w:gridSpan w:val="3"/>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9" w:type="pct"/>
            <w:gridSpan w:val="3"/>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3"/>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2"/>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3"/>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4" w:type="pct"/>
            <w:gridSpan w:val="3"/>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16" w:type="pct"/>
            <w:gridSpan w:val="2"/>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432" w:type="pct"/>
            <w:shd w:val="clear" w:color="auto" w:fill="FFFFFF"/>
            <w:vAlign w:val="center"/>
          </w:tcPr>
          <w:p w:rsidR="00390AE3"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w:rsidR="000769A3" w:rsidRPr="00A808AA" w:rsidTr="005E3488">
        <w:trPr>
          <w:jc w:val="center"/>
        </w:trPr>
        <w:tc>
          <w:tcPr>
            <w:tcW w:w="1138" w:type="pct"/>
            <w:gridSpan w:val="2"/>
            <w:shd w:val="clear" w:color="auto" w:fill="FFFFFF"/>
            <w:vAlign w:val="center"/>
          </w:tcPr>
          <w:p w:rsidR="00C4617D" w:rsidRPr="00A808AA" w:rsidRDefault="00C4617D" w:rsidP="001578DD">
            <w:pPr>
              <w:spacing w:before="60" w:after="60" w:line="240" w:lineRule="auto"/>
              <w:rPr>
                <w:rFonts w:ascii="Times New Roman" w:hAnsi="Times New Roman" w:cs="Times New Roman"/>
                <w:color w:val="000000"/>
              </w:rPr>
            </w:pPr>
            <w:r>
              <w:rPr>
                <w:rFonts w:ascii="Times New Roman" w:hAnsi="Times New Roman"/>
                <w:color w:val="000000"/>
              </w:rPr>
              <w:t>Autres entités (séparément)</w:t>
            </w:r>
          </w:p>
        </w:tc>
        <w:tc>
          <w:tcPr>
            <w:tcW w:w="275"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9"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9"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7"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274" w:type="pct"/>
            <w:gridSpan w:val="3"/>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4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16" w:type="pct"/>
            <w:gridSpan w:val="2"/>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432" w:type="pct"/>
            <w:shd w:val="clear" w:color="auto" w:fill="FFFFFF"/>
            <w:vAlign w:val="center"/>
          </w:tcPr>
          <w:p w:rsidR="00C4617D" w:rsidRPr="00A808AA" w:rsidRDefault="00C4617D" w:rsidP="001578DD">
            <w:pPr>
              <w:spacing w:before="60" w:after="60" w:line="240" w:lineRule="auto"/>
              <w:jc w:val="center"/>
              <w:rPr>
                <w:rFonts w:ascii="Times New Roman" w:hAnsi="Times New Roman" w:cs="Times New Roman"/>
                <w:color w:val="000000"/>
              </w:rPr>
            </w:pPr>
            <w:r>
              <w:rPr>
                <w:rFonts w:ascii="Times New Roman" w:hAnsi="Times New Roman"/>
                <w:color w:val="000000"/>
              </w:rPr>
              <w:t>0</w:t>
            </w:r>
          </w:p>
        </w:tc>
      </w:tr>
      <w:tr w:rsidR="00390AE3" w:rsidRPr="00A808AA" w:rsidTr="005E3488">
        <w:trPr>
          <w:jc w:val="center"/>
        </w:trPr>
        <w:tc>
          <w:tcPr>
            <w:tcW w:w="1138" w:type="pct"/>
            <w:gridSpan w:val="2"/>
            <w:shd w:val="clear" w:color="auto" w:fill="FFFFFF"/>
            <w:vAlign w:val="center"/>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Sources de financement</w:t>
            </w:r>
          </w:p>
        </w:tc>
        <w:tc>
          <w:tcPr>
            <w:tcW w:w="3862" w:type="pct"/>
            <w:gridSpan w:val="27"/>
            <w:shd w:val="clear" w:color="auto" w:fill="FFFFFF"/>
            <w:vAlign w:val="center"/>
          </w:tcPr>
          <w:p w:rsidR="00390AE3" w:rsidRPr="00A808AA" w:rsidRDefault="001C4500" w:rsidP="001C4500">
            <w:pPr>
              <w:spacing w:before="60" w:after="60" w:line="240" w:lineRule="auto"/>
              <w:rPr>
                <w:rFonts w:ascii="Times New Roman" w:hAnsi="Times New Roman" w:cs="Times New Roman"/>
                <w:color w:val="000000"/>
              </w:rPr>
            </w:pPr>
            <w:r>
              <w:rPr>
                <w:rFonts w:ascii="Times New Roman" w:hAnsi="Times New Roman"/>
                <w:color w:val="000000"/>
              </w:rPr>
              <w:t>budget de l’État</w:t>
            </w:r>
          </w:p>
        </w:tc>
      </w:tr>
      <w:tr w:rsidR="00390AE3" w:rsidRPr="00A808AA" w:rsidTr="005E3488">
        <w:trPr>
          <w:jc w:val="center"/>
        </w:trPr>
        <w:tc>
          <w:tcPr>
            <w:tcW w:w="1138" w:type="pct"/>
            <w:gridSpan w:val="2"/>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Renseignements supplémentaires, y compris l’identification des sources de données et les hypothèses retenues dans le calcul</w:t>
            </w:r>
          </w:p>
        </w:tc>
        <w:tc>
          <w:tcPr>
            <w:tcW w:w="3862" w:type="pct"/>
            <w:gridSpan w:val="27"/>
            <w:shd w:val="clear" w:color="auto" w:fill="FFFFFF"/>
          </w:tcPr>
          <w:p w:rsidR="00FB7B29" w:rsidRPr="00A808AA" w:rsidRDefault="008925A5" w:rsidP="001578DD">
            <w:pPr>
              <w:spacing w:before="60" w:after="60" w:line="240" w:lineRule="auto"/>
              <w:jc w:val="both"/>
              <w:rPr>
                <w:rFonts w:ascii="Times New Roman" w:hAnsi="Times New Roman" w:cs="Times New Roman"/>
                <w:color w:val="000000"/>
              </w:rPr>
            </w:pPr>
            <w:r>
              <w:rPr>
                <w:rFonts w:ascii="Times New Roman" w:hAnsi="Times New Roman"/>
                <w:color w:val="000000"/>
              </w:rPr>
              <w:t>En créant des conditions complexes de contrôle de la qualité de combustibles solides, les dispositions de la loi auraient des conséquences financières pour l’</w:t>
            </w:r>
            <w:proofErr w:type="spellStart"/>
            <w:r>
              <w:rPr>
                <w:rFonts w:ascii="Times New Roman" w:hAnsi="Times New Roman"/>
                <w:color w:val="000000"/>
              </w:rPr>
              <w:t>UOKiK</w:t>
            </w:r>
            <w:proofErr w:type="spellEnd"/>
            <w:r>
              <w:rPr>
                <w:rFonts w:ascii="Times New Roman" w:hAnsi="Times New Roman"/>
                <w:color w:val="000000"/>
              </w:rPr>
              <w:t xml:space="preserve">, l’Inspection du commerce et l’Administration fiscale qui ne disposent pas, au sein de leurs structures, de laboratoires adaptés au prélèvement des échantillons de combustibles solides et à l’analyse de leur qualité. </w:t>
            </w:r>
          </w:p>
          <w:p w:rsidR="0080239B" w:rsidRPr="00A808AA" w:rsidRDefault="0080239B" w:rsidP="001578DD">
            <w:pPr>
              <w:spacing w:before="60" w:after="60" w:line="240" w:lineRule="auto"/>
              <w:jc w:val="both"/>
              <w:rPr>
                <w:rFonts w:ascii="Times New Roman" w:eastAsia="Calibri" w:hAnsi="Times New Roman" w:cs="Times New Roman"/>
                <w:color w:val="000000"/>
              </w:rPr>
            </w:pPr>
            <w:r>
              <w:rPr>
                <w:rFonts w:ascii="Times New Roman" w:hAnsi="Times New Roman"/>
                <w:color w:val="000000"/>
              </w:rPr>
              <w:t>Selon les données fournies par l’</w:t>
            </w:r>
            <w:proofErr w:type="spellStart"/>
            <w:r>
              <w:rPr>
                <w:rFonts w:ascii="Times New Roman" w:hAnsi="Times New Roman"/>
                <w:color w:val="000000"/>
              </w:rPr>
              <w:t>UOKiK</w:t>
            </w:r>
            <w:proofErr w:type="spellEnd"/>
            <w:r>
              <w:rPr>
                <w:rFonts w:ascii="Times New Roman" w:hAnsi="Times New Roman"/>
                <w:color w:val="000000"/>
              </w:rPr>
              <w:t xml:space="preserve"> et l’administration des douanes et fiscale, en comparant la structure de coûts qui devraient être engagés dans le cadre de la mise en œuvre de ces projets, les dépenses liées à la mise en place et à l’exploitation au cours de la première année d’un laboratoire et à la préparation des autorités d’inspection à la réalisation des tâches requises seraient plus élevées par rapport aux dépenses engagées en recourant aux services fournis par des laboratoires externes, qui seront beaucoup moins élevées. </w:t>
            </w:r>
          </w:p>
          <w:p w:rsidR="0080239B" w:rsidRPr="00A808AA" w:rsidRDefault="0080239B" w:rsidP="001578DD">
            <w:pPr>
              <w:spacing w:before="60" w:after="60" w:line="240" w:lineRule="auto"/>
              <w:jc w:val="both"/>
              <w:rPr>
                <w:rFonts w:ascii="Times New Roman" w:eastAsia="Calibri" w:hAnsi="Times New Roman" w:cs="Times New Roman"/>
                <w:color w:val="000000"/>
              </w:rPr>
            </w:pPr>
            <w:r>
              <w:rPr>
                <w:rFonts w:ascii="Times New Roman" w:hAnsi="Times New Roman"/>
                <w:color w:val="000000"/>
              </w:rPr>
              <w:t xml:space="preserve">Il a été procédé à l’estimation des coûts de l’option consistant à recourir aux services des </w:t>
            </w:r>
            <w:r>
              <w:rPr>
                <w:rFonts w:ascii="Times New Roman" w:hAnsi="Times New Roman"/>
                <w:color w:val="000000"/>
              </w:rPr>
              <w:lastRenderedPageBreak/>
              <w:t xml:space="preserve">entreprises externes en ce qui concerne l’analyse de la qualité des combustibles solides. </w:t>
            </w:r>
          </w:p>
          <w:p w:rsidR="0080239B" w:rsidRPr="00A808AA" w:rsidRDefault="0080239B" w:rsidP="001578DD">
            <w:pPr>
              <w:spacing w:before="60" w:after="60" w:line="240" w:lineRule="auto"/>
              <w:jc w:val="both"/>
              <w:rPr>
                <w:rFonts w:ascii="Times New Roman" w:eastAsia="Calibri" w:hAnsi="Times New Roman" w:cs="Times New Roman"/>
                <w:color w:val="000000"/>
              </w:rPr>
            </w:pPr>
            <w:r>
              <w:rPr>
                <w:rFonts w:ascii="Times New Roman" w:hAnsi="Times New Roman"/>
                <w:color w:val="000000"/>
              </w:rPr>
              <w:t xml:space="preserve">Selon les informations fournies par </w:t>
            </w:r>
            <w:proofErr w:type="spellStart"/>
            <w:r>
              <w:rPr>
                <w:rFonts w:ascii="Times New Roman" w:hAnsi="Times New Roman"/>
                <w:color w:val="000000"/>
              </w:rPr>
              <w:t>UOKiK</w:t>
            </w:r>
            <w:proofErr w:type="spellEnd"/>
            <w:r>
              <w:rPr>
                <w:rFonts w:ascii="Times New Roman" w:hAnsi="Times New Roman"/>
                <w:color w:val="000000"/>
              </w:rPr>
              <w:t>, les ressources financières prévues, nécessaires à la mise en œuvre des tâches découlant des dispositions de la loi et des projets de règlement sur une base annuelle s’élèveront à (pour l’année 2019) :</w:t>
            </w:r>
          </w:p>
          <w:p w:rsidR="0080239B" w:rsidRPr="00A808AA" w:rsidRDefault="0080239B" w:rsidP="00F33ECE">
            <w:pPr>
              <w:numPr>
                <w:ilvl w:val="0"/>
                <w:numId w:val="3"/>
              </w:numPr>
              <w:spacing w:after="0" w:line="240" w:lineRule="auto"/>
              <w:ind w:left="218" w:hanging="218"/>
              <w:contextualSpacing/>
              <w:rPr>
                <w:rFonts w:ascii="Times New Roman" w:eastAsia="Calibri" w:hAnsi="Times New Roman" w:cs="Times New Roman"/>
                <w:color w:val="000000"/>
              </w:rPr>
            </w:pPr>
            <w:r>
              <w:rPr>
                <w:rFonts w:ascii="Times New Roman" w:hAnsi="Times New Roman"/>
                <w:color w:val="000000"/>
              </w:rPr>
              <w:t>les coûts du président d’</w:t>
            </w:r>
            <w:proofErr w:type="spellStart"/>
            <w:r>
              <w:rPr>
                <w:rFonts w:ascii="Times New Roman" w:hAnsi="Times New Roman"/>
                <w:color w:val="000000"/>
              </w:rPr>
              <w:t>UOKiK</w:t>
            </w:r>
            <w:proofErr w:type="spellEnd"/>
          </w:p>
          <w:p w:rsidR="0080239B" w:rsidRPr="00A808AA" w:rsidRDefault="0080239B" w:rsidP="00F33ECE">
            <w:pPr>
              <w:numPr>
                <w:ilvl w:val="0"/>
                <w:numId w:val="4"/>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le prélèvement et l’analyse d’échantillons de combustibles solides dans des laboratoires externes - 2 500 000 PLN,</w:t>
            </w:r>
          </w:p>
          <w:p w:rsidR="0080239B" w:rsidRPr="00A808AA" w:rsidRDefault="0080239B" w:rsidP="00F33ECE">
            <w:pPr>
              <w:numPr>
                <w:ilvl w:val="0"/>
                <w:numId w:val="4"/>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6 postes de travail - 511 286 PLN,</w:t>
            </w:r>
          </w:p>
          <w:p w:rsidR="00594AB4" w:rsidRPr="00A808AA" w:rsidRDefault="00C174D3" w:rsidP="00F33ECE">
            <w:pPr>
              <w:pStyle w:val="ListParagraph"/>
              <w:numPr>
                <w:ilvl w:val="0"/>
                <w:numId w:val="6"/>
              </w:numPr>
              <w:spacing w:after="0" w:line="240" w:lineRule="auto"/>
              <w:ind w:left="785" w:hanging="284"/>
              <w:rPr>
                <w:rFonts w:ascii="Times New Roman" w:eastAsia="Calibri" w:hAnsi="Times New Roman" w:cs="Times New Roman"/>
                <w:color w:val="000000"/>
              </w:rPr>
            </w:pPr>
            <w:r>
              <w:rPr>
                <w:rFonts w:ascii="Times New Roman" w:hAnsi="Times New Roman"/>
                <w:color w:val="000000"/>
              </w:rPr>
              <w:t>rémunération 421 406 PLN.</w:t>
            </w:r>
          </w:p>
          <w:p w:rsidR="00594AB4" w:rsidRPr="00A808AA" w:rsidRDefault="00594AB4" w:rsidP="00F33ECE">
            <w:pPr>
              <w:pStyle w:val="ListParagraph"/>
              <w:numPr>
                <w:ilvl w:val="0"/>
                <w:numId w:val="6"/>
              </w:numPr>
              <w:spacing w:after="0" w:line="240" w:lineRule="auto"/>
              <w:ind w:left="785" w:hanging="284"/>
              <w:rPr>
                <w:rFonts w:ascii="Times New Roman" w:eastAsia="Calibri" w:hAnsi="Times New Roman" w:cs="Times New Roman"/>
                <w:color w:val="000000"/>
              </w:rPr>
            </w:pPr>
            <w:r>
              <w:rPr>
                <w:rFonts w:ascii="Times New Roman" w:hAnsi="Times New Roman"/>
                <w:color w:val="000000"/>
              </w:rPr>
              <w:t>dérivés 82 764 PLN.</w:t>
            </w:r>
          </w:p>
          <w:p w:rsidR="00594AB4" w:rsidRPr="00A808AA" w:rsidRDefault="00594AB4" w:rsidP="00F33ECE">
            <w:pPr>
              <w:pStyle w:val="ListParagraph"/>
              <w:numPr>
                <w:ilvl w:val="0"/>
                <w:numId w:val="6"/>
              </w:numPr>
              <w:spacing w:after="0" w:line="240" w:lineRule="auto"/>
              <w:ind w:left="785" w:hanging="284"/>
              <w:rPr>
                <w:rFonts w:ascii="Times New Roman" w:eastAsia="Calibri" w:hAnsi="Times New Roman" w:cs="Times New Roman"/>
                <w:color w:val="000000"/>
              </w:rPr>
            </w:pPr>
            <w:r>
              <w:rPr>
                <w:rFonts w:ascii="Times New Roman" w:hAnsi="Times New Roman"/>
                <w:color w:val="000000"/>
              </w:rPr>
              <w:t>ZFŚS 7116 PLN,</w:t>
            </w:r>
          </w:p>
          <w:p w:rsidR="0080239B" w:rsidRPr="00A808AA" w:rsidRDefault="0080239B" w:rsidP="00F33ECE">
            <w:pPr>
              <w:numPr>
                <w:ilvl w:val="0"/>
                <w:numId w:val="4"/>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création de 6 postes - 47 400 PLN (première année),</w:t>
            </w:r>
          </w:p>
          <w:p w:rsidR="0080239B" w:rsidRPr="00A808AA" w:rsidRDefault="0080239B" w:rsidP="00F33ECE">
            <w:pPr>
              <w:numPr>
                <w:ilvl w:val="0"/>
                <w:numId w:val="4"/>
              </w:numPr>
              <w:spacing w:after="0" w:line="240" w:lineRule="auto"/>
              <w:ind w:left="492" w:hanging="284"/>
              <w:contextualSpacing/>
              <w:jc w:val="both"/>
              <w:rPr>
                <w:rFonts w:ascii="Times New Roman" w:eastAsia="Calibri" w:hAnsi="Times New Roman" w:cs="Times New Roman"/>
                <w:color w:val="000000"/>
              </w:rPr>
            </w:pPr>
            <w:r>
              <w:rPr>
                <w:rFonts w:ascii="Times New Roman" w:hAnsi="Times New Roman"/>
                <w:color w:val="000000"/>
              </w:rPr>
              <w:t>réorganisation du système informatique et de la base de l’e-inspecteur– 150 000 PLN (première année),</w:t>
            </w:r>
          </w:p>
          <w:p w:rsidR="0080239B" w:rsidRPr="00A808AA" w:rsidRDefault="0080239B" w:rsidP="00F33ECE">
            <w:pPr>
              <w:numPr>
                <w:ilvl w:val="0"/>
                <w:numId w:val="4"/>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formation des employés d’</w:t>
            </w:r>
            <w:proofErr w:type="spellStart"/>
            <w:r>
              <w:rPr>
                <w:rFonts w:ascii="Times New Roman" w:hAnsi="Times New Roman"/>
                <w:color w:val="000000"/>
              </w:rPr>
              <w:t>UOKiK</w:t>
            </w:r>
            <w:proofErr w:type="spellEnd"/>
            <w:r>
              <w:rPr>
                <w:rFonts w:ascii="Times New Roman" w:hAnsi="Times New Roman"/>
                <w:color w:val="000000"/>
              </w:rPr>
              <w:t xml:space="preserve"> et des inspecteurs WIH - 100 000 PLN</w:t>
            </w:r>
          </w:p>
          <w:p w:rsidR="0080239B" w:rsidRPr="00A808AA" w:rsidRDefault="00F33ECE" w:rsidP="00F33ECE">
            <w:pPr>
              <w:spacing w:after="0" w:line="240" w:lineRule="auto"/>
              <w:ind w:left="492"/>
              <w:contextualSpacing/>
              <w:rPr>
                <w:rFonts w:ascii="Times New Roman" w:eastAsia="Calibri" w:hAnsi="Times New Roman" w:cs="Times New Roman"/>
                <w:color w:val="000000"/>
              </w:rPr>
            </w:pPr>
            <w:r>
              <w:rPr>
                <w:rFonts w:ascii="Times New Roman" w:hAnsi="Times New Roman"/>
                <w:color w:val="000000"/>
              </w:rPr>
              <w:t>– total 3 308 687 PLN</w:t>
            </w:r>
          </w:p>
          <w:p w:rsidR="0080239B" w:rsidRPr="00A808AA" w:rsidRDefault="0080239B" w:rsidP="00F33ECE">
            <w:pPr>
              <w:numPr>
                <w:ilvl w:val="0"/>
                <w:numId w:val="3"/>
              </w:numPr>
              <w:spacing w:after="0" w:line="240" w:lineRule="auto"/>
              <w:ind w:left="198" w:hanging="198"/>
              <w:contextualSpacing/>
              <w:rPr>
                <w:rFonts w:ascii="Times New Roman" w:eastAsia="Calibri" w:hAnsi="Times New Roman" w:cs="Times New Roman"/>
                <w:color w:val="000000"/>
              </w:rPr>
            </w:pPr>
            <w:r>
              <w:rPr>
                <w:rFonts w:ascii="Times New Roman" w:hAnsi="Times New Roman"/>
                <w:color w:val="000000"/>
              </w:rPr>
              <w:t>coûts d’inspections de commerce de voïvodies.</w:t>
            </w:r>
          </w:p>
          <w:p w:rsidR="0080239B" w:rsidRPr="00A808AA" w:rsidRDefault="0080239B" w:rsidP="00F33ECE">
            <w:pPr>
              <w:numPr>
                <w:ilvl w:val="0"/>
                <w:numId w:val="5"/>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32 postes de travail - 1 792 550 PLN,</w:t>
            </w:r>
          </w:p>
          <w:p w:rsidR="00594AB4" w:rsidRPr="00A808AA" w:rsidRDefault="00C174D3" w:rsidP="00F33ECE">
            <w:pPr>
              <w:pStyle w:val="ListParagraph"/>
              <w:numPr>
                <w:ilvl w:val="0"/>
                <w:numId w:val="7"/>
              </w:numPr>
              <w:spacing w:after="0" w:line="240" w:lineRule="auto"/>
              <w:ind w:left="785" w:hanging="284"/>
              <w:rPr>
                <w:rFonts w:ascii="Times New Roman" w:eastAsia="Calibri" w:hAnsi="Times New Roman" w:cs="Times New Roman"/>
                <w:color w:val="000000"/>
              </w:rPr>
            </w:pPr>
            <w:r>
              <w:rPr>
                <w:rFonts w:ascii="Times New Roman" w:hAnsi="Times New Roman"/>
                <w:color w:val="000000"/>
              </w:rPr>
              <w:t>rémunération 1 466 564 PLN.</w:t>
            </w:r>
          </w:p>
          <w:p w:rsidR="00C174D3" w:rsidRPr="00A808AA" w:rsidRDefault="00C174D3" w:rsidP="00F33ECE">
            <w:pPr>
              <w:pStyle w:val="ListParagraph"/>
              <w:numPr>
                <w:ilvl w:val="0"/>
                <w:numId w:val="7"/>
              </w:numPr>
              <w:spacing w:after="0" w:line="240" w:lineRule="auto"/>
              <w:ind w:left="785" w:hanging="284"/>
              <w:rPr>
                <w:rFonts w:ascii="Times New Roman" w:eastAsia="Calibri" w:hAnsi="Times New Roman" w:cs="Times New Roman"/>
                <w:color w:val="000000"/>
              </w:rPr>
            </w:pPr>
            <w:r>
              <w:rPr>
                <w:rFonts w:ascii="Times New Roman" w:hAnsi="Times New Roman"/>
                <w:color w:val="000000"/>
              </w:rPr>
              <w:t>dérivés 288 033 PLN.</w:t>
            </w:r>
          </w:p>
          <w:p w:rsidR="00C174D3" w:rsidRPr="00A808AA" w:rsidRDefault="00C174D3" w:rsidP="00F33ECE">
            <w:pPr>
              <w:pStyle w:val="ListParagraph"/>
              <w:numPr>
                <w:ilvl w:val="0"/>
                <w:numId w:val="7"/>
              </w:numPr>
              <w:spacing w:after="0" w:line="240" w:lineRule="auto"/>
              <w:ind w:left="785" w:hanging="284"/>
              <w:rPr>
                <w:rFonts w:ascii="Times New Roman" w:eastAsia="Calibri" w:hAnsi="Times New Roman" w:cs="Times New Roman"/>
                <w:color w:val="000000"/>
              </w:rPr>
            </w:pPr>
            <w:r>
              <w:rPr>
                <w:rFonts w:ascii="Times New Roman" w:hAnsi="Times New Roman"/>
                <w:color w:val="000000"/>
              </w:rPr>
              <w:t>ZFŚS 37 953 PLN,</w:t>
            </w:r>
          </w:p>
          <w:p w:rsidR="0080239B" w:rsidRPr="00A808AA" w:rsidRDefault="0080239B" w:rsidP="00F33ECE">
            <w:pPr>
              <w:numPr>
                <w:ilvl w:val="0"/>
                <w:numId w:val="5"/>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création de 32 postes - 252 800 PLN (première année),</w:t>
            </w:r>
          </w:p>
          <w:p w:rsidR="00342A9F" w:rsidRPr="00A808AA" w:rsidRDefault="000E285F" w:rsidP="00F33ECE">
            <w:pPr>
              <w:numPr>
                <w:ilvl w:val="0"/>
                <w:numId w:val="5"/>
              </w:numPr>
              <w:spacing w:after="0" w:line="240" w:lineRule="auto"/>
              <w:ind w:left="492" w:hanging="284"/>
              <w:contextualSpacing/>
              <w:jc w:val="both"/>
              <w:rPr>
                <w:rFonts w:ascii="Times New Roman" w:eastAsia="Calibri" w:hAnsi="Times New Roman" w:cs="Times New Roman"/>
                <w:color w:val="000000"/>
              </w:rPr>
            </w:pPr>
            <w:r>
              <w:rPr>
                <w:rFonts w:ascii="Times New Roman" w:hAnsi="Times New Roman"/>
                <w:color w:val="000000"/>
              </w:rPr>
              <w:t>obligations de contrôle concernant les certificats de qualité des carburants et procédures administratives en la matière - 360 000 PLN,</w:t>
            </w:r>
          </w:p>
          <w:p w:rsidR="0080239B" w:rsidRPr="00A808AA" w:rsidRDefault="0080239B" w:rsidP="00F33ECE">
            <w:pPr>
              <w:numPr>
                <w:ilvl w:val="0"/>
                <w:numId w:val="5"/>
              </w:numPr>
              <w:spacing w:after="0" w:line="240" w:lineRule="auto"/>
              <w:ind w:left="492" w:hanging="284"/>
              <w:contextualSpacing/>
              <w:rPr>
                <w:rFonts w:ascii="Times New Roman" w:eastAsia="Calibri" w:hAnsi="Times New Roman" w:cs="Times New Roman"/>
                <w:color w:val="000000"/>
              </w:rPr>
            </w:pPr>
            <w:r>
              <w:rPr>
                <w:rFonts w:ascii="Times New Roman" w:hAnsi="Times New Roman"/>
                <w:color w:val="000000"/>
              </w:rPr>
              <w:t>dépenses courantes (fournitures de bureau, services postaux, etc.) - 304 000 PLN</w:t>
            </w:r>
          </w:p>
          <w:p w:rsidR="00655DE0" w:rsidRPr="00A808AA" w:rsidRDefault="00F33ECE" w:rsidP="00F33ECE">
            <w:pPr>
              <w:spacing w:after="0" w:line="240" w:lineRule="auto"/>
              <w:ind w:left="492"/>
              <w:contextualSpacing/>
              <w:rPr>
                <w:rFonts w:ascii="Times New Roman" w:eastAsia="Calibri" w:hAnsi="Times New Roman" w:cs="Times New Roman"/>
                <w:color w:val="000000"/>
              </w:rPr>
            </w:pPr>
            <w:r>
              <w:rPr>
                <w:rFonts w:ascii="Times New Roman" w:hAnsi="Times New Roman"/>
                <w:color w:val="000000"/>
              </w:rPr>
              <w:t>– total 2 709 350 PLN.</w:t>
            </w:r>
          </w:p>
          <w:p w:rsidR="009422CA" w:rsidRPr="00A808AA" w:rsidRDefault="009C714D" w:rsidP="001578DD">
            <w:pPr>
              <w:spacing w:before="60" w:after="60" w:line="240" w:lineRule="auto"/>
              <w:jc w:val="both"/>
              <w:rPr>
                <w:rFonts w:ascii="Times New Roman" w:hAnsi="Times New Roman" w:cs="Times New Roman"/>
                <w:color w:val="000000"/>
              </w:rPr>
            </w:pPr>
            <w:r>
              <w:rPr>
                <w:rFonts w:ascii="Times New Roman" w:hAnsi="Times New Roman"/>
                <w:color w:val="000000"/>
              </w:rPr>
              <w:t>Les dépenses liées au prélèvement d’échantillons de combustibles solides tiendront compte des coûts des laboratoires possédant des compétences et du matériel spécialisé pour effectuer le prélèvement des échantillons d’analyse et témoin. Les coûts susmentionnés comprennent également les ressources financières nécessaires pour couvrir les dépenses liées aux nouveaux emplois, en particulier au sein des inspections de commerce de la voïvodie effectuant des contrôles avec la participation du personnel spécialisé de laboratoire et des employés chargés du système de contrôle de la qualité des combustibles solides au sein d’</w:t>
            </w:r>
            <w:proofErr w:type="spellStart"/>
            <w:r>
              <w:rPr>
                <w:rFonts w:ascii="Times New Roman" w:hAnsi="Times New Roman"/>
                <w:color w:val="000000"/>
              </w:rPr>
              <w:t>UOKiK</w:t>
            </w:r>
            <w:proofErr w:type="spellEnd"/>
            <w:r>
              <w:rPr>
                <w:rFonts w:ascii="Times New Roman" w:hAnsi="Times New Roman"/>
                <w:color w:val="000000"/>
              </w:rPr>
              <w:t>, ainsi que de la préparation aux nouvelles tâches.</w:t>
            </w:r>
          </w:p>
          <w:p w:rsidR="009C714D" w:rsidRPr="00A808AA" w:rsidRDefault="009C714D" w:rsidP="001578DD">
            <w:pPr>
              <w:spacing w:before="60" w:after="60" w:line="240" w:lineRule="auto"/>
              <w:jc w:val="both"/>
              <w:rPr>
                <w:rFonts w:ascii="Times New Roman" w:hAnsi="Times New Roman" w:cs="Times New Roman"/>
                <w:color w:val="000000"/>
              </w:rPr>
            </w:pPr>
            <w:r>
              <w:rPr>
                <w:rFonts w:ascii="Times New Roman" w:hAnsi="Times New Roman"/>
                <w:color w:val="000000"/>
              </w:rPr>
              <w:t>Au cours de la première année d’application de la loi, ce montant sera légèrement plus élevé en raison des coûts uniques liés à la création de nouveaux postes de travail, à la formation des employés, à la modification de la base e-</w:t>
            </w:r>
            <w:proofErr w:type="spellStart"/>
            <w:r>
              <w:rPr>
                <w:rFonts w:ascii="Times New Roman" w:hAnsi="Times New Roman"/>
                <w:color w:val="000000"/>
              </w:rPr>
              <w:t>inspektor</w:t>
            </w:r>
            <w:proofErr w:type="spellEnd"/>
            <w:r>
              <w:rPr>
                <w:rFonts w:ascii="Times New Roman" w:hAnsi="Times New Roman"/>
                <w:color w:val="000000"/>
              </w:rPr>
              <w:t xml:space="preserve">, etc. Conformément à la loi du 25 août 2006 relative au système de surveillance et de contrôle de la qualité des carburants, l’inspection sera effectuée par les employés de l’inspection du commerce (dans le pays) et le service des douanes et des impôts (aux frontières de la République de Pologne). </w:t>
            </w:r>
          </w:p>
          <w:p w:rsidR="009422CA" w:rsidRPr="00A808AA" w:rsidRDefault="009422CA" w:rsidP="001578DD">
            <w:pPr>
              <w:spacing w:before="60" w:after="60" w:line="240" w:lineRule="auto"/>
              <w:jc w:val="both"/>
              <w:rPr>
                <w:rFonts w:ascii="Times New Roman" w:hAnsi="Times New Roman" w:cs="Times New Roman"/>
              </w:rPr>
            </w:pPr>
            <w:r>
              <w:rPr>
                <w:rFonts w:ascii="Times New Roman" w:hAnsi="Times New Roman"/>
              </w:rPr>
              <w:t xml:space="preserve">Le montant des dépenses des années subséquentes a été augmenté du montant dû à l’inflation conformément aux </w:t>
            </w:r>
            <w:r>
              <w:rPr>
                <w:rFonts w:ascii="Times New Roman" w:hAnsi="Times New Roman"/>
                <w:i/>
              </w:rPr>
              <w:t>Lignes directrices en matière d’utilisation d’indicateurs macroéconomiques uniformes servant de base à l’estimation des conséquences financières des projets de loi (octobre 2017).</w:t>
            </w:r>
          </w:p>
          <w:p w:rsidR="00C06A19" w:rsidRPr="00A808AA" w:rsidRDefault="009C714D"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Les montants qui figurent dans le tableau permettent de couvrir les coûts de la réalisation de tests sur 1 400 échantillons par an dans des laboratoires externes, ce qui représente 10 % des entrepôts de combustibles solides actifs en Pologne (la réalisation d’environ 1 000 tests sur des échantillons selon les méthodes d’essai désignées, prélevés lors du contrôle effectué par Inspection du commerce) et 10 % des combustibles solides dont la mise sur le marché est admise par l’administration fiscale (la réalisation d’environ 400 tests sur des échantillons chaque année par l’administration fiscale et des douanes). </w:t>
            </w:r>
          </w:p>
          <w:p w:rsidR="00FB7B29" w:rsidRPr="00A808AA" w:rsidRDefault="00C06A19"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Les coûts totaux ont été calculés sur la base des coûts fournis par </w:t>
            </w:r>
            <w:proofErr w:type="spellStart"/>
            <w:r>
              <w:rPr>
                <w:rFonts w:ascii="Times New Roman" w:hAnsi="Times New Roman"/>
                <w:color w:val="000000"/>
              </w:rPr>
              <w:t>UOKiK</w:t>
            </w:r>
            <w:proofErr w:type="spellEnd"/>
            <w:r>
              <w:rPr>
                <w:rFonts w:ascii="Times New Roman" w:hAnsi="Times New Roman"/>
                <w:color w:val="000000"/>
              </w:rPr>
              <w:t xml:space="preserve"> (1000 échantillons) et augmentés de 40 % respectivement, soit des coûts de l’Administration fiscale nationale (400 échantillons).</w:t>
            </w:r>
          </w:p>
          <w:p w:rsidR="00FB7B29" w:rsidRPr="00A808AA" w:rsidRDefault="00FB7B29"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Les coûts susmentionnés sont établis sur la base des informations sur les prix de marché fournies par des laboratoires externes accrédités qui effectuent des prélèvements et des </w:t>
            </w:r>
            <w:r>
              <w:rPr>
                <w:rFonts w:ascii="Times New Roman" w:hAnsi="Times New Roman"/>
                <w:color w:val="000000"/>
              </w:rPr>
              <w:lastRenderedPageBreak/>
              <w:t>analyses d’échantillons de combustibles solides.</w:t>
            </w:r>
          </w:p>
          <w:p w:rsidR="00FB7B29" w:rsidRPr="00A808AA" w:rsidRDefault="00FB7B29" w:rsidP="001578DD">
            <w:pPr>
              <w:spacing w:before="60" w:after="60" w:line="240" w:lineRule="auto"/>
              <w:jc w:val="both"/>
              <w:rPr>
                <w:rFonts w:ascii="Times New Roman" w:hAnsi="Times New Roman" w:cs="Times New Roman"/>
                <w:color w:val="000000"/>
              </w:rPr>
            </w:pPr>
            <w:r>
              <w:rPr>
                <w:rFonts w:ascii="Times New Roman" w:hAnsi="Times New Roman"/>
                <w:color w:val="000000"/>
              </w:rPr>
              <w:t>Les coûts réels liés au prélèvement et à l’analyse des échantillons dans des laboratoires externes seront confirmées dans le cadre d’appels d’offres.</w:t>
            </w:r>
          </w:p>
          <w:p w:rsidR="004E5D0A" w:rsidRPr="00A808AA" w:rsidRDefault="004E5D0A" w:rsidP="001578DD">
            <w:pPr>
              <w:spacing w:before="60" w:after="60" w:line="240" w:lineRule="auto"/>
              <w:jc w:val="both"/>
              <w:rPr>
                <w:rFonts w:ascii="Times New Roman" w:hAnsi="Times New Roman" w:cs="Times New Roman"/>
                <w:color w:val="000000"/>
              </w:rPr>
            </w:pPr>
            <w:r>
              <w:rPr>
                <w:rFonts w:ascii="Times New Roman" w:hAnsi="Times New Roman"/>
                <w:color w:val="000000"/>
              </w:rPr>
              <w:t>En 2018, le projet de loi n’entraînera pas de conséquences financières supplémentaires pour le budget de l’État.</w:t>
            </w:r>
          </w:p>
          <w:p w:rsidR="0047421C" w:rsidRPr="00A808AA" w:rsidRDefault="00FB7B29" w:rsidP="001578DD">
            <w:pPr>
              <w:spacing w:before="60" w:after="60" w:line="240" w:lineRule="auto"/>
              <w:jc w:val="both"/>
              <w:rPr>
                <w:rFonts w:ascii="Times New Roman" w:hAnsi="Times New Roman" w:cs="Times New Roman"/>
                <w:color w:val="000000"/>
              </w:rPr>
            </w:pPr>
            <w:r>
              <w:rPr>
                <w:rFonts w:ascii="Times New Roman" w:hAnsi="Times New Roman"/>
                <w:color w:val="000000"/>
              </w:rPr>
              <w:t>La réglementation n’a aucune incidence sur les budgets des collectivités territoriales.</w:t>
            </w:r>
          </w:p>
        </w:tc>
      </w:tr>
      <w:tr w:rsidR="00390AE3" w:rsidRPr="00A808AA" w:rsidTr="005E3488">
        <w:trPr>
          <w:jc w:val="center"/>
        </w:trPr>
        <w:tc>
          <w:tcPr>
            <w:tcW w:w="5000" w:type="pct"/>
            <w:gridSpan w:val="29"/>
            <w:shd w:val="clear" w:color="auto" w:fill="99CCFF"/>
          </w:tcPr>
          <w:p w:rsidR="00390AE3" w:rsidRPr="00A808AA" w:rsidRDefault="00390AE3" w:rsidP="00F33ECE">
            <w:pPr>
              <w:keepNext/>
              <w:numPr>
                <w:ilvl w:val="0"/>
                <w:numId w:val="1"/>
              </w:numPr>
              <w:spacing w:before="60" w:after="60" w:line="240" w:lineRule="auto"/>
              <w:jc w:val="both"/>
              <w:rPr>
                <w:rFonts w:ascii="Times New Roman" w:hAnsi="Times New Roman" w:cs="Times New Roman"/>
                <w:b/>
                <w:color w:val="000000"/>
              </w:rPr>
            </w:pPr>
            <w:r>
              <w:rPr>
                <w:rFonts w:ascii="Times New Roman" w:hAnsi="Times New Roman"/>
                <w:b/>
                <w:color w:val="000000"/>
              </w:rPr>
              <w:lastRenderedPageBreak/>
              <w:t xml:space="preserve">Impact sur la compétitivité de l’économie et de l’entrepreneuriat, y compris sur le fonctionnement des entreprises et sur les familles, les citoyens et les ménages </w:t>
            </w:r>
          </w:p>
        </w:tc>
      </w:tr>
      <w:tr w:rsidR="00390AE3" w:rsidRPr="00A808AA" w:rsidTr="005E3488">
        <w:trPr>
          <w:jc w:val="center"/>
        </w:trPr>
        <w:tc>
          <w:tcPr>
            <w:tcW w:w="5000" w:type="pct"/>
            <w:gridSpan w:val="29"/>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Effets</w:t>
            </w:r>
          </w:p>
        </w:tc>
      </w:tr>
      <w:tr w:rsidR="00390AE3" w:rsidRPr="00A808AA" w:rsidTr="005E3488">
        <w:trPr>
          <w:jc w:val="center"/>
        </w:trPr>
        <w:tc>
          <w:tcPr>
            <w:tcW w:w="1969" w:type="pct"/>
            <w:gridSpan w:val="8"/>
            <w:shd w:val="clear" w:color="auto" w:fill="FFFFFF"/>
          </w:tcPr>
          <w:p w:rsidR="00390AE3" w:rsidRPr="00A808AA" w:rsidRDefault="00390AE3" w:rsidP="00F33ECE">
            <w:pPr>
              <w:keepNext/>
              <w:spacing w:before="60" w:after="60" w:line="240" w:lineRule="auto"/>
              <w:rPr>
                <w:rFonts w:ascii="Times New Roman" w:hAnsi="Times New Roman" w:cs="Times New Roman"/>
                <w:color w:val="000000"/>
              </w:rPr>
            </w:pPr>
            <w:r>
              <w:rPr>
                <w:rFonts w:ascii="Times New Roman" w:hAnsi="Times New Roman"/>
                <w:color w:val="000000"/>
              </w:rPr>
              <w:t>Période en nombre d’années à compter de l’entrée en vigueur des modifications</w:t>
            </w:r>
          </w:p>
        </w:tc>
        <w:tc>
          <w:tcPr>
            <w:tcW w:w="389" w:type="pct"/>
            <w:gridSpan w:val="2"/>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0</w:t>
            </w:r>
          </w:p>
        </w:tc>
        <w:tc>
          <w:tcPr>
            <w:tcW w:w="389" w:type="pct"/>
            <w:gridSpan w:val="5"/>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1</w:t>
            </w:r>
          </w:p>
        </w:tc>
        <w:tc>
          <w:tcPr>
            <w:tcW w:w="389" w:type="pct"/>
            <w:gridSpan w:val="2"/>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2</w:t>
            </w:r>
          </w:p>
        </w:tc>
        <w:tc>
          <w:tcPr>
            <w:tcW w:w="389" w:type="pct"/>
            <w:gridSpan w:val="4"/>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3</w:t>
            </w:r>
          </w:p>
        </w:tc>
        <w:tc>
          <w:tcPr>
            <w:tcW w:w="389" w:type="pct"/>
            <w:gridSpan w:val="4"/>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5</w:t>
            </w:r>
          </w:p>
        </w:tc>
        <w:tc>
          <w:tcPr>
            <w:tcW w:w="389" w:type="pct"/>
            <w:gridSpan w:val="2"/>
            <w:shd w:val="clear" w:color="auto" w:fill="FFFFFF"/>
          </w:tcPr>
          <w:p w:rsidR="00390AE3" w:rsidRPr="00A808AA" w:rsidRDefault="00390AE3" w:rsidP="00F33ECE">
            <w:pPr>
              <w:keepNext/>
              <w:spacing w:before="60" w:after="60" w:line="240" w:lineRule="auto"/>
              <w:jc w:val="center"/>
              <w:rPr>
                <w:rFonts w:ascii="Times New Roman" w:hAnsi="Times New Roman" w:cs="Times New Roman"/>
                <w:color w:val="000000"/>
              </w:rPr>
            </w:pPr>
            <w:r>
              <w:rPr>
                <w:rFonts w:ascii="Times New Roman" w:hAnsi="Times New Roman"/>
                <w:color w:val="000000"/>
              </w:rPr>
              <w:t>10</w:t>
            </w:r>
          </w:p>
        </w:tc>
        <w:tc>
          <w:tcPr>
            <w:tcW w:w="697" w:type="pct"/>
            <w:gridSpan w:val="2"/>
            <w:shd w:val="clear" w:color="auto" w:fill="FFFFFF"/>
          </w:tcPr>
          <w:p w:rsidR="00390AE3" w:rsidRPr="00A808AA" w:rsidRDefault="00390AE3" w:rsidP="00F33ECE">
            <w:pPr>
              <w:keepNext/>
              <w:spacing w:before="60" w:after="60" w:line="240" w:lineRule="auto"/>
              <w:ind w:left="-28" w:right="-46"/>
              <w:jc w:val="center"/>
              <w:rPr>
                <w:rFonts w:ascii="Times New Roman" w:hAnsi="Times New Roman" w:cs="Times New Roman"/>
                <w:color w:val="000000"/>
              </w:rPr>
            </w:pPr>
            <w:r>
              <w:rPr>
                <w:rFonts w:ascii="Times New Roman" w:hAnsi="Times New Roman"/>
                <w:color w:val="000000"/>
              </w:rPr>
              <w:t>Au total (0-10)</w:t>
            </w:r>
          </w:p>
        </w:tc>
      </w:tr>
      <w:tr w:rsidR="001578DD" w:rsidRPr="00A808AA" w:rsidTr="005E3488">
        <w:trPr>
          <w:jc w:val="center"/>
        </w:trPr>
        <w:tc>
          <w:tcPr>
            <w:tcW w:w="773" w:type="pct"/>
            <w:vMerge w:val="restart"/>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En termes monétaires</w:t>
            </w:r>
          </w:p>
          <w:p w:rsidR="00390AE3" w:rsidRPr="00A808AA" w:rsidRDefault="00390AE3" w:rsidP="00F33ECE">
            <w:pPr>
              <w:spacing w:before="60" w:after="60" w:line="240" w:lineRule="auto"/>
              <w:rPr>
                <w:rFonts w:ascii="Times New Roman" w:hAnsi="Times New Roman" w:cs="Times New Roman"/>
                <w:color w:val="000000"/>
              </w:rPr>
            </w:pPr>
            <w:r>
              <w:rPr>
                <w:rFonts w:ascii="Times New Roman" w:hAnsi="Times New Roman"/>
              </w:rPr>
              <w:t>(en millions de PLN, prix constants pour 2016)</w:t>
            </w:r>
          </w:p>
        </w:tc>
        <w:tc>
          <w:tcPr>
            <w:tcW w:w="1196" w:type="pct"/>
            <w:gridSpan w:val="7"/>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grandes entreprises</w:t>
            </w:r>
          </w:p>
        </w:tc>
        <w:tc>
          <w:tcPr>
            <w:tcW w:w="389" w:type="pct"/>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-120</w:t>
            </w:r>
          </w:p>
        </w:tc>
        <w:tc>
          <w:tcPr>
            <w:tcW w:w="389" w:type="pct"/>
            <w:gridSpan w:val="5"/>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-50</w:t>
            </w:r>
          </w:p>
        </w:tc>
        <w:tc>
          <w:tcPr>
            <w:tcW w:w="389" w:type="pct"/>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-50</w:t>
            </w:r>
          </w:p>
        </w:tc>
        <w:tc>
          <w:tcPr>
            <w:tcW w:w="389" w:type="pct"/>
            <w:gridSpan w:val="4"/>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-50</w:t>
            </w:r>
          </w:p>
        </w:tc>
        <w:tc>
          <w:tcPr>
            <w:tcW w:w="389" w:type="pct"/>
            <w:gridSpan w:val="4"/>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-50</w:t>
            </w:r>
          </w:p>
        </w:tc>
        <w:tc>
          <w:tcPr>
            <w:tcW w:w="389" w:type="pct"/>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-50</w:t>
            </w:r>
          </w:p>
        </w:tc>
        <w:tc>
          <w:tcPr>
            <w:tcW w:w="697" w:type="pct"/>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-620</w:t>
            </w:r>
          </w:p>
        </w:tc>
      </w:tr>
      <w:tr w:rsidR="001578DD" w:rsidRPr="00A808AA" w:rsidTr="005E3488">
        <w:trPr>
          <w:jc w:val="center"/>
        </w:trPr>
        <w:tc>
          <w:tcPr>
            <w:tcW w:w="773" w:type="pct"/>
            <w:vMerge/>
            <w:shd w:val="clear" w:color="auto" w:fill="FFFFFF"/>
          </w:tcPr>
          <w:p w:rsidR="00390AE3" w:rsidRPr="00A808AA" w:rsidRDefault="00390AE3" w:rsidP="001578DD">
            <w:pPr>
              <w:spacing w:before="60" w:after="60" w:line="240" w:lineRule="auto"/>
              <w:rPr>
                <w:rFonts w:ascii="Times New Roman" w:hAnsi="Times New Roman" w:cs="Times New Roman"/>
                <w:color w:val="000000"/>
              </w:rPr>
            </w:pPr>
          </w:p>
        </w:tc>
        <w:tc>
          <w:tcPr>
            <w:tcW w:w="1196" w:type="pct"/>
            <w:gridSpan w:val="7"/>
            <w:shd w:val="clear" w:color="auto" w:fill="FFFFFF"/>
          </w:tcPr>
          <w:p w:rsidR="00390AE3" w:rsidRPr="00A808AA" w:rsidRDefault="00F33ECE" w:rsidP="001578DD">
            <w:pPr>
              <w:spacing w:before="60" w:after="60" w:line="240" w:lineRule="auto"/>
              <w:rPr>
                <w:rFonts w:ascii="Times New Roman" w:hAnsi="Times New Roman" w:cs="Times New Roman"/>
                <w:color w:val="000000"/>
              </w:rPr>
            </w:pPr>
            <w:r>
              <w:rPr>
                <w:rFonts w:ascii="Times New Roman" w:hAnsi="Times New Roman"/>
                <w:color w:val="000000"/>
              </w:rPr>
              <w:t>secteur des micro-entreprises, petites et moyennes entreprises</w:t>
            </w:r>
          </w:p>
        </w:tc>
        <w:tc>
          <w:tcPr>
            <w:tcW w:w="389" w:type="pct"/>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c>
          <w:tcPr>
            <w:tcW w:w="389" w:type="pct"/>
            <w:gridSpan w:val="5"/>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c>
          <w:tcPr>
            <w:tcW w:w="389" w:type="pct"/>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c>
          <w:tcPr>
            <w:tcW w:w="389" w:type="pct"/>
            <w:gridSpan w:val="4"/>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c>
          <w:tcPr>
            <w:tcW w:w="389" w:type="pct"/>
            <w:gridSpan w:val="4"/>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c>
          <w:tcPr>
            <w:tcW w:w="389" w:type="pct"/>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c>
          <w:tcPr>
            <w:tcW w:w="697" w:type="pct"/>
            <w:gridSpan w:val="2"/>
            <w:shd w:val="clear" w:color="auto" w:fill="FFFFFF"/>
          </w:tcPr>
          <w:p w:rsidR="00390AE3" w:rsidRPr="00A808AA" w:rsidRDefault="00390AE3" w:rsidP="001578DD">
            <w:pPr>
              <w:spacing w:before="60" w:after="60" w:line="240" w:lineRule="auto"/>
              <w:jc w:val="center"/>
              <w:rPr>
                <w:rFonts w:ascii="Times New Roman" w:hAnsi="Times New Roman" w:cs="Times New Roman"/>
                <w:color w:val="000000"/>
              </w:rPr>
            </w:pPr>
          </w:p>
        </w:tc>
      </w:tr>
      <w:tr w:rsidR="001578DD" w:rsidRPr="00A808AA" w:rsidTr="005E3488">
        <w:trPr>
          <w:jc w:val="center"/>
        </w:trPr>
        <w:tc>
          <w:tcPr>
            <w:tcW w:w="773" w:type="pct"/>
            <w:vMerge/>
            <w:shd w:val="clear" w:color="auto" w:fill="FFFFFF"/>
          </w:tcPr>
          <w:p w:rsidR="00390AE3" w:rsidRPr="00A808AA" w:rsidRDefault="00390AE3" w:rsidP="001578DD">
            <w:pPr>
              <w:spacing w:before="60" w:after="60" w:line="240" w:lineRule="auto"/>
              <w:rPr>
                <w:rFonts w:ascii="Times New Roman" w:hAnsi="Times New Roman" w:cs="Times New Roman"/>
                <w:color w:val="000000"/>
              </w:rPr>
            </w:pPr>
          </w:p>
        </w:tc>
        <w:tc>
          <w:tcPr>
            <w:tcW w:w="1196" w:type="pct"/>
            <w:gridSpan w:val="7"/>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rPr>
              <w:t>familles, citoyens et ménages</w:t>
            </w:r>
          </w:p>
        </w:tc>
        <w:tc>
          <w:tcPr>
            <w:tcW w:w="389" w:type="pct"/>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-49</w:t>
            </w:r>
          </w:p>
        </w:tc>
        <w:tc>
          <w:tcPr>
            <w:tcW w:w="389" w:type="pct"/>
            <w:gridSpan w:val="5"/>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-49</w:t>
            </w:r>
          </w:p>
        </w:tc>
        <w:tc>
          <w:tcPr>
            <w:tcW w:w="389" w:type="pct"/>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-49</w:t>
            </w:r>
          </w:p>
        </w:tc>
        <w:tc>
          <w:tcPr>
            <w:tcW w:w="389" w:type="pct"/>
            <w:gridSpan w:val="4"/>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-49</w:t>
            </w:r>
          </w:p>
        </w:tc>
        <w:tc>
          <w:tcPr>
            <w:tcW w:w="389" w:type="pct"/>
            <w:gridSpan w:val="4"/>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-49</w:t>
            </w:r>
          </w:p>
        </w:tc>
        <w:tc>
          <w:tcPr>
            <w:tcW w:w="389" w:type="pct"/>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-49</w:t>
            </w:r>
          </w:p>
        </w:tc>
        <w:tc>
          <w:tcPr>
            <w:tcW w:w="697" w:type="pct"/>
            <w:gridSpan w:val="2"/>
            <w:shd w:val="clear" w:color="auto" w:fill="FFFFFF"/>
          </w:tcPr>
          <w:p w:rsidR="00390AE3" w:rsidRPr="00A808AA" w:rsidRDefault="00DE266E" w:rsidP="001578DD">
            <w:pPr>
              <w:spacing w:before="60" w:after="60" w:line="240" w:lineRule="auto"/>
              <w:jc w:val="center"/>
              <w:rPr>
                <w:rFonts w:ascii="Times New Roman" w:hAnsi="Times New Roman" w:cs="Times New Roman"/>
                <w:color w:val="000000"/>
              </w:rPr>
            </w:pPr>
            <w:r>
              <w:rPr>
                <w:rFonts w:ascii="Times New Roman" w:hAnsi="Times New Roman"/>
                <w:color w:val="000000"/>
              </w:rPr>
              <w:t>-539</w:t>
            </w:r>
          </w:p>
        </w:tc>
      </w:tr>
      <w:tr w:rsidR="00390AE3" w:rsidRPr="00A808AA" w:rsidTr="005E3488">
        <w:trPr>
          <w:jc w:val="center"/>
        </w:trPr>
        <w:tc>
          <w:tcPr>
            <w:tcW w:w="773" w:type="pct"/>
            <w:vMerge w:val="restart"/>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En termes non monétaires</w:t>
            </w:r>
          </w:p>
        </w:tc>
        <w:tc>
          <w:tcPr>
            <w:tcW w:w="1196" w:type="pct"/>
            <w:gridSpan w:val="7"/>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grandes entreprises</w:t>
            </w:r>
          </w:p>
        </w:tc>
        <w:tc>
          <w:tcPr>
            <w:tcW w:w="3031" w:type="pct"/>
            <w:gridSpan w:val="21"/>
            <w:shd w:val="clear" w:color="auto" w:fill="FFFFFF"/>
          </w:tcPr>
          <w:p w:rsidR="00390AE3" w:rsidRPr="00A808AA" w:rsidRDefault="00390AE3" w:rsidP="001578DD">
            <w:pPr>
              <w:spacing w:before="60" w:after="60" w:line="240" w:lineRule="auto"/>
              <w:jc w:val="both"/>
              <w:rPr>
                <w:rFonts w:ascii="Times New Roman" w:hAnsi="Times New Roman" w:cs="Times New Roman"/>
                <w:color w:val="000000"/>
              </w:rPr>
            </w:pPr>
            <w:r>
              <w:rPr>
                <w:rFonts w:ascii="Times New Roman" w:hAnsi="Times New Roman"/>
                <w:color w:val="000000"/>
              </w:rPr>
              <w:t xml:space="preserve">Une fois adoptés, les règlements n’affecteront pas l’activité des grandes entreprises, à l’exception de celles qui commercialisent des schlamms du charbon, des concentrés de flottation pour les besoins des ménages. Comme le montre la pratique, des études qualitatives du charbon sont déjà effectuées au niveau des laboratoires auprès des mines (à la fois pour les bénéficiaires industriels et les bénéficiaires individuels). L’impossibilité de vendre des schlamms du charbon, des concentrés de flottation à des consommateurs individuels génèrera des coûts qui obligeront les producteurs de charbon à trouver de nouveaux marchés ou des applications pour ces combustibles solides. </w:t>
            </w:r>
          </w:p>
        </w:tc>
      </w:tr>
      <w:tr w:rsidR="00390AE3" w:rsidRPr="00A808AA" w:rsidTr="005E3488">
        <w:trPr>
          <w:jc w:val="center"/>
        </w:trPr>
        <w:tc>
          <w:tcPr>
            <w:tcW w:w="773" w:type="pct"/>
            <w:vMerge/>
            <w:shd w:val="clear" w:color="auto" w:fill="FFFFFF"/>
          </w:tcPr>
          <w:p w:rsidR="00390AE3" w:rsidRPr="00A808AA" w:rsidRDefault="00390AE3" w:rsidP="001578DD">
            <w:pPr>
              <w:spacing w:before="60" w:after="60" w:line="240" w:lineRule="auto"/>
              <w:rPr>
                <w:rFonts w:ascii="Times New Roman" w:hAnsi="Times New Roman" w:cs="Times New Roman"/>
                <w:color w:val="000000"/>
              </w:rPr>
            </w:pPr>
          </w:p>
        </w:tc>
        <w:tc>
          <w:tcPr>
            <w:tcW w:w="1196" w:type="pct"/>
            <w:gridSpan w:val="7"/>
            <w:shd w:val="clear" w:color="auto" w:fill="FFFFFF"/>
          </w:tcPr>
          <w:p w:rsidR="00390AE3" w:rsidRPr="00A808AA" w:rsidRDefault="00F33ECE" w:rsidP="001578DD">
            <w:pPr>
              <w:spacing w:before="60" w:after="60" w:line="240" w:lineRule="auto"/>
              <w:rPr>
                <w:rFonts w:ascii="Times New Roman" w:hAnsi="Times New Roman" w:cs="Times New Roman"/>
                <w:color w:val="000000"/>
              </w:rPr>
            </w:pPr>
            <w:r>
              <w:rPr>
                <w:rFonts w:ascii="Times New Roman" w:hAnsi="Times New Roman"/>
                <w:color w:val="000000"/>
              </w:rPr>
              <w:t>secteur des micro-entreprises, petites et moyennes entreprises</w:t>
            </w:r>
          </w:p>
        </w:tc>
        <w:tc>
          <w:tcPr>
            <w:tcW w:w="3031" w:type="pct"/>
            <w:gridSpan w:val="21"/>
            <w:shd w:val="clear" w:color="auto" w:fill="FFFFFF"/>
            <w:vAlign w:val="center"/>
          </w:tcPr>
          <w:p w:rsidR="00390AE3" w:rsidRPr="00A808AA" w:rsidRDefault="00390AE3" w:rsidP="001578DD">
            <w:pPr>
              <w:spacing w:before="60" w:after="60" w:line="240" w:lineRule="auto"/>
              <w:jc w:val="both"/>
              <w:rPr>
                <w:rFonts w:ascii="Times New Roman" w:hAnsi="Times New Roman" w:cs="Times New Roman"/>
                <w:color w:val="000000"/>
              </w:rPr>
            </w:pPr>
            <w:r>
              <w:rPr>
                <w:rFonts w:ascii="Times New Roman" w:hAnsi="Times New Roman"/>
                <w:color w:val="000000"/>
              </w:rPr>
              <w:t>L’entrée en vigueur de la loi n’aura pas de conséquences non pécuniaires.</w:t>
            </w:r>
          </w:p>
        </w:tc>
      </w:tr>
      <w:tr w:rsidR="00390AE3" w:rsidRPr="00A808AA" w:rsidTr="005E3488">
        <w:trPr>
          <w:jc w:val="center"/>
        </w:trPr>
        <w:tc>
          <w:tcPr>
            <w:tcW w:w="773" w:type="pct"/>
            <w:vMerge/>
            <w:shd w:val="clear" w:color="auto" w:fill="FFFFFF"/>
          </w:tcPr>
          <w:p w:rsidR="00390AE3" w:rsidRPr="00A808AA" w:rsidRDefault="00390AE3" w:rsidP="001578DD">
            <w:pPr>
              <w:spacing w:before="60" w:after="60" w:line="240" w:lineRule="auto"/>
              <w:rPr>
                <w:rFonts w:ascii="Times New Roman" w:hAnsi="Times New Roman" w:cs="Times New Roman"/>
                <w:color w:val="000000"/>
              </w:rPr>
            </w:pPr>
          </w:p>
        </w:tc>
        <w:tc>
          <w:tcPr>
            <w:tcW w:w="1196" w:type="pct"/>
            <w:gridSpan w:val="7"/>
            <w:shd w:val="clear" w:color="auto" w:fill="FFFFFF"/>
          </w:tcPr>
          <w:p w:rsidR="00390AE3" w:rsidRPr="00A808AA" w:rsidRDefault="00390AE3" w:rsidP="001578DD">
            <w:pPr>
              <w:tabs>
                <w:tab w:val="right" w:pos="1936"/>
              </w:tabs>
              <w:spacing w:before="60" w:after="60" w:line="240" w:lineRule="auto"/>
              <w:rPr>
                <w:rFonts w:ascii="Times New Roman" w:hAnsi="Times New Roman" w:cs="Times New Roman"/>
                <w:color w:val="000000"/>
              </w:rPr>
            </w:pPr>
            <w:r>
              <w:rPr>
                <w:rFonts w:ascii="Times New Roman" w:hAnsi="Times New Roman"/>
              </w:rPr>
              <w:t>familles, citoyens et ménages</w:t>
            </w:r>
          </w:p>
        </w:tc>
        <w:tc>
          <w:tcPr>
            <w:tcW w:w="3031" w:type="pct"/>
            <w:gridSpan w:val="21"/>
            <w:shd w:val="clear" w:color="auto" w:fill="FFFFFF"/>
            <w:vAlign w:val="center"/>
          </w:tcPr>
          <w:p w:rsidR="00390AE3" w:rsidRPr="00A808AA" w:rsidRDefault="00390AE3" w:rsidP="001578DD">
            <w:pPr>
              <w:spacing w:before="60" w:after="60" w:line="240" w:lineRule="auto"/>
              <w:jc w:val="both"/>
              <w:rPr>
                <w:rFonts w:ascii="Times New Roman" w:hAnsi="Times New Roman" w:cs="Times New Roman"/>
                <w:color w:val="000000"/>
              </w:rPr>
            </w:pPr>
            <w:r>
              <w:rPr>
                <w:rFonts w:ascii="Times New Roman" w:hAnsi="Times New Roman"/>
                <w:color w:val="000000"/>
              </w:rPr>
              <w:t>L’introduction d’exigences de qualité pour les combustibles solides permettra d’exclure du marché les carburants qui ne répondent pas aux exigences minimales, et aux acheteurs potentiels de choisir des carburants présentant des paramètres de haute qualité. Les mesures précitées peuvent contribuer à la réduction des émissions dites faibles, et ainsi améliorer la santé et la qualité de vie des citoyens.</w:t>
            </w:r>
          </w:p>
        </w:tc>
      </w:tr>
      <w:tr w:rsidR="00390AE3" w:rsidRPr="00A808AA" w:rsidTr="005E3488">
        <w:trPr>
          <w:jc w:val="center"/>
        </w:trPr>
        <w:tc>
          <w:tcPr>
            <w:tcW w:w="773" w:type="pct"/>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Non quantifiables</w:t>
            </w:r>
          </w:p>
        </w:tc>
        <w:tc>
          <w:tcPr>
            <w:tcW w:w="1196" w:type="pct"/>
            <w:gridSpan w:val="7"/>
            <w:shd w:val="clear" w:color="auto" w:fill="FFFFFF"/>
          </w:tcPr>
          <w:p w:rsidR="00390AE3" w:rsidRPr="00A808AA" w:rsidRDefault="00390AE3" w:rsidP="001578DD">
            <w:pPr>
              <w:spacing w:before="60" w:after="60" w:line="240" w:lineRule="auto"/>
              <w:rPr>
                <w:rFonts w:ascii="Times New Roman" w:hAnsi="Times New Roman" w:cs="Times New Roman"/>
                <w:color w:val="000000"/>
              </w:rPr>
            </w:pPr>
          </w:p>
        </w:tc>
        <w:tc>
          <w:tcPr>
            <w:tcW w:w="3031" w:type="pct"/>
            <w:gridSpan w:val="21"/>
            <w:shd w:val="clear" w:color="auto" w:fill="FFFFFF"/>
          </w:tcPr>
          <w:p w:rsidR="00390AE3" w:rsidRPr="00A808AA" w:rsidRDefault="00CF6C37" w:rsidP="001578DD">
            <w:pPr>
              <w:spacing w:before="60" w:after="60" w:line="240" w:lineRule="auto"/>
              <w:jc w:val="both"/>
              <w:rPr>
                <w:rFonts w:ascii="Times New Roman" w:hAnsi="Times New Roman" w:cs="Times New Roman"/>
                <w:color w:val="000000"/>
              </w:rPr>
            </w:pPr>
            <w:r>
              <w:rPr>
                <w:rFonts w:ascii="Times New Roman" w:hAnsi="Times New Roman"/>
              </w:rPr>
              <w:t>L’efficacité du chauffage ne dépend pas seulement du type de combustible. Les coûts de chauffage d’une maison dépendent également de la norme d’isolation thermique, ainsi que de l’efficacité du système de chauffage. La combustion du meilleur combustible solide dans une ancienne chaudière à faible rendement ne sera pas comparable à celle obtenue en utilisant un combustible solide de bonne qualité, recommandé par les fabricants de chaudières de classe supérieure.</w:t>
            </w:r>
          </w:p>
        </w:tc>
      </w:tr>
      <w:tr w:rsidR="00390AE3" w:rsidRPr="00A808AA" w:rsidTr="005E3488">
        <w:trPr>
          <w:jc w:val="center"/>
        </w:trPr>
        <w:tc>
          <w:tcPr>
            <w:tcW w:w="1158" w:type="pct"/>
            <w:gridSpan w:val="3"/>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Renseignements supplémentaires, y compris l’identification des sources de données et les hypothèses retenues dans le calcul</w:t>
            </w:r>
          </w:p>
        </w:tc>
        <w:tc>
          <w:tcPr>
            <w:tcW w:w="3842" w:type="pct"/>
            <w:gridSpan w:val="26"/>
            <w:shd w:val="clear" w:color="auto" w:fill="FFFFFF"/>
            <w:vAlign w:val="center"/>
          </w:tcPr>
          <w:p w:rsidR="005D0026" w:rsidRPr="00A808AA" w:rsidRDefault="005D0026" w:rsidP="001578DD">
            <w:pPr>
              <w:spacing w:before="60" w:after="60" w:line="240" w:lineRule="auto"/>
              <w:jc w:val="both"/>
              <w:rPr>
                <w:rFonts w:ascii="Times New Roman" w:hAnsi="Times New Roman" w:cs="Times New Roman"/>
                <w:color w:val="000000"/>
              </w:rPr>
            </w:pPr>
            <w:r>
              <w:rPr>
                <w:rFonts w:ascii="Times New Roman" w:hAnsi="Times New Roman"/>
                <w:color w:val="000000"/>
              </w:rPr>
              <w:t>Pour estimer les coûts des grandes entreprises, commercialisant des schlamms du charbon, des concentrés de flottation pour les besoins des ménages, nous sommes partis de l’hypothèse d’une perte des revenus des ventes et des coûts de gestion des invendus. La réduction des coûts résultera de l’utilisation accrue de combustibles solides précités dans des installations non couvertes par le projet de loi, ainsi que leur utilisation à des fins autres que la combustion, par exemple, dans la récupération. On estime que ces coûts s’élèveront à environ 50 millions de PLN par an. En outre, pour répondre aux nouvelles exigences, les sociétés minières devront faire des investissements nécessaires estimés à environ 70 millions de PLN.</w:t>
            </w:r>
          </w:p>
          <w:p w:rsidR="008925A5" w:rsidRPr="00A808AA" w:rsidRDefault="00A41C10" w:rsidP="00A808AA">
            <w:pPr>
              <w:spacing w:before="60" w:after="60" w:line="240" w:lineRule="auto"/>
              <w:jc w:val="both"/>
              <w:rPr>
                <w:rFonts w:ascii="Times New Roman" w:hAnsi="Times New Roman" w:cs="Times New Roman"/>
                <w:color w:val="000000"/>
              </w:rPr>
            </w:pPr>
            <w:r>
              <w:rPr>
                <w:rFonts w:ascii="Times New Roman" w:hAnsi="Times New Roman"/>
                <w:color w:val="000000"/>
              </w:rPr>
              <w:lastRenderedPageBreak/>
              <w:t>Pour estimer les coûts pour les ménages, nous nous sommes basés sur mes estimations de 2016, qui selon les différentes sources peuvent différer de 5 à 10 %. Il a été envisagé d’éliminer des schlamms du charbon, des concentrés de flottations et le lignite provenant de la vente au secteur municipal et résidentiel. Les exploitations polonaises utilisent de 1 à 1,5 million de tonnes de schlamms du charbon, de concentrés de flottation et 0,7 million de tonnes de lignite. Le prix net moyen dans les mines, des schlamms du charbon, des concentrés de flottation est de 158 PLN/tonne. Le prix net du lignite est d’environ 124 PLN par tonne. Les coûts d’achat des combustibles précités, consommés par le secteur urbain et domestique en 2016 s’élèvent à environ 324 millions PLN. Le pouvoir calorifique moyen des schlamms du charbon, des concentrés de flottation vendus au secteur urbain et domestique est d’environ 15 MJ/kg, alors que celui du lignite est de 8 MJ/kg. En remplaçant le charbon, les concentrés de flottation et le lignite dont le pouvoir calorifique est de 21 MJ/kg et le prix net est de 260 PLN/tonne (données sur les carburants de la liste des prix de l’une des sociétés minières), nous consommerons 1,4 million de tonnes de charbon fin présentant les paramètres précités, d’une valeur nette d’environ 373 millions PLN. Ces chiffres ne tiennent pas compte des coûts des intermédiaires et des coûts de transport. Ils ne tiennent pas non plus compte de l’inflation. Les fluctuations des prix du carburant sur les marchés n’ont pas été prises en compte, ce qui pourrait avoir l’impact majeur sur tous les coûts à long terme.</w:t>
            </w:r>
          </w:p>
        </w:tc>
      </w:tr>
      <w:tr w:rsidR="00390AE3" w:rsidRPr="00A808AA" w:rsidTr="005E3488">
        <w:trPr>
          <w:jc w:val="center"/>
        </w:trPr>
        <w:tc>
          <w:tcPr>
            <w:tcW w:w="5000" w:type="pct"/>
            <w:gridSpan w:val="29"/>
            <w:shd w:val="clear" w:color="auto" w:fill="99CCFF"/>
            <w:vAlign w:val="center"/>
          </w:tcPr>
          <w:p w:rsidR="00390AE3" w:rsidRPr="00A808AA" w:rsidRDefault="00390AE3" w:rsidP="001578DD">
            <w:pPr>
              <w:numPr>
                <w:ilvl w:val="0"/>
                <w:numId w:val="1"/>
              </w:numPr>
              <w:spacing w:before="60" w:after="60" w:line="240" w:lineRule="auto"/>
              <w:ind w:left="318" w:hanging="284"/>
              <w:jc w:val="both"/>
              <w:rPr>
                <w:rFonts w:ascii="Times New Roman" w:hAnsi="Times New Roman" w:cs="Times New Roman"/>
                <w:b/>
                <w:color w:val="000000"/>
              </w:rPr>
            </w:pPr>
            <w:r>
              <w:rPr>
                <w:rFonts w:ascii="Times New Roman" w:hAnsi="Times New Roman"/>
                <w:b/>
                <w:color w:val="000000"/>
              </w:rPr>
              <w:lastRenderedPageBreak/>
              <w:t>Modification des charges réglementaires (y compris des obligations en matière d’information) résultant du projet</w:t>
            </w:r>
          </w:p>
        </w:tc>
      </w:tr>
      <w:tr w:rsidR="00390AE3" w:rsidRPr="00A808AA" w:rsidTr="005E3488">
        <w:trPr>
          <w:jc w:val="center"/>
        </w:trPr>
        <w:tc>
          <w:tcPr>
            <w:tcW w:w="5000" w:type="pct"/>
            <w:gridSpan w:val="29"/>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sans objet</w:t>
            </w:r>
          </w:p>
        </w:tc>
      </w:tr>
      <w:tr w:rsidR="00390AE3" w:rsidRPr="00A808AA" w:rsidTr="005E3488">
        <w:trPr>
          <w:jc w:val="center"/>
        </w:trPr>
        <w:tc>
          <w:tcPr>
            <w:tcW w:w="2557" w:type="pct"/>
            <w:gridSpan w:val="13"/>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Sont mises en place des charges en dehors de celles strictement exigées par l’UE (voir le tableau de compatibilité inverse).</w:t>
            </w:r>
          </w:p>
        </w:tc>
        <w:tc>
          <w:tcPr>
            <w:tcW w:w="2443" w:type="pct"/>
            <w:gridSpan w:val="16"/>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oui</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non</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sans objet</w:t>
            </w:r>
          </w:p>
        </w:tc>
      </w:tr>
      <w:tr w:rsidR="00390AE3" w:rsidRPr="00A808AA" w:rsidTr="005E3488">
        <w:trPr>
          <w:jc w:val="center"/>
        </w:trPr>
        <w:tc>
          <w:tcPr>
            <w:tcW w:w="2557" w:type="pct"/>
            <w:gridSpan w:val="13"/>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réduction du nombre de documents </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réduction du nombre de procédures</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réduction du délai de traitement de chaque dossier</w:t>
            </w:r>
          </w:p>
          <w:p w:rsidR="00390AE3" w:rsidRPr="00A808AA" w:rsidRDefault="00390AE3" w:rsidP="001578DD">
            <w:pPr>
              <w:spacing w:before="60" w:after="60" w:line="240" w:lineRule="auto"/>
              <w:rPr>
                <w:rFonts w:ascii="Times New Roman" w:hAnsi="Times New Roman" w:cs="Times New Roman"/>
                <w:b/>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autres:</w:t>
            </w:r>
          </w:p>
        </w:tc>
        <w:tc>
          <w:tcPr>
            <w:tcW w:w="2443" w:type="pct"/>
            <w:gridSpan w:val="16"/>
            <w:shd w:val="clear" w:color="auto" w:fill="FFFFFF"/>
          </w:tcPr>
          <w:p w:rsidR="00390AE3" w:rsidRPr="00A808AA" w:rsidRDefault="0031179C"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augmentation du nombre de documents</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augmentation du nombre de procédures</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prolongation du délai de traitement de chaque dossier</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autres:</w:t>
            </w:r>
          </w:p>
        </w:tc>
      </w:tr>
      <w:tr w:rsidR="00390AE3" w:rsidRPr="00A808AA" w:rsidTr="005E3488">
        <w:trPr>
          <w:jc w:val="center"/>
        </w:trPr>
        <w:tc>
          <w:tcPr>
            <w:tcW w:w="2557" w:type="pct"/>
            <w:gridSpan w:val="13"/>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 xml:space="preserve">Les charges mises en place sont adaptées au traitement électronique. </w:t>
            </w:r>
          </w:p>
        </w:tc>
        <w:tc>
          <w:tcPr>
            <w:tcW w:w="2443" w:type="pct"/>
            <w:gridSpan w:val="16"/>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oui</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non</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sans objet</w:t>
            </w:r>
          </w:p>
        </w:tc>
      </w:tr>
      <w:tr w:rsidR="00390AE3" w:rsidRPr="00A808AA" w:rsidTr="005E3488">
        <w:trPr>
          <w:jc w:val="center"/>
        </w:trPr>
        <w:tc>
          <w:tcPr>
            <w:tcW w:w="5000" w:type="pct"/>
            <w:gridSpan w:val="29"/>
            <w:shd w:val="clear" w:color="auto" w:fill="FFFFFF"/>
          </w:tcPr>
          <w:p w:rsidR="00390AE3" w:rsidRPr="00A808AA" w:rsidRDefault="00234C81" w:rsidP="001578DD">
            <w:pPr>
              <w:spacing w:before="60" w:after="60" w:line="240" w:lineRule="auto"/>
              <w:jc w:val="both"/>
              <w:rPr>
                <w:rFonts w:ascii="Times New Roman" w:hAnsi="Times New Roman" w:cs="Times New Roman"/>
                <w:color w:val="000000"/>
              </w:rPr>
            </w:pPr>
            <w:r>
              <w:rPr>
                <w:rFonts w:ascii="Times New Roman" w:hAnsi="Times New Roman"/>
                <w:color w:val="000000"/>
              </w:rPr>
              <w:t>Lors de la vente, du charbon par exemple, les distributeurs de combustible solide (entrepreneurs) délivrent un certificat de qualité du combustible vendu et sont tenus de fournir une copie certifiée au client. Le système proposé ne contribuera pas à l’augmentation des coûts des producteurs en raison de la délivrance de certificats de la qualité des combustibles solides. Les sociétés minières ont créé leurs propres systèmes de contrôle de la qualité et les moyens de fournir des informations sur la qualité des produits aux clients. Dans le cas des producteurs, le système d’information des clients sur la qualité du combustible solide sera harmonisé. Dans le cas d’intermédiaires (distributeurs) qui mélangent ou conditionnent des combustibles solides, des tests de qualité des combustibles solides doivent être effectués afin de pouvoir délivrer un certificat de qualité. Si le distributeur vend du combustible solide sans modifier sa qualité, il délivre également un certificat de qualité, mais peut utiliser une copie du certificat délivré par le fabricant.</w:t>
            </w:r>
          </w:p>
          <w:p w:rsidR="007466DA" w:rsidRPr="00A808AA" w:rsidRDefault="007466DA" w:rsidP="001578DD">
            <w:pPr>
              <w:spacing w:before="60" w:after="60" w:line="240" w:lineRule="auto"/>
              <w:jc w:val="both"/>
              <w:rPr>
                <w:rFonts w:ascii="Times New Roman" w:hAnsi="Times New Roman" w:cs="Times New Roman"/>
                <w:color w:val="000000"/>
              </w:rPr>
            </w:pPr>
            <w:r>
              <w:rPr>
                <w:rFonts w:ascii="Times New Roman" w:hAnsi="Times New Roman"/>
                <w:color w:val="000000"/>
              </w:rPr>
              <w:t>L’acheteur de combustible solide, qui ne répond pas aux exigences de qualité, sera tenu de présenter un certificat s’il possède une installation nécessitant un permis, visée à l’article 181, paragraphe 1, point 1 ou 2 de la loi du 27 avril 2001 - Loi sur la protection de l’environnement (Journal officiel de 2017, texte 519, modifié) ou la notification visée à l’article 152, paragraphe 1 de ladite loi. Les certificats sont délivrés à la demande de l’autorité de protection de l’environnement qui a délivré un tel permis ou a accepté une telle notification.</w:t>
            </w:r>
          </w:p>
          <w:p w:rsidR="00BE2793" w:rsidRPr="00A808AA" w:rsidRDefault="00BE2793" w:rsidP="001578DD">
            <w:pPr>
              <w:spacing w:before="60" w:after="60" w:line="240" w:lineRule="auto"/>
              <w:jc w:val="both"/>
              <w:rPr>
                <w:rFonts w:ascii="Times New Roman" w:hAnsi="Times New Roman" w:cs="Times New Roman"/>
                <w:color w:val="000000"/>
              </w:rPr>
            </w:pPr>
            <w:r>
              <w:rPr>
                <w:rFonts w:ascii="Times New Roman" w:hAnsi="Times New Roman"/>
                <w:color w:val="000000"/>
              </w:rPr>
              <w:t>L’acheteur de combustible solide, qui ne répond pas aux exigences de qualité, pourra également être un entrepreneur qui pratique le commerce de combustibles solides après avoir présenté un document attestant de l’exploitation de ladite activité.</w:t>
            </w:r>
          </w:p>
        </w:tc>
      </w:tr>
      <w:tr w:rsidR="00390AE3" w:rsidRPr="00A808AA" w:rsidTr="005E3488">
        <w:trPr>
          <w:jc w:val="center"/>
        </w:trPr>
        <w:tc>
          <w:tcPr>
            <w:tcW w:w="5000" w:type="pct"/>
            <w:gridSpan w:val="29"/>
            <w:shd w:val="clear" w:color="auto" w:fill="99CCFF"/>
          </w:tcPr>
          <w:p w:rsidR="00390AE3" w:rsidRPr="00A808AA" w:rsidRDefault="00390AE3" w:rsidP="001578DD">
            <w:pPr>
              <w:numPr>
                <w:ilvl w:val="0"/>
                <w:numId w:val="1"/>
              </w:numPr>
              <w:spacing w:before="60" w:after="60" w:line="240" w:lineRule="auto"/>
              <w:jc w:val="both"/>
              <w:rPr>
                <w:rFonts w:ascii="Times New Roman" w:hAnsi="Times New Roman" w:cs="Times New Roman"/>
                <w:b/>
                <w:color w:val="000000"/>
              </w:rPr>
            </w:pPr>
            <w:r>
              <w:rPr>
                <w:rFonts w:ascii="Times New Roman" w:hAnsi="Times New Roman"/>
                <w:b/>
                <w:color w:val="000000"/>
              </w:rPr>
              <w:t xml:space="preserve">Impact sur le marché du travail </w:t>
            </w:r>
          </w:p>
        </w:tc>
      </w:tr>
      <w:tr w:rsidR="00390AE3" w:rsidRPr="00A808AA" w:rsidTr="005E3488">
        <w:trPr>
          <w:jc w:val="center"/>
        </w:trPr>
        <w:tc>
          <w:tcPr>
            <w:tcW w:w="5000" w:type="pct"/>
            <w:gridSpan w:val="29"/>
            <w:shd w:val="clear" w:color="auto" w:fill="auto"/>
          </w:tcPr>
          <w:p w:rsidR="00390AE3" w:rsidRPr="00A808AA" w:rsidRDefault="00390AE3" w:rsidP="001578DD">
            <w:pPr>
              <w:spacing w:before="60" w:after="60" w:line="240" w:lineRule="auto"/>
              <w:jc w:val="both"/>
              <w:rPr>
                <w:rFonts w:ascii="Times New Roman" w:hAnsi="Times New Roman" w:cs="Times New Roman"/>
                <w:color w:val="000000"/>
              </w:rPr>
            </w:pPr>
            <w:r>
              <w:rPr>
                <w:rFonts w:ascii="Times New Roman" w:hAnsi="Times New Roman"/>
                <w:color w:val="000000"/>
              </w:rPr>
              <w:t>Non applicable.</w:t>
            </w:r>
          </w:p>
        </w:tc>
      </w:tr>
      <w:tr w:rsidR="00390AE3" w:rsidRPr="00A808AA" w:rsidTr="005E3488">
        <w:trPr>
          <w:jc w:val="center"/>
        </w:trPr>
        <w:tc>
          <w:tcPr>
            <w:tcW w:w="5000" w:type="pct"/>
            <w:gridSpan w:val="29"/>
            <w:shd w:val="clear" w:color="auto" w:fill="99CCFF"/>
          </w:tcPr>
          <w:p w:rsidR="00390AE3" w:rsidRPr="00A808AA" w:rsidRDefault="00390AE3" w:rsidP="005E3488">
            <w:pPr>
              <w:keepNext/>
              <w:keepLines/>
              <w:numPr>
                <w:ilvl w:val="0"/>
                <w:numId w:val="1"/>
              </w:numPr>
              <w:spacing w:before="60" w:after="60" w:line="240" w:lineRule="auto"/>
              <w:jc w:val="both"/>
              <w:rPr>
                <w:rFonts w:ascii="Times New Roman" w:hAnsi="Times New Roman" w:cs="Times New Roman"/>
                <w:b/>
                <w:color w:val="000000"/>
              </w:rPr>
            </w:pPr>
            <w:r>
              <w:rPr>
                <w:rFonts w:ascii="Times New Roman" w:hAnsi="Times New Roman"/>
                <w:b/>
                <w:color w:val="000000"/>
              </w:rPr>
              <w:lastRenderedPageBreak/>
              <w:t>Impact sur d’autres domaines</w:t>
            </w:r>
          </w:p>
        </w:tc>
      </w:tr>
      <w:tr w:rsidR="00390AE3" w:rsidRPr="00A808AA" w:rsidTr="005E3488">
        <w:trPr>
          <w:jc w:val="center"/>
        </w:trPr>
        <w:tc>
          <w:tcPr>
            <w:tcW w:w="1793" w:type="pct"/>
            <w:gridSpan w:val="7"/>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environnement naturel</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situation et développement régionaux</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autre: marché du carburant</w:t>
            </w:r>
          </w:p>
        </w:tc>
        <w:tc>
          <w:tcPr>
            <w:tcW w:w="1800" w:type="pct"/>
            <w:gridSpan w:val="16"/>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démographie</w:t>
            </w:r>
          </w:p>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propriété de l’État</w:t>
            </w:r>
          </w:p>
        </w:tc>
        <w:tc>
          <w:tcPr>
            <w:tcW w:w="1407" w:type="pct"/>
            <w:gridSpan w:val="6"/>
            <w:shd w:val="clear" w:color="auto" w:fill="FFFFFF"/>
          </w:tcPr>
          <w:p w:rsidR="00390AE3" w:rsidRPr="00A808AA" w:rsidRDefault="00390AE3"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Wybór1"/>
                  <w:enabled/>
                  <w:calcOnExit w:val="0"/>
                  <w:checkBox>
                    <w:sizeAuto/>
                    <w:default w:val="0"/>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informatisation</w:t>
            </w:r>
          </w:p>
          <w:p w:rsidR="00390AE3" w:rsidRPr="00A808AA" w:rsidRDefault="0084124C" w:rsidP="001578DD">
            <w:pPr>
              <w:spacing w:before="60" w:after="60" w:line="240" w:lineRule="auto"/>
              <w:rPr>
                <w:rFonts w:ascii="Times New Roman" w:hAnsi="Times New Roman" w:cs="Times New Roman"/>
                <w:color w:val="000000"/>
              </w:rPr>
            </w:pPr>
            <w:r w:rsidRPr="00A808AA">
              <w:rPr>
                <w:rFonts w:ascii="Times New Roman" w:hAnsi="Times New Roman" w:cs="Times New Roman"/>
                <w:color w:val="000000"/>
              </w:rPr>
              <w:fldChar w:fldCharType="begin">
                <w:ffData>
                  <w:name w:val=""/>
                  <w:enabled/>
                  <w:calcOnExit w:val="0"/>
                  <w:checkBox>
                    <w:sizeAuto/>
                    <w:default w:val="1"/>
                  </w:checkBox>
                </w:ffData>
              </w:fldChar>
            </w:r>
            <w:r w:rsidRPr="00A808AA">
              <w:rPr>
                <w:rFonts w:ascii="Times New Roman" w:hAnsi="Times New Roman" w:cs="Times New Roman"/>
                <w:color w:val="000000"/>
              </w:rPr>
              <w:instrText xml:space="preserve"> FORMCHECKBOX </w:instrText>
            </w:r>
            <w:r w:rsidR="00F02DDE">
              <w:rPr>
                <w:rFonts w:ascii="Times New Roman" w:hAnsi="Times New Roman" w:cs="Times New Roman"/>
                <w:color w:val="000000"/>
              </w:rPr>
            </w:r>
            <w:r w:rsidR="00F02DDE">
              <w:rPr>
                <w:rFonts w:ascii="Times New Roman" w:hAnsi="Times New Roman" w:cs="Times New Roman"/>
                <w:color w:val="000000"/>
              </w:rPr>
              <w:fldChar w:fldCharType="separate"/>
            </w:r>
            <w:r w:rsidRPr="00A808AA">
              <w:rPr>
                <w:rFonts w:ascii="Times New Roman" w:hAnsi="Times New Roman" w:cs="Times New Roman"/>
                <w:color w:val="000000"/>
              </w:rPr>
              <w:fldChar w:fldCharType="end"/>
            </w:r>
            <w:r>
              <w:rPr>
                <w:rFonts w:ascii="Times New Roman" w:hAnsi="Times New Roman"/>
                <w:color w:val="000000"/>
              </w:rPr>
              <w:t xml:space="preserve"> santé</w:t>
            </w:r>
          </w:p>
        </w:tc>
      </w:tr>
      <w:tr w:rsidR="00390AE3" w:rsidRPr="00A808AA" w:rsidTr="005E3488">
        <w:trPr>
          <w:jc w:val="center"/>
        </w:trPr>
        <w:tc>
          <w:tcPr>
            <w:tcW w:w="1158" w:type="pct"/>
            <w:gridSpan w:val="3"/>
            <w:shd w:val="clear" w:color="auto" w:fill="FFFFFF"/>
            <w:vAlign w:val="center"/>
          </w:tcPr>
          <w:p w:rsidR="00390AE3" w:rsidRPr="00A808AA" w:rsidRDefault="00390AE3" w:rsidP="001578DD">
            <w:pPr>
              <w:spacing w:before="60" w:after="60" w:line="240" w:lineRule="auto"/>
              <w:rPr>
                <w:rFonts w:ascii="Times New Roman" w:hAnsi="Times New Roman" w:cs="Times New Roman"/>
                <w:color w:val="000000"/>
              </w:rPr>
            </w:pPr>
            <w:r>
              <w:rPr>
                <w:rFonts w:ascii="Times New Roman" w:hAnsi="Times New Roman"/>
                <w:color w:val="000000"/>
              </w:rPr>
              <w:t>Examen de l’impact</w:t>
            </w:r>
          </w:p>
        </w:tc>
        <w:tc>
          <w:tcPr>
            <w:tcW w:w="3842" w:type="pct"/>
            <w:gridSpan w:val="26"/>
            <w:shd w:val="clear" w:color="auto" w:fill="FFFFFF"/>
            <w:vAlign w:val="center"/>
          </w:tcPr>
          <w:p w:rsidR="00390AE3" w:rsidRPr="00A808AA" w:rsidRDefault="00390AE3" w:rsidP="001578DD">
            <w:pPr>
              <w:suppressAutoHyphens/>
              <w:autoSpaceDE w:val="0"/>
              <w:autoSpaceDN w:val="0"/>
              <w:adjustRightInd w:val="0"/>
              <w:spacing w:before="60" w:after="60" w:line="240" w:lineRule="auto"/>
              <w:jc w:val="both"/>
              <w:rPr>
                <w:rFonts w:ascii="Times New Roman" w:eastAsia="Times New Roman" w:hAnsi="Times New Roman" w:cs="Times New Roman"/>
              </w:rPr>
            </w:pPr>
            <w:r>
              <w:rPr>
                <w:rFonts w:ascii="Times New Roman" w:hAnsi="Times New Roman"/>
              </w:rPr>
              <w:t>Le règlement aura un effet positif sur le marché des combustibles solides à la suite de la mise en œuvre des exigences de qualité des carburants et la possibilité de contrôle de ces derniers.</w:t>
            </w:r>
          </w:p>
          <w:p w:rsidR="00390AE3" w:rsidRPr="00A808AA" w:rsidRDefault="00390AE3" w:rsidP="001578DD">
            <w:pPr>
              <w:suppressAutoHyphens/>
              <w:autoSpaceDE w:val="0"/>
              <w:autoSpaceDN w:val="0"/>
              <w:adjustRightInd w:val="0"/>
              <w:spacing w:before="60" w:after="60" w:line="240" w:lineRule="auto"/>
              <w:jc w:val="both"/>
              <w:rPr>
                <w:rFonts w:ascii="Times New Roman" w:eastAsia="Times New Roman" w:hAnsi="Times New Roman" w:cs="Times New Roman"/>
              </w:rPr>
            </w:pPr>
            <w:r>
              <w:rPr>
                <w:rFonts w:ascii="Times New Roman" w:hAnsi="Times New Roman"/>
              </w:rPr>
              <w:t>L’introduction d’exigences de qualité pour les combustibles solides aura un impact positif sur les paramètres de qualité de l’air (en particulier dans les zones urbaines) et, par conséquent, sur la santé et la qualité de vie des citoyens.</w:t>
            </w:r>
          </w:p>
        </w:tc>
      </w:tr>
      <w:tr w:rsidR="00390AE3" w:rsidRPr="00A808AA" w:rsidTr="005E3488">
        <w:trPr>
          <w:jc w:val="center"/>
        </w:trPr>
        <w:tc>
          <w:tcPr>
            <w:tcW w:w="5000" w:type="pct"/>
            <w:gridSpan w:val="29"/>
            <w:shd w:val="clear" w:color="auto" w:fill="99CCFF"/>
          </w:tcPr>
          <w:p w:rsidR="00390AE3" w:rsidRPr="00A808AA" w:rsidRDefault="00390AE3" w:rsidP="001578DD">
            <w:pPr>
              <w:numPr>
                <w:ilvl w:val="0"/>
                <w:numId w:val="1"/>
              </w:numPr>
              <w:spacing w:before="60" w:after="60" w:line="240" w:lineRule="auto"/>
              <w:jc w:val="both"/>
              <w:rPr>
                <w:rFonts w:ascii="Times New Roman" w:hAnsi="Times New Roman" w:cs="Times New Roman"/>
                <w:b/>
              </w:rPr>
            </w:pPr>
            <w:r>
              <w:rPr>
                <w:rFonts w:ascii="Times New Roman" w:hAnsi="Times New Roman"/>
                <w:b/>
              </w:rPr>
              <w:t>Mise en œuvre planifiée des dispositions de l’acte législatif</w:t>
            </w:r>
          </w:p>
        </w:tc>
      </w:tr>
      <w:tr w:rsidR="00390AE3" w:rsidRPr="00A808AA" w:rsidTr="005E3488">
        <w:trPr>
          <w:jc w:val="center"/>
        </w:trPr>
        <w:tc>
          <w:tcPr>
            <w:tcW w:w="5000" w:type="pct"/>
            <w:gridSpan w:val="29"/>
            <w:shd w:val="clear" w:color="auto" w:fill="FFFFFF"/>
          </w:tcPr>
          <w:p w:rsidR="00390AE3" w:rsidRPr="00A808AA" w:rsidRDefault="00390AE3" w:rsidP="001578DD">
            <w:pPr>
              <w:spacing w:before="60" w:after="60" w:line="240" w:lineRule="auto"/>
              <w:jc w:val="both"/>
              <w:rPr>
                <w:rFonts w:ascii="Times New Roman" w:hAnsi="Times New Roman" w:cs="Times New Roman"/>
              </w:rPr>
            </w:pPr>
            <w:r>
              <w:rPr>
                <w:rFonts w:ascii="Times New Roman" w:hAnsi="Times New Roman"/>
              </w:rPr>
              <w:t>Non applicable.</w:t>
            </w:r>
          </w:p>
        </w:tc>
      </w:tr>
      <w:tr w:rsidR="00390AE3" w:rsidRPr="00A808AA" w:rsidTr="005E3488">
        <w:trPr>
          <w:jc w:val="center"/>
        </w:trPr>
        <w:tc>
          <w:tcPr>
            <w:tcW w:w="5000" w:type="pct"/>
            <w:gridSpan w:val="29"/>
            <w:shd w:val="clear" w:color="auto" w:fill="99CCFF"/>
          </w:tcPr>
          <w:p w:rsidR="00390AE3" w:rsidRPr="00A808AA" w:rsidRDefault="00390AE3" w:rsidP="001578DD">
            <w:pPr>
              <w:numPr>
                <w:ilvl w:val="0"/>
                <w:numId w:val="1"/>
              </w:numPr>
              <w:spacing w:before="60" w:after="60" w:line="240" w:lineRule="auto"/>
              <w:jc w:val="both"/>
              <w:rPr>
                <w:rFonts w:ascii="Times New Roman" w:hAnsi="Times New Roman" w:cs="Times New Roman"/>
                <w:b/>
                <w:color w:val="000000"/>
              </w:rPr>
            </w:pPr>
            <w:r>
              <w:rPr>
                <w:rFonts w:ascii="Times New Roman" w:hAnsi="Times New Roman"/>
                <w:b/>
              </w:rPr>
              <w:t>Comment et quand les effets du projet seront-ils évalués et quels seront les indicateurs utilisés?</w:t>
            </w:r>
          </w:p>
        </w:tc>
      </w:tr>
      <w:tr w:rsidR="00390AE3" w:rsidRPr="00A808AA" w:rsidTr="005E3488">
        <w:trPr>
          <w:jc w:val="center"/>
        </w:trPr>
        <w:tc>
          <w:tcPr>
            <w:tcW w:w="5000" w:type="pct"/>
            <w:gridSpan w:val="29"/>
            <w:shd w:val="clear" w:color="auto" w:fill="FFFFFF"/>
          </w:tcPr>
          <w:p w:rsidR="00390AE3" w:rsidRPr="00A808AA" w:rsidRDefault="00390AE3" w:rsidP="001578DD">
            <w:pPr>
              <w:spacing w:before="60" w:after="60" w:line="240" w:lineRule="auto"/>
              <w:jc w:val="both"/>
              <w:rPr>
                <w:rFonts w:ascii="Times New Roman" w:hAnsi="Times New Roman" w:cs="Times New Roman"/>
                <w:color w:val="000000"/>
              </w:rPr>
            </w:pPr>
            <w:r>
              <w:rPr>
                <w:rFonts w:ascii="Times New Roman" w:hAnsi="Times New Roman"/>
                <w:color w:val="000000"/>
              </w:rPr>
              <w:t>Les effets du projet seront évalués lors de l’examen visé à l’article 3a, paragraphe 2a de la loi modifiée. Dans le cas d’un changement important de la qualité de l’air</w:t>
            </w:r>
            <w:r w:rsidR="00D56F9C">
              <w:rPr>
                <w:rFonts w:ascii="Times New Roman" w:hAnsi="Times New Roman"/>
                <w:color w:val="000000"/>
              </w:rPr>
              <w:t>,</w:t>
            </w:r>
            <w:r>
              <w:rPr>
                <w:rFonts w:ascii="Times New Roman" w:hAnsi="Times New Roman"/>
                <w:color w:val="000000"/>
              </w:rPr>
              <w:t xml:space="preserve"> la révision servira de base à la modification des paramètres de qualité des combustibles solides spécifiés dans le règlement émis sur la base de l’article 3a, paragraphe 2 de la loi et de leurs valeurs.</w:t>
            </w:r>
          </w:p>
        </w:tc>
      </w:tr>
      <w:tr w:rsidR="00390AE3" w:rsidRPr="00A808AA" w:rsidTr="005E3488">
        <w:trPr>
          <w:jc w:val="center"/>
        </w:trPr>
        <w:tc>
          <w:tcPr>
            <w:tcW w:w="5000" w:type="pct"/>
            <w:gridSpan w:val="29"/>
            <w:shd w:val="clear" w:color="auto" w:fill="99CCFF"/>
          </w:tcPr>
          <w:p w:rsidR="00390AE3" w:rsidRPr="00A808AA" w:rsidRDefault="00390AE3" w:rsidP="001578DD">
            <w:pPr>
              <w:numPr>
                <w:ilvl w:val="0"/>
                <w:numId w:val="1"/>
              </w:numPr>
              <w:spacing w:before="60" w:after="60" w:line="240" w:lineRule="auto"/>
              <w:jc w:val="both"/>
              <w:rPr>
                <w:rFonts w:ascii="Times New Roman" w:hAnsi="Times New Roman" w:cs="Times New Roman"/>
                <w:b/>
                <w:color w:val="000000"/>
              </w:rPr>
            </w:pPr>
            <w:r>
              <w:rPr>
                <w:rFonts w:ascii="Times New Roman" w:hAnsi="Times New Roman"/>
                <w:b/>
              </w:rPr>
              <w:t>Annexes (documents pertinents concernant la source, la recherche, les analyses, etc.)</w:t>
            </w:r>
            <w:r>
              <w:rPr>
                <w:rFonts w:ascii="Times New Roman" w:hAnsi="Times New Roman"/>
                <w:b/>
                <w:color w:val="000000"/>
              </w:rPr>
              <w:t xml:space="preserve"> </w:t>
            </w:r>
          </w:p>
        </w:tc>
      </w:tr>
      <w:tr w:rsidR="00390AE3" w:rsidRPr="00A808AA" w:rsidTr="005E3488">
        <w:trPr>
          <w:jc w:val="center"/>
        </w:trPr>
        <w:tc>
          <w:tcPr>
            <w:tcW w:w="5000" w:type="pct"/>
            <w:gridSpan w:val="29"/>
            <w:shd w:val="clear" w:color="auto" w:fill="FFFFFF"/>
          </w:tcPr>
          <w:p w:rsidR="00390AE3" w:rsidRPr="00A808AA" w:rsidRDefault="00395F80" w:rsidP="001578DD">
            <w:pPr>
              <w:spacing w:before="60" w:after="60" w:line="240" w:lineRule="auto"/>
              <w:jc w:val="both"/>
              <w:rPr>
                <w:rFonts w:ascii="Times New Roman" w:hAnsi="Times New Roman" w:cs="Times New Roman"/>
              </w:rPr>
            </w:pPr>
            <w:r>
              <w:rPr>
                <w:rFonts w:ascii="Times New Roman" w:hAnsi="Times New Roman"/>
              </w:rPr>
              <w:t>Rapport à la suite de la consultation.</w:t>
            </w:r>
          </w:p>
        </w:tc>
      </w:tr>
    </w:tbl>
    <w:p w:rsidR="006B1718" w:rsidRPr="00A808AA" w:rsidRDefault="006B1718" w:rsidP="00F54E2B">
      <w:pPr>
        <w:spacing w:after="0" w:line="360" w:lineRule="auto"/>
        <w:rPr>
          <w:rFonts w:ascii="Times New Roman" w:hAnsi="Times New Roman" w:cs="Times New Roman"/>
          <w:sz w:val="24"/>
          <w:szCs w:val="24"/>
        </w:rPr>
      </w:pPr>
    </w:p>
    <w:sectPr w:rsidR="006B1718" w:rsidRPr="00A808AA" w:rsidSect="00A5252F">
      <w:footerReference w:type="default" r:id="rId8"/>
      <w:pgSz w:w="11906" w:h="16838"/>
      <w:pgMar w:top="567" w:right="709" w:bottom="567"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419" w:rsidRDefault="00CB5419" w:rsidP="006B1718">
      <w:pPr>
        <w:spacing w:after="0" w:line="240" w:lineRule="auto"/>
      </w:pPr>
      <w:r>
        <w:separator/>
      </w:r>
    </w:p>
  </w:endnote>
  <w:endnote w:type="continuationSeparator" w:id="0">
    <w:p w:rsidR="00CB5419" w:rsidRDefault="00CB5419" w:rsidP="006B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69317"/>
      <w:docPartObj>
        <w:docPartGallery w:val="Page Numbers (Bottom of Page)"/>
        <w:docPartUnique/>
      </w:docPartObj>
    </w:sdtPr>
    <w:sdtEndPr>
      <w:rPr>
        <w:rFonts w:ascii="Times New Roman" w:hAnsi="Times New Roman" w:cs="Times New Roman"/>
        <w:sz w:val="24"/>
        <w:szCs w:val="24"/>
      </w:rPr>
    </w:sdtEndPr>
    <w:sdtContent>
      <w:p w:rsidR="003D6BCB" w:rsidRPr="00A5252F" w:rsidRDefault="003D6BCB" w:rsidP="00A5252F">
        <w:pPr>
          <w:pStyle w:val="Footer"/>
          <w:jc w:val="center"/>
          <w:rPr>
            <w:rFonts w:ascii="Times New Roman" w:hAnsi="Times New Roman" w:cs="Times New Roman"/>
            <w:sz w:val="24"/>
            <w:szCs w:val="24"/>
          </w:rPr>
        </w:pPr>
        <w:r w:rsidRPr="00A5252F">
          <w:rPr>
            <w:rFonts w:ascii="Times New Roman" w:hAnsi="Times New Roman" w:cs="Times New Roman"/>
            <w:sz w:val="24"/>
            <w:szCs w:val="24"/>
          </w:rPr>
          <w:fldChar w:fldCharType="begin"/>
        </w:r>
        <w:r w:rsidRPr="00A5252F">
          <w:rPr>
            <w:rFonts w:ascii="Times New Roman" w:hAnsi="Times New Roman" w:cs="Times New Roman"/>
            <w:sz w:val="24"/>
            <w:szCs w:val="24"/>
          </w:rPr>
          <w:instrText>PAGE   \* MERGEFORMAT</w:instrText>
        </w:r>
        <w:r w:rsidRPr="00A5252F">
          <w:rPr>
            <w:rFonts w:ascii="Times New Roman" w:hAnsi="Times New Roman" w:cs="Times New Roman"/>
            <w:sz w:val="24"/>
            <w:szCs w:val="24"/>
          </w:rPr>
          <w:fldChar w:fldCharType="separate"/>
        </w:r>
        <w:r w:rsidR="00F02DDE">
          <w:rPr>
            <w:rFonts w:ascii="Times New Roman" w:hAnsi="Times New Roman" w:cs="Times New Roman"/>
            <w:noProof/>
            <w:sz w:val="24"/>
            <w:szCs w:val="24"/>
          </w:rPr>
          <w:t>4</w:t>
        </w:r>
        <w:r w:rsidRPr="00A5252F">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419" w:rsidRDefault="00CB5419" w:rsidP="006B1718">
      <w:pPr>
        <w:spacing w:after="0" w:line="240" w:lineRule="auto"/>
      </w:pPr>
      <w:r>
        <w:separator/>
      </w:r>
    </w:p>
  </w:footnote>
  <w:footnote w:type="continuationSeparator" w:id="0">
    <w:p w:rsidR="00CB5419" w:rsidRDefault="00CB5419" w:rsidP="006B17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6CA5"/>
    <w:multiLevelType w:val="hybridMultilevel"/>
    <w:tmpl w:val="764E20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8A32BB"/>
    <w:multiLevelType w:val="hybridMultilevel"/>
    <w:tmpl w:val="ED4636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A456257"/>
    <w:multiLevelType w:val="hybridMultilevel"/>
    <w:tmpl w:val="20FE0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DB5EAC"/>
    <w:multiLevelType w:val="hybridMultilevel"/>
    <w:tmpl w:val="C194EC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FA4EE3"/>
    <w:multiLevelType w:val="hybridMultilevel"/>
    <w:tmpl w:val="3B1E623C"/>
    <w:lvl w:ilvl="0" w:tplc="D17E482A">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6" w15:restartNumberingAfterBreak="0">
    <w:nsid w:val="52AF5C47"/>
    <w:multiLevelType w:val="hybridMultilevel"/>
    <w:tmpl w:val="AF8AF7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53DE252E"/>
    <w:multiLevelType w:val="hybridMultilevel"/>
    <w:tmpl w:val="368029B6"/>
    <w:lvl w:ilvl="0" w:tplc="D17E482A">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8" w15:restartNumberingAfterBreak="0">
    <w:nsid w:val="5AD02130"/>
    <w:multiLevelType w:val="hybridMultilevel"/>
    <w:tmpl w:val="AC1E7E66"/>
    <w:lvl w:ilvl="0" w:tplc="0415000F">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9" w15:restartNumberingAfterBreak="0">
    <w:nsid w:val="71383FE5"/>
    <w:multiLevelType w:val="hybridMultilevel"/>
    <w:tmpl w:val="E410C834"/>
    <w:lvl w:ilvl="0" w:tplc="073E23C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1"/>
  </w:num>
  <w:num w:numId="6">
    <w:abstractNumId w:val="7"/>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1D"/>
    <w:rsid w:val="00017220"/>
    <w:rsid w:val="00050A91"/>
    <w:rsid w:val="000769A3"/>
    <w:rsid w:val="00076FF1"/>
    <w:rsid w:val="00081E11"/>
    <w:rsid w:val="000A3CCC"/>
    <w:rsid w:val="000A701D"/>
    <w:rsid w:val="000C7A83"/>
    <w:rsid w:val="000E0388"/>
    <w:rsid w:val="000E285F"/>
    <w:rsid w:val="000E458A"/>
    <w:rsid w:val="000F3E33"/>
    <w:rsid w:val="001405FE"/>
    <w:rsid w:val="001578DD"/>
    <w:rsid w:val="0017020D"/>
    <w:rsid w:val="001C4500"/>
    <w:rsid w:val="00234C81"/>
    <w:rsid w:val="00264691"/>
    <w:rsid w:val="00267EFE"/>
    <w:rsid w:val="002755F1"/>
    <w:rsid w:val="002A0381"/>
    <w:rsid w:val="002A33A9"/>
    <w:rsid w:val="002F3BED"/>
    <w:rsid w:val="00300031"/>
    <w:rsid w:val="00310B98"/>
    <w:rsid w:val="0031179C"/>
    <w:rsid w:val="00342A9F"/>
    <w:rsid w:val="0034409D"/>
    <w:rsid w:val="00344FA2"/>
    <w:rsid w:val="00390AE3"/>
    <w:rsid w:val="00395F80"/>
    <w:rsid w:val="003A2B6F"/>
    <w:rsid w:val="003D6BCB"/>
    <w:rsid w:val="003F37CF"/>
    <w:rsid w:val="00420DF7"/>
    <w:rsid w:val="00435D08"/>
    <w:rsid w:val="00441996"/>
    <w:rsid w:val="00446C1D"/>
    <w:rsid w:val="00456247"/>
    <w:rsid w:val="00464F93"/>
    <w:rsid w:val="0047421C"/>
    <w:rsid w:val="004B00C9"/>
    <w:rsid w:val="004E5D0A"/>
    <w:rsid w:val="0052083F"/>
    <w:rsid w:val="00523C50"/>
    <w:rsid w:val="00526741"/>
    <w:rsid w:val="0056099A"/>
    <w:rsid w:val="00594AB4"/>
    <w:rsid w:val="005A39D1"/>
    <w:rsid w:val="005D0026"/>
    <w:rsid w:val="005D7540"/>
    <w:rsid w:val="005E3488"/>
    <w:rsid w:val="005F2FB0"/>
    <w:rsid w:val="005F7B25"/>
    <w:rsid w:val="0060041F"/>
    <w:rsid w:val="00623F60"/>
    <w:rsid w:val="00641251"/>
    <w:rsid w:val="00655DE0"/>
    <w:rsid w:val="006B16AF"/>
    <w:rsid w:val="006B1718"/>
    <w:rsid w:val="006B7CE3"/>
    <w:rsid w:val="006C09FD"/>
    <w:rsid w:val="0071455F"/>
    <w:rsid w:val="007466DA"/>
    <w:rsid w:val="00747E1D"/>
    <w:rsid w:val="00751C59"/>
    <w:rsid w:val="007B5871"/>
    <w:rsid w:val="007B6948"/>
    <w:rsid w:val="007B6E8F"/>
    <w:rsid w:val="007D4439"/>
    <w:rsid w:val="007D6E4E"/>
    <w:rsid w:val="0080239B"/>
    <w:rsid w:val="00833625"/>
    <w:rsid w:val="0084124C"/>
    <w:rsid w:val="00850048"/>
    <w:rsid w:val="0085021C"/>
    <w:rsid w:val="00873BFA"/>
    <w:rsid w:val="008925A5"/>
    <w:rsid w:val="008A09DD"/>
    <w:rsid w:val="008C509D"/>
    <w:rsid w:val="00913BFA"/>
    <w:rsid w:val="00926B3A"/>
    <w:rsid w:val="009422CA"/>
    <w:rsid w:val="0094270D"/>
    <w:rsid w:val="009C714D"/>
    <w:rsid w:val="00A33D3E"/>
    <w:rsid w:val="00A41C10"/>
    <w:rsid w:val="00A5252F"/>
    <w:rsid w:val="00A5635D"/>
    <w:rsid w:val="00A660E1"/>
    <w:rsid w:val="00A6788B"/>
    <w:rsid w:val="00A808AA"/>
    <w:rsid w:val="00A8207E"/>
    <w:rsid w:val="00AA0959"/>
    <w:rsid w:val="00AD66D7"/>
    <w:rsid w:val="00B0513A"/>
    <w:rsid w:val="00B07845"/>
    <w:rsid w:val="00B2022B"/>
    <w:rsid w:val="00B3164B"/>
    <w:rsid w:val="00B40ABC"/>
    <w:rsid w:val="00B51F94"/>
    <w:rsid w:val="00B52368"/>
    <w:rsid w:val="00B95DCA"/>
    <w:rsid w:val="00BA0857"/>
    <w:rsid w:val="00BB1C98"/>
    <w:rsid w:val="00BB545C"/>
    <w:rsid w:val="00BE04B9"/>
    <w:rsid w:val="00BE2793"/>
    <w:rsid w:val="00BE59C4"/>
    <w:rsid w:val="00C06A19"/>
    <w:rsid w:val="00C12109"/>
    <w:rsid w:val="00C174D3"/>
    <w:rsid w:val="00C418D0"/>
    <w:rsid w:val="00C4617D"/>
    <w:rsid w:val="00C53604"/>
    <w:rsid w:val="00C66E2E"/>
    <w:rsid w:val="00CA1F2B"/>
    <w:rsid w:val="00CB5419"/>
    <w:rsid w:val="00CE1CF1"/>
    <w:rsid w:val="00CF6BCC"/>
    <w:rsid w:val="00CF6C37"/>
    <w:rsid w:val="00D22DC0"/>
    <w:rsid w:val="00D45024"/>
    <w:rsid w:val="00D56F9C"/>
    <w:rsid w:val="00DC3731"/>
    <w:rsid w:val="00DE0958"/>
    <w:rsid w:val="00DE266E"/>
    <w:rsid w:val="00E153C9"/>
    <w:rsid w:val="00E42015"/>
    <w:rsid w:val="00E772B1"/>
    <w:rsid w:val="00ED68DB"/>
    <w:rsid w:val="00EF435A"/>
    <w:rsid w:val="00F02DDE"/>
    <w:rsid w:val="00F33ECE"/>
    <w:rsid w:val="00F47FB2"/>
    <w:rsid w:val="00F54E2B"/>
    <w:rsid w:val="00F56109"/>
    <w:rsid w:val="00F62225"/>
    <w:rsid w:val="00F973D7"/>
    <w:rsid w:val="00FB7B2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995D9AE-4051-467E-8450-AA05F166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0AE3"/>
    <w:rPr>
      <w:sz w:val="16"/>
      <w:szCs w:val="16"/>
    </w:rPr>
  </w:style>
  <w:style w:type="paragraph" w:styleId="CommentText">
    <w:name w:val="annotation text"/>
    <w:basedOn w:val="Normal"/>
    <w:link w:val="CommentTextChar"/>
    <w:uiPriority w:val="99"/>
    <w:semiHidden/>
    <w:unhideWhenUsed/>
    <w:rsid w:val="00390AE3"/>
    <w:pPr>
      <w:spacing w:line="240" w:lineRule="auto"/>
    </w:pPr>
    <w:rPr>
      <w:sz w:val="20"/>
      <w:szCs w:val="20"/>
    </w:rPr>
  </w:style>
  <w:style w:type="character" w:customStyle="1" w:styleId="CommentTextChar">
    <w:name w:val="Comment Text Char"/>
    <w:basedOn w:val="DefaultParagraphFont"/>
    <w:link w:val="CommentText"/>
    <w:uiPriority w:val="99"/>
    <w:semiHidden/>
    <w:rsid w:val="00390AE3"/>
    <w:rPr>
      <w:sz w:val="20"/>
      <w:szCs w:val="20"/>
    </w:rPr>
  </w:style>
  <w:style w:type="paragraph" w:styleId="BalloonText">
    <w:name w:val="Balloon Text"/>
    <w:basedOn w:val="Normal"/>
    <w:link w:val="BalloonTextChar"/>
    <w:uiPriority w:val="99"/>
    <w:semiHidden/>
    <w:unhideWhenUsed/>
    <w:rsid w:val="00390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6B3A"/>
    <w:rPr>
      <w:b/>
      <w:bCs/>
    </w:rPr>
  </w:style>
  <w:style w:type="character" w:customStyle="1" w:styleId="CommentSubjectChar">
    <w:name w:val="Comment Subject Char"/>
    <w:basedOn w:val="CommentTextChar"/>
    <w:link w:val="CommentSubject"/>
    <w:uiPriority w:val="99"/>
    <w:semiHidden/>
    <w:rsid w:val="00926B3A"/>
    <w:rPr>
      <w:b/>
      <w:bCs/>
      <w:sz w:val="20"/>
      <w:szCs w:val="20"/>
    </w:rPr>
  </w:style>
  <w:style w:type="paragraph" w:styleId="Revision">
    <w:name w:val="Revision"/>
    <w:hidden/>
    <w:uiPriority w:val="99"/>
    <w:semiHidden/>
    <w:rsid w:val="00B52368"/>
    <w:pPr>
      <w:spacing w:after="0" w:line="240" w:lineRule="auto"/>
    </w:pPr>
  </w:style>
  <w:style w:type="paragraph" w:styleId="NoSpacing">
    <w:name w:val="No Spacing"/>
    <w:uiPriority w:val="1"/>
    <w:qFormat/>
    <w:rsid w:val="009C714D"/>
    <w:pPr>
      <w:spacing w:after="0" w:line="240" w:lineRule="auto"/>
    </w:pPr>
  </w:style>
  <w:style w:type="paragraph" w:styleId="ListParagraph">
    <w:name w:val="List Paragraph"/>
    <w:basedOn w:val="Normal"/>
    <w:uiPriority w:val="34"/>
    <w:qFormat/>
    <w:rsid w:val="00594AB4"/>
    <w:pPr>
      <w:ind w:left="720"/>
      <w:contextualSpacing/>
    </w:pPr>
  </w:style>
  <w:style w:type="paragraph" w:styleId="Header">
    <w:name w:val="header"/>
    <w:basedOn w:val="Normal"/>
    <w:link w:val="HeaderChar"/>
    <w:uiPriority w:val="99"/>
    <w:unhideWhenUsed/>
    <w:rsid w:val="006B17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1718"/>
  </w:style>
  <w:style w:type="paragraph" w:styleId="Footer">
    <w:name w:val="footer"/>
    <w:basedOn w:val="Normal"/>
    <w:link w:val="FooterChar"/>
    <w:uiPriority w:val="99"/>
    <w:unhideWhenUsed/>
    <w:rsid w:val="006B17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1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86031-D5E5-4BE0-B4F8-E0885D4F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3435</Words>
  <Characters>19585</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Drabek Jonasz</dc:creator>
  <cp:lastModifiedBy>Ke, Tingting</cp:lastModifiedBy>
  <cp:revision>6</cp:revision>
  <cp:lastPrinted>2018-03-08T13:57:00Z</cp:lastPrinted>
  <dcterms:created xsi:type="dcterms:W3CDTF">2018-03-06T07:41:00Z</dcterms:created>
  <dcterms:modified xsi:type="dcterms:W3CDTF">2018-03-28T03:43:00Z</dcterms:modified>
</cp:coreProperties>
</file>