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B92" w:rsidRPr="008F61B0" w:rsidRDefault="006B2B92" w:rsidP="006B2B92">
      <w:pPr>
        <w:pStyle w:val="PlainText"/>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0518 F-- RO- ------ 20200930 --- --- FINAL</w:t>
      </w:r>
      <w:r>
        <w:rPr>
          <w:sz w:val="20"/>
          <w:szCs w:val="20"/>
          <w:rFonts w:ascii="Courier New" w:hAnsi="Courier New"/>
        </w:rPr>
        <w:t xml:space="preserve"> </w:t>
      </w:r>
    </w:p>
    <w:p w:rsidR="00D8408E" w:rsidRPr="00621B9B" w:rsidRDefault="00DD2A33">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10 aprilie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Jurnalul Oficial al Republicii Franceze nr. 0085 din 7 aprilie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Textul nr. 11</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Decretul din 1 aprilie 2020 de stabilire a componenței dosarelor de cerere de obținere a autorizației de introducere pe piață și a permisului pentru îngrășăminte, aditivi pentru îngrășăminte și medii de cultivare și criteriile care trebuie luate în considerare la pregătirea elementelor necesare pentru evaluare</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B2B92"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NR.:</w:t>
      </w:r>
      <w:r>
        <w:rPr>
          <w:sz w:val="24"/>
          <w:szCs w:val="24"/>
          <w:rFonts w:ascii="Arial" w:hAnsi="Arial"/>
        </w:rPr>
        <w:t xml:space="preserve"> </w:t>
      </w:r>
      <w:r>
        <w:rPr>
          <w:sz w:val="24"/>
          <w:szCs w:val="24"/>
          <w:rFonts w:ascii="Arial" w:hAnsi="Arial"/>
        </w:rPr>
        <w:t xml:space="preserve">AGRG2008998A</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D8408E" w:rsidRPr="006B2B92" w:rsidRDefault="00DD2A33">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ELI:https://www.legifrance.gouv.fr/eli/arrete/2020/4/1/AGRG2008998A/jo/texte</w:t>
      </w: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B2B92" w:rsidRDefault="00621B9B">
      <w:pPr>
        <w:widowControl w:val="0"/>
        <w:autoSpaceDE w:val="0"/>
        <w:autoSpaceDN w:val="0"/>
        <w:adjustRightInd w:val="0"/>
        <w:spacing w:after="0" w:line="240" w:lineRule="auto"/>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Categorii de public vizate: titulari și solicitanți ai autorizației de introducere pe piață și ai permisului pentru îngrășăminte, adjuvanți pentru îngrășăminte și substraturi de cultură.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Obiect: componența dosarelor de cerere de eliberare a autorizației de introducere pe piață, a permisului de experimentare și a permisului pentru introducerea îngrășămintelor, adjuvanților pentru îngrășăminte și a substraturilor de cultură, conținutul notificărilor și al declarațiilor referitoare la aceste produse.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Intrare în vigoare: textul intră în vigoare în ziua următoare publicării sale.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Notă: decretul stabilește, pentru fiecare tip de cerere, notificare și declarație referitoare la o autorizație sau un permis pentru un îngrășământ, un adjuvant pentru îngrășăminte sau un substrat de cultură, componența dosarului care urmează să fie prezentat Agenției Naționale pentru Siguranța Sanitară a Alimentelor, Mediului și Muncii.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Referințe: decretul este adoptat în temeiul articolelor R. 255-13 și R. 255-14 din Codul rural și al pescuitului maritim.</w:t>
      </w:r>
      <w:r>
        <w:rPr>
          <w:sz w:val="24"/>
          <w:szCs w:val="24"/>
          <w:rFonts w:ascii="Arial" w:hAnsi="Arial"/>
        </w:rPr>
        <w:t xml:space="preserve"> </w:t>
      </w:r>
      <w:r>
        <w:rPr>
          <w:sz w:val="24"/>
          <w:szCs w:val="24"/>
          <w:rFonts w:ascii="Arial" w:hAnsi="Arial"/>
        </w:rPr>
        <w:t xml:space="preserve">Decretul poate fi consultat pe site-ul Légifrance (https://www.legifrance.gouv.fr).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Ministrul agriculturii și alimentației,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având în vedere Regulamentul (CE) nr. 1907/2006 al Parlamentului European și al Consiliului din 18 decembrie 2006 privind înregistrarea, evaluarea, autorizarea și restricționarea substanțelor chimice (REACH), de înființare a Agenției Europene pentru Produse Chimice,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având în vedere Codul rural şi al pescuitului maritim, în special articolele R. 255-13 și R. 255-14,</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având în vedere Decretul nr. 478/80 din 16 iunie 1980 privind aplicarea articolului L. 412-1 din Codul consumului în ceea ce privește materialele fertilizante și substraturile de cultură,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având în vedere propunerea directorului general al Agenției Naționale pentru Siguranța Sanitară a Alimentelor, Mediului și Muncii din data de 2 august 2019,</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Hotărăște: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1</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Domeniul de aplicare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Dispozițiile prezentului decret se aplică îngrășămintelor, adjuvanților pentru îngrășăminte și substraturilor de cultură, denumite în continuare „produs” și sunt înțelese ca „produs sau grup de produse” în temeiul articolului R 255-1 din Codul rural și al pescuitului maritim.</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2</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Dispoziții comune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Orice cerere de obținere a unei autorizații de introducere pe piață, a unui permis de experimentare sau a unui permis de introducere pe piață a unui produs, orice solicitare de modificare, reînnoire sau retragere a acestor autorizații sau permise, precum și orice transmitere de informații, orice notificare sau declarație referitoare la aceste produse se depune la Agenția Națională pentru Siguranța Sanitară a Alimentelor, Mediului și Muncii (ANSES).</w:t>
      </w:r>
      <w:r>
        <w:rPr>
          <w:sz w:val="24"/>
          <w:szCs w:val="24"/>
          <w:rFonts w:ascii="Arial" w:hAnsi="Arial"/>
        </w:rPr>
        <w:t xml:space="preserve"> </w:t>
      </w:r>
      <w:r>
        <w:rPr>
          <w:sz w:val="24"/>
          <w:szCs w:val="24"/>
          <w:rFonts w:ascii="Arial" w:hAnsi="Arial"/>
        </w:rPr>
        <w:t xml:space="preserve">Aceasta se depune sub forma unui dosar redactat în limba franceză, cu excepția dispozițiilor specifice prevăzute la articolul 3.</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Acest dosar este alcătuit din:</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 o scrisoare referitoare la cerere, la transmiterea de informații, la notificare sau declarație;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 un formular completat în mod corespunzător în conformitate cu instrucțiunile corespunzătoare, datat și semnat.</w:t>
      </w:r>
      <w:r>
        <w:rPr>
          <w:sz w:val="24"/>
          <w:szCs w:val="24"/>
          <w:rFonts w:ascii="Arial" w:hAnsi="Arial"/>
        </w:rPr>
        <w:t xml:space="preserve"> </w:t>
      </w:r>
      <w:r>
        <w:rPr>
          <w:sz w:val="24"/>
          <w:szCs w:val="24"/>
          <w:rFonts w:ascii="Arial" w:hAnsi="Arial"/>
        </w:rPr>
        <w:t xml:space="preserve">Formularul și instrucțiunile aferente sunt disponibile pe site-ul ANSES.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3. după caz, elementele suplimentare necesare pentru instrucțiunile și evaluarea cererii sau înregistrarea notificării sau a declarației prevăzute la articolele 3-6 din prezentul decret.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Fiecare dosar este prezentat sub forma unei versiuni digitale transmise pe un mediu de stocare a datelor.</w:t>
      </w:r>
      <w:r>
        <w:rPr>
          <w:sz w:val="24"/>
          <w:szCs w:val="24"/>
          <w:rFonts w:ascii="Arial" w:hAnsi="Arial"/>
        </w:rPr>
        <w:t xml:space="preserve"> </w:t>
      </w:r>
      <w:r>
        <w:rPr>
          <w:sz w:val="24"/>
          <w:szCs w:val="24"/>
          <w:rFonts w:ascii="Arial" w:hAnsi="Arial"/>
        </w:rPr>
        <w:t xml:space="preserve">Poate include, de asemenea, o versiune în format pe hârtie, furnizată în două exemplare și însoțită de o atestare a identității documentelor în format pe hârtie și a documentelor în format electronic.</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Dosarul este prezentat conform instrucțiunilor care însoțesc formularul de depunere.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Produsele care fac obiectul cererii au caracteristicile prezentate în anexa la prezentul decret și în „Ghidul de evaluare a dosarelor de cerere de obținere a autorizației de introducere pe piață (AMM) sau a unui permis pentru îngrășăminte, adjuvanți pentru îngrășăminte și substraturi de cultură”, disponibil pe site-ul ANSES.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3</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Autorizația de introducere pe piață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 - Cererea de obținere a autorizației de introducere pe piață a unui produs, de reînnoire sau de modificare a unei autorizații de introducere pe piață a unui produs, cu excepția cererii menționate la punctele III și IV, include următoarele elemente suplimentare pentru evaluarea menționată la articolul L. 255-7 din Codul rural și al pescuitului maritim:</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date de trasabilitate pentru produs și fiecare dintre materiile prime, pentru unitățile de producție și unitățile de fabricație atunci când acestea sunt diferite;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compoziția integrală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rapoarte de analiză a caracteristicilor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informații referitoare la menținerea constantă a compoziției produsului în raport cu parametrii și valorile garantate, cum ar fi omogenitatea, lipsa variațiilor și stabilitatea acestuia, precum și rapoartele de analiză corespunzătoare;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informații referitoare la fabricarea produsului, în special descrierea materiilor prime și a auxiliarilor tehnologici utilizați, detalii cu privire la procesul de fabricație, procedurile de management al calității, controlul și autocontrolul, stabilirea loturilor și gestionarea neconformităților;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raportul de sinteză agronomică și rapoartele de încercare care stabilesc, în condițiile de utilizare prevăzute, eficacitatea produsului în raport cu efectele stabilite în mod specific.</w:t>
      </w:r>
      <w:r>
        <w:rPr>
          <w:sz w:val="24"/>
          <w:szCs w:val="24"/>
          <w:rFonts w:ascii="Arial" w:hAnsi="Arial"/>
        </w:rPr>
        <w:t xml:space="preserve"> </w:t>
      </w:r>
      <w:r>
        <w:rPr>
          <w:sz w:val="24"/>
          <w:szCs w:val="24"/>
          <w:rFonts w:ascii="Arial" w:hAnsi="Arial"/>
        </w:rPr>
        <w:t xml:space="preserve">În cazul unei cereri de reînnoire a autorizației de introducere pe piață, solicitantul trebuie să justifice eventuala netransmitere a acestor rapoarte de sinteză și de încercare;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raportul de sinteză și rapoartele de studiu care stabilesc, în condițiile de utilizare prevăzute, absența efectului nociv al produsului asupra sănătății umane, sănătății animalelor și mediului.</w:t>
      </w:r>
      <w:r>
        <w:rPr>
          <w:sz w:val="24"/>
          <w:szCs w:val="24"/>
          <w:rFonts w:ascii="Arial" w:hAnsi="Arial"/>
        </w:rPr>
        <w:t xml:space="preserve"> </w:t>
      </w:r>
      <w:r>
        <w:rPr>
          <w:sz w:val="24"/>
          <w:szCs w:val="24"/>
          <w:rFonts w:ascii="Arial" w:hAnsi="Arial"/>
        </w:rPr>
        <w:t xml:space="preserve">În cazul unei cereri de reînnoire a autorizației de introducere pe piață, solicitantul trebuie să justifice eventuala netransmitere a acestor rapoarte;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în cazul unei cereri de reînnoire a unei autorizații de introducere pe piață, rezultatele analizelor de monitorizare a producției, precum și datele suplimentare necesare din perioada ulterioară autorizării, după caz, în decizia inițială;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eticheta propusă sau fișa tehnică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fișa cu date de securitate a produsului și toate materiile prime prevăzute la articolul 31 din Regulamentul (CE) nr. 1907/2006 menționat anterior.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Rapoartele de sinteză, studiile și eseurile pot fi redactate în limba engleză.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Cererea de obținere a autorizației de introducere pe piață a unui produs prin recunoaștere reciprocă menționată la articolul R. 255-17 din Codul rural și al pescuitului maritim include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atestare a identității produsului care face obiectul cererii cu produsul introdus în mod legal pe piață în statul membru de referință;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compoziția integrală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copie a deciziei administrative, a standardului sau a textului normativ în temeiul căruia este autorizată introducerea pe piață în statul membru de referință, precum și traducerea sa în limba franceză sau în limba engleză;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modelul de etichetă pentru produsul introdus pe piață în statul membru de referință, precum și traducerea sa în limba franceză sau în limba engleză;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lista culturilor pe care urmează să se aplice produsul, precum și condițiile de utilizare a produsului.</w:t>
      </w:r>
      <w:r>
        <w:rPr>
          <w:sz w:val="24"/>
          <w:szCs w:val="24"/>
          <w:rFonts w:ascii="Arial" w:hAnsi="Arial"/>
        </w:rPr>
        <w:t xml:space="preserve"> </w:t>
      </w:r>
      <w:r>
        <w:rPr>
          <w:sz w:val="24"/>
          <w:szCs w:val="24"/>
          <w:rFonts w:ascii="Arial" w:hAnsi="Arial"/>
        </w:rPr>
        <w:t xml:space="preserve">Pentru fiecare cultură sau tip de sol, solicitantul trebuie să specifice în special modul de aplicare a produsului, dozele minime și maxime utilizate pentru fiecare aplicare și la hectar, numărul anual de aplicări, perioada și/sau stadiul de aplicare pe fiecare cultură.</w:t>
      </w:r>
      <w:r>
        <w:rPr>
          <w:sz w:val="24"/>
          <w:szCs w:val="24"/>
          <w:rFonts w:ascii="Arial" w:hAnsi="Arial"/>
        </w:rPr>
        <w:t xml:space="preserve"> </w:t>
      </w:r>
      <w:r>
        <w:rPr>
          <w:sz w:val="24"/>
          <w:szCs w:val="24"/>
          <w:rFonts w:ascii="Arial" w:hAnsi="Arial"/>
        </w:rPr>
        <w:t xml:space="preserve">Pot fi propuse măsuri de gestionare a riscurilor;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eticheta propusă sau fișa tehnică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fișa cu date de securitate a produsului și toate materiile prime prevăzute la articolul 31 din Regulamentul (CE) nr. 1907/2006 menționat anterior.</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Cererea de eliberare a autorizației de introducere pe piață a unui produs identic cu produsul deja autorizat include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date de trasabilitate a produsului la unitățile de producție și unitățile de fabricație atunci când acestea sunt diferite;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un certificat de identitate între produsul de referință și produsul solicitat;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eticheta propusă sau fișa tehnică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Cererea de modificare a unei autorizații de introducere pe piață a unui produs pentru a autoriza una sau mai multe utilizări sau modalități suplimentare include, pentru fiecare dintre acestea,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raportul de sinteză agronomică și rapoartele de încercare care stabilesc, în condițiile de utilizare prevăzute, eficacitatea produsului în raport cu efectele stabilite în mod specific.</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raportul de sinteză și rapoartele de studiu care stabilesc, în condițiile de utilizare prevăzute, absența efectului nociv al produsului asupra sănătății umane, sănătății animalelor și mediului;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eticheta propusă sau fișa tehnică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Rapoartele de sinteză, studiile și eseurile pot fi redactate în limba engleză.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4</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Autorizația de experimentare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 - Cererea de obținere a autorizației de experimentare a unui produs sau de reînnoire a acestei autorizații include următoarele elemente suplimentare în scopul efectuării evaluării menționate la articolul L. 255-8 din Codul rural și al pescuitului maritim:</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date de trasabilitate pentru produs și fiecare dintre materiile prime, pentru unitățile de producție și unitățile de fabricație atunci când acestea sunt diferite;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compoziția integrală a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rapoarte de analiză a caracteristicilor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fișa cu date de securitate a produsului și toate materiile prime prevăzute la articolul 31 din Regulamentul (CE) nr. 1907/2006.</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Notificarea modificării condițiilor de experimentare include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copie a autorizației de experimentare;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documentele justificative corespunzătoare.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5</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Autorizația de introducere pe piață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Cererea de obținere a autorizației de introducere pe piață a unui produs sau de reînnoire a acestei autorizații include următoarele elemente suplimentare în scopul efectuării evaluării menționate la articolul L. 255-7 din Codul rural și al pescuitului maritim:</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orice informație care să permită evaluarea identității produselor în conformitate cu articolul R. 255-20 din Codul rural și al pescuitului maritim;</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eticheta originală a produsului care urmează să fie introdus pe piață;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eticheta propusă sau fișa tehnică propusă, în limba franceză.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6</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Alte cereri sau declarații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 - Cererea de transfer al unei autorizații de introducere pe piață sau al unui permis menționat la articolul R. 255-5 din Codul rural și al pescuitului maritim include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exemplarul original al deciziei de eliberare a autorizației sau a permisului;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declarație de consimțământ privind transferul din partea titularului inițial al autorizației sau al permisului.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Cererea de adăugare a unei noi denumiri comerciale unui produs deja autorizat, menționat la articolul R. 255-5 din Codul rural și al pescuitului maritim sau declarația de schimbare a denumirii comerciale a unui produs menționat la articolul R. 255-9 din același cod include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copie a autorizației de introducere pe piață sau a permisului pentru produs.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un certificat de identitate între produsul de referință și produsul solicitat.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Declarația de schimbare a adresei titularului include următoarele elemente suplimentare: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copie a autorizației de introducere pe piață sau a permisului pentru produs.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un document justificativ pentru schimbarea adresei titularului.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Declarația de modificare sau de adăugare a denumirii comerciale a titularului unei autorizații de introducere pe piață a unui produs sau a unui permis menționat la articolul R. 255-9 din Codul rural și al pescuitului maritim include următoarele elemente complementare: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o copie a autorizației de introducere pe piață sau a permisului produsului.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un document justificativ pentru schimbarea denumirii sociale.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 - Declarația de modificare sau de adăugare a unei unități de fabricare sau de producere a unui produs menționat la articolul R. 255-9 din Codul rural și al pescuitului maritim include următoarele elemente complementare: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date de trasabilitate pentru produs și fiecare dintre materiile prime, pentru locurile de producție și locurile de fabricație atunci când acestea sunt diferite.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VI.</w:t>
      </w:r>
      <w:r>
        <w:rPr>
          <w:sz w:val="24"/>
          <w:szCs w:val="24"/>
          <w:rFonts w:ascii="Arial" w:hAnsi="Arial"/>
        </w:rPr>
        <w:t xml:space="preserve"> </w:t>
      </w:r>
      <w:r>
        <w:rPr>
          <w:sz w:val="24"/>
          <w:szCs w:val="24"/>
          <w:rFonts w:ascii="Arial" w:hAnsi="Arial"/>
        </w:rPr>
        <w:t xml:space="preserve">- Cererea de modificare a informațiilor declarate într-un dosar în curs de evaluare include următoarele elemente complementare: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pentru o cerere de transfer al unui produs: o declarație de consimțământ privind transferul din partea titularului inițial al autorizației sau al permisului;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pentru o cerere de modificare a adresei titularului: un document justificativ pentru schimbarea adresei titularului.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pentru o cerere de modificare a denumirii comerciale a titularului: un document justificativ pentru schimbarea denumirii comerciale a titularului.</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 pentru o cerere de modificare a denumirii comerciale a produsului: un certificat de identitate între produsul de referință și produsul solicitat.</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7</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Decretul din 21 decembrie 1998 privind omologarea îngrășămintelor și a substraturilor de cultură, astfel cum a fost modificat, se abrogă.</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Articolul 8</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Directorul general al alimentației este responsabil pentru punerea în aplicare a prezentului decret, care va fi publicat în Jurnalul Oficial al Republicii Franceze.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b/>
          <w:bCs/>
          <w:sz w:val="24"/>
          <w:szCs w:val="24"/>
          <w:rFonts w:ascii="Arial" w:hAnsi="Arial"/>
        </w:rPr>
        <w:t xml:space="preserve">Anexă</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ANEXĂ</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CONȚINUTUL DE MICROELEMENTE DE METAL ȘI DE URME DE COMPUȘI ORGANICI - CRITERII MICROBIOLOGICE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Criteriile prezentate mai jos sunt referințe pentru calitatea produselor.</w:t>
      </w:r>
      <w:r>
        <w:rPr>
          <w:sz w:val="24"/>
          <w:szCs w:val="24"/>
          <w:rFonts w:ascii="Arial" w:hAnsi="Arial"/>
        </w:rPr>
        <w:t xml:space="preserve"> </w:t>
      </w:r>
      <w:r>
        <w:rPr>
          <w:sz w:val="24"/>
          <w:szCs w:val="24"/>
          <w:rFonts w:ascii="Arial" w:hAnsi="Arial"/>
        </w:rPr>
        <w:t xml:space="preserve">În caz de depășire, solicitantul furnizează justificările necesare privind microelementele în exces.</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Aspectul cumulativ al aportului de microelemente de metal și urme de compuși organici al îngrășămintelor, adjuvanților lor și substraturilor de cultură este luat în considerare pentru verificarea absenței oricărui efect nociv asupra sănătății umane și animale și asupra mediului pe baza dozelor și frecvențelor de administrare prevăzute în condițiile de utilizare.</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Informațiile sunt furnizate în conformitate cu „Ghidul de evaluare a dosarelor de cerere de obținere a autorizației de introducere pe piață (AMM) sau a unui permis pentru îngrășăminte, adjuvanți pentru îngrășăminte și substraturi de cultură”, menționat la articolul 2.</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Microelemente de metal (ETM)</w:t>
      </w:r>
    </w:p>
    <w:tbl>
      <w:tblPr>
        <w:tblW w:w="0" w:type="auto"/>
        <w:tblInd w:w="8" w:type="dxa"/>
        <w:tblLayout w:type="fixed"/>
        <w:tblCellMar>
          <w:left w:w="0" w:type="dxa"/>
          <w:right w:w="0" w:type="dxa"/>
        </w:tblCellMar>
        <w:tblLook w:val="0000" w:firstRow="0" w:lastRow="0" w:firstColumn="0" w:lastColumn="0" w:noHBand="0" w:noVBand="0"/>
      </w:tblPr>
      <w:tblGrid>
        <w:gridCol w:w="3200"/>
        <w:gridCol w:w="3200"/>
        <w:gridCol w:w="3200"/>
        <w:gridCol w:w="30"/>
      </w:tblGrid>
      <w:tr w:rsidR="00D8408E" w:rsidRPr="00621B9B" w:rsidTr="00B553AE">
        <w:trPr>
          <w:gridAfter w:val="1"/>
          <w:wAfter w:w="2" w:type="dxa"/>
          <w:trHeight w:val="276"/>
        </w:trPr>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D8408E" w:rsidRPr="00621B9B" w:rsidRDefault="00D8408E" w:rsidP="00990A0D">
            <w:pPr>
              <w:keepNext/>
              <w:widowControl w:val="0"/>
              <w:autoSpaceDE w:val="0"/>
              <w:autoSpaceDN w:val="0"/>
              <w:adjustRightInd w:val="0"/>
              <w:spacing w:after="0" w:line="240" w:lineRule="auto"/>
              <w:jc w:val="center"/>
              <w:rPr>
                <w:rFonts w:ascii="Arial" w:hAnsi="Arial" w:cs="Arial"/>
                <w:sz w:val="24"/>
                <w:szCs w:val="24"/>
              </w:rPr>
            </w:pP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Conținutul maxim pentru îngrășăminte</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(în mg/kg de substanță uscată)</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Conținutul maxim pentru substraturile de cultură</w:t>
            </w:r>
          </w:p>
          <w:p w:rsidR="00621B9B" w:rsidRPr="00621B9B" w:rsidRDefault="00621B9B" w:rsidP="00990A0D">
            <w:pPr>
              <w:keepNext/>
              <w:widowControl w:val="0"/>
              <w:autoSpaceDE w:val="0"/>
              <w:autoSpaceDN w:val="0"/>
              <w:adjustRightInd w:val="0"/>
              <w:spacing w:after="0" w:line="240" w:lineRule="auto"/>
              <w:jc w:val="center"/>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(în mg/kg de substanță uscată)</w:t>
            </w: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AS</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40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40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Cd</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Cr VI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2</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2</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Cr total</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Cu</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300 (*)</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200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Hg</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50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50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Pb</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120</w:t>
            </w:r>
          </w:p>
        </w:tc>
        <w:tc>
          <w:tcPr>
            <w:tcW w:w="32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120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r w:rsidR="00D8408E" w:rsidRPr="00621B9B" w:rsidTr="00B553AE">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Zn</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800 (*)</w:t>
            </w:r>
          </w:p>
        </w:tc>
        <w:tc>
          <w:tcPr>
            <w:tcW w:w="32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500</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 Cu excepția cazurilor în care este necesar, în conformitate cu reglementarea aplicabilă.</w:t>
      </w:r>
    </w:p>
    <w:p w:rsidR="00621B9B" w:rsidRDefault="00621B9B">
      <w:pPr>
        <w:widowControl w:val="0"/>
        <w:autoSpaceDE w:val="0"/>
        <w:autoSpaceDN w:val="0"/>
        <w:adjustRightInd w:val="0"/>
        <w:spacing w:after="0" w:line="240" w:lineRule="auto"/>
        <w:rPr>
          <w:rFonts w:ascii="Arial" w:hAnsi="Arial" w:cs="Arial"/>
          <w:sz w:val="24"/>
          <w:szCs w:val="24"/>
        </w:rPr>
      </w:pPr>
    </w:p>
    <w:p w:rsidR="00B553AE" w:rsidRPr="00621B9B" w:rsidRDefault="00B553AE">
      <w:pPr>
        <w:widowControl w:val="0"/>
        <w:autoSpaceDE w:val="0"/>
        <w:autoSpaceDN w:val="0"/>
        <w:adjustRightInd w:val="0"/>
        <w:spacing w:after="0" w:line="240" w:lineRule="auto"/>
        <w:rPr>
          <w:rFonts w:ascii="Arial" w:hAnsi="Arial" w:cs="Arial"/>
          <w:sz w:val="24"/>
          <w:szCs w:val="24"/>
        </w:rPr>
      </w:pPr>
    </w:p>
    <w:p w:rsidR="00D8408E" w:rsidRPr="00621B9B" w:rsidRDefault="00621B9B" w:rsidP="00990A0D">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Urme de compuși organici</w:t>
      </w:r>
    </w:p>
    <w:tbl>
      <w:tblPr>
        <w:tblW w:w="0" w:type="auto"/>
        <w:tblInd w:w="8" w:type="dxa"/>
        <w:tblLayout w:type="fixed"/>
        <w:tblCellMar>
          <w:left w:w="0" w:type="dxa"/>
          <w:right w:w="0" w:type="dxa"/>
        </w:tblCellMar>
        <w:tblLook w:val="0000" w:firstRow="0" w:lastRow="0" w:firstColumn="0" w:lastColumn="0" w:noHBand="0" w:noVBand="0"/>
      </w:tblPr>
      <w:tblGrid>
        <w:gridCol w:w="4800"/>
        <w:gridCol w:w="4800"/>
        <w:gridCol w:w="30"/>
      </w:tblGrid>
      <w:tr w:rsidR="00D8408E" w:rsidRPr="00621B9B">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Totalul a 16 hidrocarburi aromatice policiclice (HAP):</w:t>
            </w:r>
          </w:p>
          <w:p w:rsidR="00621B9B" w:rsidRPr="00621B9B" w:rsidRDefault="00621B9B">
            <w:pPr>
              <w:widowControl w:val="0"/>
              <w:autoSpaceDE w:val="0"/>
              <w:autoSpaceDN w:val="0"/>
              <w:adjustRightInd w:val="0"/>
              <w:spacing w:after="0" w:line="240" w:lineRule="auto"/>
              <w:jc w:val="both"/>
              <w:rPr>
                <w:rFonts w:ascii="Arial" w:hAnsi="Arial" w:cs="Arial"/>
                <w:sz w:val="24"/>
                <w:szCs w:val="24"/>
              </w:rPr>
            </w:pPr>
          </w:p>
          <w:p w:rsidR="00D8408E"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Naftalen, acenaftilen, acenaften, fluoren, fenantren, antracen, fluoranten, piren, benzo[a]antracen, crisen, benzo[b]fluoranten, benzo[k]fluoranten, benzo[a]piren, indeno[1,2,3-cd]piren, dibenzo[a,h]antracen și benzo[ghi]perilen.</w:t>
            </w:r>
          </w:p>
        </w:tc>
        <w:tc>
          <w:tcPr>
            <w:tcW w:w="48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Conținut maxim:</w:t>
            </w:r>
          </w:p>
          <w:p w:rsidR="00621B9B" w:rsidRPr="00621B9B" w:rsidRDefault="00621B9B">
            <w:pPr>
              <w:widowControl w:val="0"/>
              <w:autoSpaceDE w:val="0"/>
              <w:autoSpaceDN w:val="0"/>
              <w:adjustRightInd w:val="0"/>
              <w:spacing w:after="0" w:line="240" w:lineRule="auto"/>
              <w:jc w:val="center"/>
              <w:rPr>
                <w:rFonts w:ascii="Arial" w:hAnsi="Arial" w:cs="Arial"/>
                <w:sz w:val="24"/>
                <w:szCs w:val="24"/>
              </w:rPr>
            </w:pPr>
          </w:p>
          <w:p w:rsidR="00D8408E" w:rsidRPr="00621B9B" w:rsidRDefault="00DD2A33">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6 mg/kg de substanță uscată</w:t>
            </w:r>
          </w:p>
        </w:tc>
        <w:tc>
          <w:tcPr>
            <w:tcW w:w="2" w:type="dxa"/>
            <w:tcBorders>
              <w:top w:val="nil"/>
              <w:left w:val="nil"/>
              <w:bottom w:val="nil"/>
              <w:right w:val="nil"/>
            </w:tcBorders>
          </w:tcPr>
          <w:p w:rsidR="00D8408E" w:rsidRPr="00621B9B" w:rsidRDefault="00D8408E">
            <w:pPr>
              <w:widowControl w:val="0"/>
              <w:autoSpaceDE w:val="0"/>
              <w:autoSpaceDN w:val="0"/>
              <w:adjustRightInd w:val="0"/>
              <w:spacing w:after="0" w:line="240" w:lineRule="auto"/>
              <w:rPr>
                <w:rFonts w:ascii="Arial" w:hAnsi="Arial" w:cs="Arial"/>
                <w:sz w:val="24"/>
                <w:szCs w:val="24"/>
              </w:rPr>
            </w:pP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C34831" w:rsidRDefault="00C34831" w:rsidP="00C34831">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Criterii microbiologice</w:t>
      </w:r>
      <w:r>
        <w:rPr>
          <w:sz w:val="24"/>
          <w:szCs w:val="24"/>
          <w:rFonts w:ascii="Arial" w:hAnsi="Arial"/>
        </w:rPr>
        <w:t xml:space="preserve"> </w:t>
      </w:r>
    </w:p>
    <w:tbl>
      <w:tblPr>
        <w:tblW w:w="9640" w:type="dxa"/>
        <w:tblInd w:w="8" w:type="dxa"/>
        <w:tblLayout w:type="fixed"/>
        <w:tblCellMar>
          <w:left w:w="0" w:type="dxa"/>
          <w:right w:w="0" w:type="dxa"/>
        </w:tblCellMar>
        <w:tblLook w:val="0000" w:firstRow="0" w:lastRow="0" w:firstColumn="0" w:lastColumn="0" w:noHBand="0" w:noVBand="0"/>
      </w:tblPr>
      <w:tblGrid>
        <w:gridCol w:w="1600"/>
        <w:gridCol w:w="1264"/>
        <w:gridCol w:w="1440"/>
        <w:gridCol w:w="1350"/>
        <w:gridCol w:w="1440"/>
        <w:gridCol w:w="1260"/>
        <w:gridCol w:w="1286"/>
      </w:tblGrid>
      <w:tr w:rsidR="00C34831" w:rsidTr="00C34831">
        <w:tc>
          <w:tcPr>
            <w:tcW w:w="1600" w:type="dxa"/>
            <w:vMerge w:val="restart"/>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Culturi</w:t>
            </w:r>
          </w:p>
        </w:tc>
      </w:tr>
      <w:tr w:rsidR="00C34831" w:rsidTr="00C5171F">
        <w:tc>
          <w:tcPr>
            <w:tcW w:w="1600" w:type="dxa"/>
            <w:vMerge/>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264"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Culturi mari</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Arboricultură Viticultură</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Fructe de pădure</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Gazon</w:t>
            </w:r>
          </w:p>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Pajiști</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Silvicultură Pepinieră de arbori ornamentali</w:t>
            </w:r>
          </w:p>
        </w:tc>
        <w:tc>
          <w:tcPr>
            <w:tcW w:w="126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Culturi de flori</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Legume proaspete</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Microorganisme patogene pentru om sau animale:</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Enterococi</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Escherichia coli</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1 000/g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&lt;100/g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Clostridium perfringens (spori și forme vegetative)</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100/g*</w:t>
            </w: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10/g*</w:t>
            </w:r>
          </w:p>
        </w:tc>
        <w:tc>
          <w:tcPr>
            <w:tcW w:w="2700"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jc w:val="center"/>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100/g*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Salmonella</w:t>
            </w:r>
          </w:p>
        </w:tc>
        <w:tc>
          <w:tcPr>
            <w:tcW w:w="6754" w:type="dxa"/>
            <w:gridSpan w:val="5"/>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Absență în 1 g</w:t>
            </w:r>
          </w:p>
        </w:tc>
        <w:tc>
          <w:tcPr>
            <w:tcW w:w="1286"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Absență în 25 g</w:t>
            </w:r>
          </w:p>
        </w:tc>
      </w:tr>
      <w:tr w:rsidR="00C34831" w:rsidTr="00C34831">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Staphylococcus aureus sau</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sau coagulază +</w:t>
            </w:r>
          </w:p>
        </w:tc>
        <w:tc>
          <w:tcPr>
            <w:tcW w:w="8040" w:type="dxa"/>
            <w:gridSpan w:val="6"/>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&lt; 10/g</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Listeria monocytogenes</w:t>
            </w:r>
          </w:p>
        </w:tc>
        <w:tc>
          <w:tcPr>
            <w:tcW w:w="2704"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135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Absență în 25 g (pajiște)</w:t>
            </w:r>
          </w:p>
        </w:tc>
        <w:tc>
          <w:tcPr>
            <w:tcW w:w="144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Absență în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Macroorganisme patogene pentru om sau animale:</w:t>
            </w:r>
          </w:p>
        </w:tc>
      </w:tr>
      <w:tr w:rsidR="00C34831" w:rsidTr="00C5171F">
        <w:tc>
          <w:tcPr>
            <w:tcW w:w="1600" w:type="dxa"/>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Nematode (ouă și larve)</w:t>
            </w:r>
          </w:p>
        </w:tc>
        <w:tc>
          <w:tcPr>
            <w:tcW w:w="5494" w:type="dxa"/>
            <w:gridSpan w:val="4"/>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Absență în 1 g**</w:t>
            </w:r>
          </w:p>
        </w:tc>
        <w:tc>
          <w:tcPr>
            <w:tcW w:w="2546" w:type="dxa"/>
            <w:gridSpan w:val="2"/>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Absență în 25 g**</w:t>
            </w:r>
          </w:p>
        </w:tc>
      </w:tr>
      <w:tr w:rsidR="00C34831" w:rsidTr="00C34831">
        <w:tc>
          <w:tcPr>
            <w:tcW w:w="9640" w:type="dxa"/>
            <w:gridSpan w:val="7"/>
            <w:tcBorders>
              <w:top w:val="single" w:sz="6" w:space="0" w:color="auto"/>
              <w:left w:val="single" w:sz="6" w:space="0" w:color="auto"/>
              <w:bottom w:val="single" w:sz="6" w:space="0" w:color="auto"/>
              <w:right w:val="single" w:sz="8" w:space="0" w:color="auto"/>
            </w:tcBorders>
            <w:tcMar>
              <w:top w:w="2" w:type="dxa"/>
              <w:left w:w="2" w:type="dxa"/>
              <w:bottom w:w="2" w:type="dxa"/>
              <w:right w:w="2" w:type="dxa"/>
            </w:tcMar>
          </w:tcPr>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Metodele de analiză recomandate sunt specificate în ghidul publicat de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 Analizele suplimentare recomandate în funcție de natura produselor și a culturilor declarate sunt specificate în ghidul publicat de ANSES.</w:t>
            </w:r>
          </w:p>
          <w:p w:rsidR="00C34831" w:rsidRDefault="00C34831" w:rsidP="005B0076">
            <w:pPr>
              <w:widowControl w:val="0"/>
              <w:autoSpaceDE w:val="0"/>
              <w:autoSpaceDN w:val="0"/>
              <w:adjustRightInd w:val="0"/>
              <w:spacing w:after="0" w:line="240" w:lineRule="auto"/>
              <w:rPr>
                <w:rFonts w:ascii="Arial" w:hAnsi="Arial" w:cs="Arial"/>
                <w:sz w:val="24"/>
                <w:szCs w:val="24"/>
              </w:rPr>
            </w:pPr>
          </w:p>
          <w:p w:rsidR="00C34831" w:rsidRDefault="00C34831" w:rsidP="005B0076">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 Dacă se constată prezența larvelor, analizele suplimentare recomandate în funcție de culturile declarate sunt specificate în ghidul publicat de ANSES.</w:t>
            </w:r>
          </w:p>
        </w:tc>
      </w:tr>
    </w:tbl>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D8408E" w:rsidRPr="00621B9B" w:rsidRDefault="00DD2A33" w:rsidP="00990A0D">
      <w:pPr>
        <w:keepNext/>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Rezistența la antibiotice</w:t>
      </w:r>
    </w:p>
    <w:p w:rsidR="00621B9B" w:rsidRPr="00621B9B" w:rsidRDefault="00621B9B" w:rsidP="00990A0D">
      <w:pPr>
        <w:keepNext/>
        <w:widowControl w:val="0"/>
        <w:autoSpaceDE w:val="0"/>
        <w:autoSpaceDN w:val="0"/>
        <w:adjustRightInd w:val="0"/>
        <w:spacing w:after="0" w:line="240" w:lineRule="auto"/>
        <w:jc w:val="both"/>
        <w:rPr>
          <w:rFonts w:ascii="Arial" w:hAnsi="Arial" w:cs="Arial"/>
          <w:sz w:val="24"/>
          <w:szCs w:val="24"/>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Pentru produsele care conțin sau în care a (au) fost încorporat(e) un(anumite) microorganism(e) (bacterii) pentru care se declară un efect de fertilizare, se efectuează o antibiogramă în conformitate cu ghidul EFSA (1) și cu clasele de antibiotice definite de OMS (2).</w:t>
      </w:r>
    </w:p>
    <w:p w:rsidR="00621B9B" w:rsidRPr="00621B9B" w:rsidRDefault="00621B9B" w:rsidP="00990A0D">
      <w:pPr>
        <w:widowControl w:val="0"/>
        <w:autoSpaceDE w:val="0"/>
        <w:autoSpaceDN w:val="0"/>
        <w:adjustRightInd w:val="0"/>
        <w:spacing w:after="0" w:line="240" w:lineRule="auto"/>
        <w:jc w:val="both"/>
        <w:rPr>
          <w:rFonts w:ascii="Arial" w:hAnsi="Arial" w:cs="Arial"/>
          <w:sz w:val="24"/>
          <w:szCs w:val="24"/>
        </w:rPr>
      </w:pPr>
    </w:p>
    <w:p w:rsidR="00621B9B" w:rsidRPr="006B2B92"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(1) Guidance on microorganisms used as feed additives or as production organisms, Table 2 (EFSA).</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B2B92"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(2) WHO List of Essential Medicines (OMS).</w:t>
      </w: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B2B92" w:rsidRDefault="00621B9B" w:rsidP="00990A0D">
      <w:pPr>
        <w:widowControl w:val="0"/>
        <w:autoSpaceDE w:val="0"/>
        <w:autoSpaceDN w:val="0"/>
        <w:adjustRightInd w:val="0"/>
        <w:spacing w:after="0" w:line="240" w:lineRule="auto"/>
        <w:jc w:val="both"/>
        <w:rPr>
          <w:rFonts w:ascii="Arial" w:hAnsi="Arial" w:cs="Arial"/>
          <w:sz w:val="24"/>
          <w:szCs w:val="24"/>
          <w:lang w:val="en-US"/>
        </w:rPr>
      </w:pPr>
    </w:p>
    <w:p w:rsidR="00621B9B" w:rsidRPr="00621B9B" w:rsidRDefault="00DD2A33" w:rsidP="00990A0D">
      <w:pPr>
        <w:widowControl w:val="0"/>
        <w:autoSpaceDE w:val="0"/>
        <w:autoSpaceDN w:val="0"/>
        <w:adjustRightInd w:val="0"/>
        <w:spacing w:after="0" w:line="240" w:lineRule="auto"/>
        <w:jc w:val="both"/>
        <w:rPr>
          <w:sz w:val="24"/>
          <w:szCs w:val="24"/>
          <w:rFonts w:ascii="Arial" w:hAnsi="Arial" w:cs="Arial"/>
        </w:rPr>
      </w:pPr>
      <w:r>
        <w:rPr>
          <w:sz w:val="24"/>
          <w:szCs w:val="24"/>
          <w:rFonts w:ascii="Arial" w:hAnsi="Arial"/>
        </w:rPr>
        <w:t xml:space="preserve">Adoptat la 1 aprilie 2020.</w:t>
      </w:r>
    </w:p>
    <w:p w:rsidR="00621B9B" w:rsidRPr="00621B9B" w:rsidRDefault="00621B9B">
      <w:pPr>
        <w:widowControl w:val="0"/>
        <w:autoSpaceDE w:val="0"/>
        <w:autoSpaceDN w:val="0"/>
        <w:adjustRightInd w:val="0"/>
        <w:spacing w:after="0" w:line="240" w:lineRule="auto"/>
        <w:rPr>
          <w:rFonts w:ascii="Arial" w:hAnsi="Arial" w:cs="Arial"/>
          <w:sz w:val="24"/>
          <w:szCs w:val="24"/>
        </w:rPr>
      </w:pPr>
    </w:p>
    <w:p w:rsidR="00621B9B" w:rsidRPr="00621B9B" w:rsidRDefault="00DD2A33" w:rsidP="00990A0D">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Pentru ministru și prin delegare:</w:t>
      </w:r>
    </w:p>
    <w:p w:rsidR="00621B9B"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Directorul general adjunct pentru alimentație,</w:t>
      </w:r>
    </w:p>
    <w:p w:rsidR="00621B9B" w:rsidRPr="00621B9B" w:rsidRDefault="00DD2A33">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L. Evain</w:t>
      </w:r>
    </w:p>
    <w:sectPr w:rsidR="00621B9B" w:rsidRPr="00621B9B">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AB6" w:rsidRDefault="000C1AB6" w:rsidP="00716768">
      <w:pPr>
        <w:spacing w:after="0" w:line="240" w:lineRule="auto"/>
      </w:pPr>
      <w:r>
        <w:separator/>
      </w:r>
    </w:p>
  </w:endnote>
  <w:endnote w:type="continuationSeparator" w:id="0">
    <w:p w:rsidR="000C1AB6" w:rsidRDefault="000C1AB6" w:rsidP="00716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AB6" w:rsidRDefault="000C1AB6" w:rsidP="00716768">
      <w:pPr>
        <w:spacing w:after="0" w:line="240" w:lineRule="auto"/>
      </w:pPr>
      <w:r>
        <w:separator/>
      </w:r>
    </w:p>
  </w:footnote>
  <w:footnote w:type="continuationSeparator" w:id="0">
    <w:p w:rsidR="000C1AB6" w:rsidRDefault="000C1AB6" w:rsidP="007167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03F9B"/>
    <w:multiLevelType w:val="singleLevel"/>
    <w:tmpl w:val="53A5200D"/>
    <w:lvl w:ilvl="0">
      <w:start w:val="1"/>
      <w:numFmt w:val="bullet"/>
      <w:lvlText w:val="·"/>
      <w:lvlJc w:val="left"/>
      <w:rPr>
        <w:rFonts w:ascii="Times New Roman" w:hAnsi="Times New Roman" w:cs="Times New Roman"/>
      </w:rPr>
    </w:lvl>
  </w:abstractNum>
  <w:abstractNum w:abstractNumId="1" w15:restartNumberingAfterBreak="0">
    <w:nsid w:val="53C61E88"/>
    <w:multiLevelType w:val="singleLevel"/>
    <w:tmpl w:val="0EC5D46D"/>
    <w:lvl w:ilvl="0">
      <w:start w:val="1"/>
      <w:numFmt w:val="bullet"/>
      <w:lvlText w:val="·"/>
      <w:lvlJc w:val="left"/>
      <w:rPr>
        <w:rFonts w:ascii="Times New Roman" w:hAnsi="Times New Roman" w:cs="Times New Roman"/>
      </w:rPr>
    </w:lvl>
  </w:abstractNum>
  <w:num w:numId="1">
    <w:abstractNumId w:val="1"/>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C28"/>
    <w:rsid w:val="000C1AB6"/>
    <w:rsid w:val="00510235"/>
    <w:rsid w:val="00621B9B"/>
    <w:rsid w:val="006B2B92"/>
    <w:rsid w:val="00716768"/>
    <w:rsid w:val="00755C28"/>
    <w:rsid w:val="00915AB1"/>
    <w:rsid w:val="00990A0D"/>
    <w:rsid w:val="00A619BA"/>
    <w:rsid w:val="00B553AE"/>
    <w:rsid w:val="00C34831"/>
    <w:rsid w:val="00C5171F"/>
    <w:rsid w:val="00D8408E"/>
    <w:rsid w:val="00DD2A3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15:docId w15:val="{97528802-E004-4F22-8A01-B9E922B2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768"/>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6768"/>
  </w:style>
  <w:style w:type="paragraph" w:styleId="Footer">
    <w:name w:val="footer"/>
    <w:basedOn w:val="Normal"/>
    <w:link w:val="FooterChar"/>
    <w:uiPriority w:val="99"/>
    <w:unhideWhenUsed/>
    <w:rsid w:val="00716768"/>
    <w:pPr>
      <w:tabs>
        <w:tab w:val="center" w:pos="4703"/>
        <w:tab w:val="right" w:pos="9406"/>
      </w:tabs>
      <w:spacing w:after="0" w:line="240" w:lineRule="auto"/>
    </w:pPr>
  </w:style>
  <w:style w:type="character" w:customStyle="1" w:styleId="FooterChar">
    <w:name w:val="Footer Char"/>
    <w:basedOn w:val="DefaultParagraphFont"/>
    <w:link w:val="Footer"/>
    <w:uiPriority w:val="99"/>
    <w:rsid w:val="00716768"/>
  </w:style>
  <w:style w:type="paragraph" w:styleId="PlainText">
    <w:name w:val="Plain Text"/>
    <w:basedOn w:val="Normal"/>
    <w:link w:val="PlainTextChar"/>
    <w:uiPriority w:val="99"/>
    <w:unhideWhenUsed/>
    <w:rsid w:val="006B2B92"/>
    <w:pPr>
      <w:spacing w:after="0" w:line="240" w:lineRule="auto"/>
    </w:pPr>
    <w:rPr>
      <w:rFonts w:ascii="Consolas" w:eastAsia="Times New Roman" w:hAnsi="Consolas" w:cs="Times New Roman"/>
      <w:sz w:val="21"/>
      <w:szCs w:val="21"/>
      <w:lang w:val="ro-RO" w:eastAsia="en-US"/>
    </w:rPr>
  </w:style>
  <w:style w:type="character" w:customStyle="1" w:styleId="PlainTextChar">
    <w:name w:val="Plain Text Char"/>
    <w:basedOn w:val="DefaultParagraphFont"/>
    <w:link w:val="PlainText"/>
    <w:uiPriority w:val="99"/>
    <w:rsid w:val="006B2B92"/>
    <w:rPr>
      <w:rFonts w:ascii="Consolas" w:eastAsia="Times New Roman" w:hAnsi="Consolas" w:cs="Times New Roman"/>
      <w:sz w:val="21"/>
      <w:szCs w:val="21"/>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2638</Words>
  <Characters>15038</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ZAGHINI, Francesco</cp:lastModifiedBy>
  <cp:revision>7</cp:revision>
  <dcterms:created xsi:type="dcterms:W3CDTF">2020-04-10T08:50:00Z</dcterms:created>
  <dcterms:modified xsi:type="dcterms:W3CDTF">2020-09-03T15:22:00Z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Apr 10 10:49:34 CEST 2020</vt:lpwstr>
  </property>
  <property fmtid="{D5CDD505-2E9C-101B-9397-08002B2CF9AE}" pid="3" name="jforVersion">
    <vt:lpwstr>jfor V0.7.2rc1 - see http://www.jfor.org</vt:lpwstr>
  </property>
</Properties>
</file>