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D0F" w:rsidRPr="00B00403" w:rsidRDefault="00943D0F" w:rsidP="00943D0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 xml:space="preserve">1. ------IND- 2017 0284 S-- HR- ------ 20190508 --- --- FINAL </w:t>
      </w:r>
    </w:p>
    <w:p w:rsidR="00943D0F" w:rsidRDefault="00943D0F" w:rsidP="00015EA3">
      <w:pPr>
        <w:spacing w:after="120" w:line="259" w:lineRule="auto"/>
        <w:ind w:left="0" w:firstLine="0"/>
        <w:jc w:val="left"/>
        <w:rPr>
          <w:b/>
          <w:sz w:val="36"/>
        </w:rPr>
      </w:pPr>
    </w:p>
    <w:p w:rsidR="00DB4B0C" w:rsidRDefault="00643102" w:rsidP="00015EA3">
      <w:pPr>
        <w:spacing w:after="120" w:line="259" w:lineRule="auto"/>
        <w:ind w:left="0" w:firstLine="0"/>
        <w:jc w:val="left"/>
        <w:rPr>
          <w:b/>
          <w:sz w:val="36"/>
        </w:rPr>
      </w:pPr>
      <w:r>
        <w:rPr>
          <w:noProof/>
          <w:lang w:val="en-US" w:eastAsia="zh-CN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-212725</wp:posOffset>
            </wp:positionV>
            <wp:extent cx="431800" cy="768985"/>
            <wp:effectExtent l="0" t="0" r="6350" b="0"/>
            <wp:wrapNone/>
            <wp:docPr id="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76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Švedski zbornik propisa</w:t>
      </w:r>
    </w:p>
    <w:p w:rsidR="00015EA3" w:rsidRDefault="00643102" w:rsidP="00015EA3">
      <w:pPr>
        <w:pBdr>
          <w:bottom w:val="single" w:sz="4" w:space="1" w:color="auto"/>
        </w:pBdr>
        <w:spacing w:after="120" w:line="259" w:lineRule="auto"/>
        <w:ind w:left="0" w:firstLine="0"/>
        <w:jc w:val="left"/>
        <w:rPr>
          <w:b/>
          <w:sz w:val="36"/>
        </w:rPr>
      </w:pPr>
      <w:r>
        <w:rPr>
          <w:b/>
          <w:noProof/>
          <w:sz w:val="26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337820</wp:posOffset>
                </wp:positionV>
                <wp:extent cx="1264920" cy="828040"/>
                <wp:effectExtent l="0" t="0" r="3175" b="4445"/>
                <wp:wrapNone/>
                <wp:docPr id="3" name="Textru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B0C" w:rsidRDefault="00DB4B0C" w:rsidP="00DB4B0C">
                            <w:pPr>
                              <w:spacing w:after="160" w:line="259" w:lineRule="auto"/>
                              <w:ind w:left="0" w:firstLine="0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SFS 2018:55</w:t>
                            </w:r>
                          </w:p>
                          <w:p w:rsidR="00DB4B0C" w:rsidRPr="00D30131" w:rsidRDefault="00DB4B0C" w:rsidP="00DB4B0C">
                            <w:pPr>
                              <w:spacing w:after="160" w:line="259" w:lineRule="auto"/>
                              <w:ind w:lef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t>Objavljeno</w:t>
                            </w:r>
                            <w:r>
                              <w:br/>
                              <w:t>13. veljače 2018.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xmlns:o="urn:schemas-microsoft-com:office:office" xmlns:v="urn:schemas-microsoft-com:vml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xmlns:v="urn:schemas-microsoft-com:vml" id="Textruta 15" o:spid="_x0000_s1026" type="#_x0000_t202" style="position:absolute;margin-left:294.95pt;margin-top:26.6pt;width:99.6pt;height:6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" stroked="f" strokeweight=".5pt">
                <v:textbox inset="0,0,0,0">
                  <w:txbxContent>
                    <w:p w:rsidR="00DB4B0C" w:rsidRDefault="00DB4B0C" w:rsidP="00DB4B0C">
                      <w:pPr>
                        <w:spacing w:after="160" w:line="259" w:lineRule="auto"/>
                        <w:ind w:left="0" w:firstLine="0"/>
                        <w:jc w:val="lef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SFS 2018:55</w:t>
                      </w:r>
                    </w:p>
                    <w:p w:rsidR="00DB4B0C" w:rsidRPr="00D30131" w:rsidRDefault="00DB4B0C" w:rsidP="00DB4B0C">
                      <w:pPr>
                        <w:spacing w:after="160" w:line="259" w:lineRule="auto"/>
                        <w:ind w:lef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t xml:space="preserve">Objavljeno</w:t>
                        <w:br/>
                        <w:t xml:space="preserve">13. veljače 2018.</w:t>
                      </w:r>
                    </w:p>
                  </w:txbxContent>
                </v:textbox>
              </v:shape>
            </w:pict>
          </mc:Fallback>
        </mc:AlternateContent>
      </w:r>
    </w:p>
    <w:p w:rsidR="00551E3F" w:rsidRDefault="00DB4B0C" w:rsidP="00DA5828">
      <w:pPr>
        <w:spacing w:before="240" w:after="240" w:line="216" w:lineRule="auto"/>
        <w:ind w:left="0" w:firstLine="0"/>
        <w:jc w:val="left"/>
      </w:pPr>
      <w:r>
        <w:rPr>
          <w:b/>
          <w:sz w:val="26"/>
        </w:rPr>
        <w:t>Pravilnik o izmjeni Pravilnika o kemijskim proizvodima (zabrane u pogledu rukovanja, uvoza i izvoza) (1998:944);</w:t>
      </w:r>
    </w:p>
    <w:p w:rsidR="00551E3F" w:rsidRDefault="00CC49D7" w:rsidP="00DA5828">
      <w:pPr>
        <w:spacing w:after="221"/>
        <w:ind w:left="0" w:firstLine="0"/>
      </w:pPr>
      <w:r>
        <w:t>izdano 1. veljače 2018.</w:t>
      </w:r>
    </w:p>
    <w:p w:rsidR="00551E3F" w:rsidRDefault="00CC49D7" w:rsidP="00015EA3">
      <w:pPr>
        <w:spacing w:after="240"/>
        <w:ind w:left="0" w:firstLine="193"/>
      </w:pPr>
      <w:r>
        <w:t xml:space="preserve">Uzimajući u obzir Pravilnik o kemijskim proizvodima (zabrane u pogledu rukovanja, uvoza i izvoza) (1998:944), Vlada utvrđuje </w:t>
      </w:r>
      <w:r>
        <w:rPr>
          <w:vertAlign w:val="superscript"/>
        </w:rPr>
        <w:footnoteReference w:id="1"/>
      </w:r>
      <w:r>
        <w:t>, kao prvo, da članci 1. i 5. glase kako je navedeno u nastavku i, kao drugo, da se četiri nova članka navedena u nastavku – članci 1.a i 4. (uključujući prethodni podnaslov), članci 4.–4.b – umeću u Pravilnik.</w:t>
      </w:r>
    </w:p>
    <w:p w:rsidR="00551E3F" w:rsidRDefault="00CC49D7" w:rsidP="00DA5828">
      <w:pPr>
        <w:keepNext/>
        <w:keepLines/>
        <w:ind w:left="0" w:firstLine="0"/>
      </w:pPr>
      <w:r>
        <w:rPr>
          <w:b/>
        </w:rPr>
        <w:t>Članak 1.</w:t>
      </w:r>
      <w:r>
        <w:rPr>
          <w:vertAlign w:val="superscript"/>
        </w:rPr>
        <w:footnoteReference w:id="2"/>
      </w:r>
      <w:r>
        <w:t xml:space="preserve"> Ovaj Pravilnik sadrži posebne odredbe koje se odnose na zabranu ili druga ograničenja u pogledu upravljanja </w:t>
      </w:r>
    </w:p>
    <w:p w:rsidR="00551E3F" w:rsidRDefault="00CC49D7" w:rsidP="00015EA3">
      <w:pPr>
        <w:numPr>
          <w:ilvl w:val="0"/>
          <w:numId w:val="1"/>
        </w:numPr>
        <w:tabs>
          <w:tab w:val="left" w:pos="567"/>
        </w:tabs>
        <w:ind w:left="0" w:firstLine="192"/>
      </w:pPr>
      <w:r>
        <w:t>dvokomponentnim epoksijem koji sadrži bisfenol A ili bisfenol A diglicidil eter;</w:t>
      </w:r>
    </w:p>
    <w:p w:rsidR="00551E3F" w:rsidRDefault="00CC49D7" w:rsidP="00015EA3">
      <w:pPr>
        <w:numPr>
          <w:ilvl w:val="0"/>
          <w:numId w:val="1"/>
        </w:numPr>
        <w:tabs>
          <w:tab w:val="left" w:pos="567"/>
        </w:tabs>
        <w:ind w:left="0" w:firstLine="192"/>
      </w:pPr>
      <w:r>
        <w:t>kadmijem;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mikroplastikom u kozmetičkim proizvodima;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kloriranim otapalima;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živom;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kadmijem i živom u baterijama;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teškim metalima u ambalaži;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streljivom koje sadrži olovo;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deterdžentima koji sadrže fosfate; i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određenim drugim kemijskim proizvodima i robom koji su opasni za zdravlje ili okoliš.</w:t>
      </w:r>
    </w:p>
    <w:p w:rsidR="00551E3F" w:rsidRDefault="00CC49D7" w:rsidP="00015EA3">
      <w:pPr>
        <w:spacing w:after="249"/>
        <w:ind w:left="0" w:firstLine="192"/>
      </w:pPr>
      <w:r>
        <w:t>Pravilnik se ne primjenjuje na kemijske proizvode i biotehničke organizme koji su uređeni Zakonom o hrani (2006:804), Zakonom o hrani za životinje i životinjskim nusproizvodima (2006:805) ili Zakonom o lijekovima (2015:315).</w:t>
      </w:r>
    </w:p>
    <w:p w:rsidR="00551E3F" w:rsidRDefault="00CC49D7" w:rsidP="00DA5828">
      <w:pPr>
        <w:keepNext/>
        <w:keepLines/>
        <w:pBdr>
          <w:left w:val="single" w:sz="4" w:space="4" w:color="auto"/>
        </w:pBdr>
        <w:ind w:left="0" w:firstLine="0"/>
      </w:pPr>
      <w:r>
        <w:rPr>
          <w:b/>
        </w:rPr>
        <w:t>Članak 1.a</w:t>
      </w:r>
      <w:r>
        <w:t xml:space="preserve"> Ovaj Pravilnik izdaje se na temelju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>poglavlja 14. članka 8. Zakonika o zaštiti okoliša u pogledu članaka 2.–3., 5.–11., 11.c–14. i 14.b–20.a,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 xml:space="preserve">poglavlja 15. članka 40. Zakonika o zaštiti okoliša u pogledu članka 4.a, 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lastRenderedPageBreak/>
        <w:t>poglavlja 8. članka 11. Upravnog instrumenta u pogledu članka 21., i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>poglavlja 8. članka 7. Upravnog instrumenta u pogledu drugih odredbi.</w:t>
      </w:r>
    </w:p>
    <w:p w:rsidR="00551E3F" w:rsidRDefault="00CC49D7" w:rsidP="00DA5828">
      <w:pPr>
        <w:pStyle w:val="Heading1"/>
        <w:pBdr>
          <w:left w:val="single" w:sz="4" w:space="4" w:color="auto"/>
        </w:pBdr>
        <w:ind w:left="0"/>
      </w:pPr>
      <w:r>
        <w:t>Mikroplastika u kozmetičkim proizvodima</w:t>
      </w:r>
    </w:p>
    <w:p w:rsidR="00551E3F" w:rsidRDefault="00CC49D7" w:rsidP="00DA5828">
      <w:pPr>
        <w:pBdr>
          <w:left w:val="single" w:sz="4" w:space="4" w:color="auto"/>
        </w:pBdr>
        <w:ind w:left="0" w:firstLine="0"/>
      </w:pPr>
      <w:r>
        <w:rPr>
          <w:b/>
        </w:rPr>
        <w:t>Članak 4.</w:t>
      </w:r>
      <w:r>
        <w:rPr>
          <w:vertAlign w:val="superscript"/>
        </w:rPr>
        <w:footnoteReference w:id="3"/>
      </w:r>
      <w:r>
        <w:t xml:space="preserve"> U ovom članku te u člancima 4.a i 4.b pojam </w:t>
      </w:r>
      <w:r>
        <w:rPr>
          <w:i/>
        </w:rPr>
        <w:t>kozmetički proizvod</w:t>
      </w:r>
      <w:r>
        <w:t xml:space="preserve"> znači: kozmetički proizvod u smislu Uredbe (EZ) br. 1223/2009 Europskog parlamenta i Vijeća o kozmetičkim proizvodima, </w:t>
      </w:r>
    </w:p>
    <w:p w:rsidR="008062AA" w:rsidRDefault="00CC49D7" w:rsidP="008062AA">
      <w:pPr>
        <w:pBdr>
          <w:left w:val="single" w:sz="4" w:space="4" w:color="auto"/>
        </w:pBdr>
        <w:spacing w:after="0"/>
        <w:ind w:left="0" w:firstLine="193"/>
      </w:pPr>
      <w:r>
        <w:rPr>
          <w:i/>
        </w:rPr>
        <w:t xml:space="preserve">plastika: </w:t>
      </w:r>
      <w:r>
        <w:t>polimer u smislu članka 3. stavka 5. Uredbe (EZ) br. 1907/2006 Europskog parlamenta i Vijeća od 18. prosinca 2006. o registraciji, evaluaciji, autorizaciji i ograničavanju kemikalija (REACH) i osnivanju Europske agencije za kemikalije te o izmjeni Direktive 1999/45/EZ i stavljanju izvan snage Uredbe Vijeća (EEZ) br. 793/93 i Uredbe Komisije (EZ) br. 1488/94 kao i Direktive Vijeća 76/769/EEZ i direktiva Komisije 91/155/EEZ, 93/67/EEZ, 93/105/EZ i 2000/21/EZ, kojemu su možda dodani aditivi ili druge tvari, mikroplastika: krute čestice plastike koje su manje od 5 mm i koje su netopive u vodi,</w:t>
      </w:r>
    </w:p>
    <w:p w:rsidR="008062AA" w:rsidRDefault="00CC49D7" w:rsidP="008062AA">
      <w:pPr>
        <w:pBdr>
          <w:left w:val="single" w:sz="4" w:space="4" w:color="auto"/>
        </w:pBdr>
        <w:spacing w:after="0"/>
        <w:ind w:left="0" w:firstLine="193"/>
      </w:pPr>
      <w:r>
        <w:t>polimer koji je prirodno prisutan: polimer koji je prirodno prisutan u okolišu i čija se kemijska struktura ne mijenja ako ga se podvrgne kemijskom postupku ili obradi ili fizikalnoj mineraloškoj transformaciji,</w:t>
      </w:r>
    </w:p>
    <w:p w:rsidR="00551E3F" w:rsidRDefault="00CC49D7" w:rsidP="007058F2">
      <w:pPr>
        <w:pBdr>
          <w:left w:val="single" w:sz="4" w:space="4" w:color="auto"/>
        </w:pBdr>
        <w:spacing w:after="232"/>
        <w:ind w:left="0" w:firstLine="192"/>
      </w:pPr>
      <w:r>
        <w:t>stavljanje na raspolaganje na tržištu: svaki put kad se proizvod stavi na raspolaganje za distribuciju, potrošnju ili uporabu na švedskom tržištu u okviru trgovačke djelatnosti uz plaćanje ili bez plaćanja.</w:t>
      </w:r>
    </w:p>
    <w:p w:rsidR="00551E3F" w:rsidRDefault="00CC49D7" w:rsidP="00DA5828">
      <w:pPr>
        <w:pBdr>
          <w:left w:val="single" w:sz="4" w:space="4" w:color="auto"/>
        </w:pBdr>
        <w:ind w:left="0" w:firstLine="0"/>
      </w:pPr>
      <w:r>
        <w:rPr>
          <w:b/>
        </w:rPr>
        <w:t>Članak 4.a</w:t>
      </w:r>
      <w:r>
        <w:rPr>
          <w:vertAlign w:val="superscript"/>
        </w:rPr>
        <w:footnoteReference w:id="4"/>
      </w:r>
      <w:r>
        <w:t xml:space="preserve"> Zabranjeno je staviti na raspolaganje na tržištu kozmetički proizvod koji treba isprati ili ispljunuti nakon uporabe na glavi, kosi, sluznici ili zubima, a koji sadrži mikroplastiku koja je dodana radi čišćenja, eksfolijacije ili poliranja.</w:t>
      </w:r>
    </w:p>
    <w:p w:rsidR="00551E3F" w:rsidRDefault="00CC49D7" w:rsidP="007058F2">
      <w:pPr>
        <w:pBdr>
          <w:left w:val="single" w:sz="4" w:space="4" w:color="auto"/>
        </w:pBdr>
        <w:spacing w:after="232"/>
        <w:ind w:left="0" w:firstLine="192"/>
      </w:pPr>
      <w:r>
        <w:t xml:space="preserve">Zabrana se ne primjenjuje na kozmetičke proizvode koji sadrže mikroplastiku koja se sastoji samo od polimera koji su prirodno prisutni. </w:t>
      </w:r>
    </w:p>
    <w:p w:rsidR="00551E3F" w:rsidRDefault="00CC49D7" w:rsidP="00DA5828">
      <w:pPr>
        <w:keepNext/>
        <w:keepLines/>
        <w:pBdr>
          <w:left w:val="single" w:sz="4" w:space="4" w:color="auto"/>
        </w:pBdr>
        <w:ind w:left="0" w:firstLine="0"/>
      </w:pPr>
      <w:r>
        <w:rPr>
          <w:b/>
        </w:rPr>
        <w:t>Članak 4.b</w:t>
      </w:r>
      <w:r>
        <w:rPr>
          <w:vertAlign w:val="superscript"/>
        </w:rPr>
        <w:footnoteReference w:id="5"/>
      </w:r>
      <w:r>
        <w:t xml:space="preserve"> Švedska agencija za kemikalije može priopćiti propise o izuzećima ili, u pojedinim slučajevima, odobriti izuzeće od zabrane iz članka 4.a za kozmetičke proizvode koji sadrže mikroplastiku koja </w:t>
      </w:r>
    </w:p>
    <w:p w:rsidR="00551E3F" w:rsidRDefault="00CC49D7" w:rsidP="007058F2">
      <w:pPr>
        <w:numPr>
          <w:ilvl w:val="0"/>
          <w:numId w:val="3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proizvedena je tako da su kao sirovina upotrijebljeni polimeri koji su prirodno prisutni; i </w:t>
      </w:r>
    </w:p>
    <w:p w:rsidR="00551E3F" w:rsidRDefault="00CC49D7" w:rsidP="007058F2">
      <w:pPr>
        <w:numPr>
          <w:ilvl w:val="0"/>
          <w:numId w:val="3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brzo se razgrađuje na monomere u vodenom okolišu i ne predstavlja opasnost za vodene organizme. </w:t>
      </w:r>
    </w:p>
    <w:p w:rsidR="00551E3F" w:rsidRDefault="00CC49D7" w:rsidP="007058F2">
      <w:pPr>
        <w:pBdr>
          <w:left w:val="single" w:sz="4" w:space="4" w:color="auto"/>
        </w:pBdr>
        <w:spacing w:after="231"/>
        <w:ind w:left="0" w:firstLine="192"/>
      </w:pPr>
      <w:r>
        <w:t>Kozmetički proizvodi koji se zakonito prodaju u skladu sa zakonodavstvom u drugim državama članicama Europske unije ili Turskoj ili se zakonito proizvode u državi potpisnici Sporazuma o europskome gospodarskom prostoru, izuzimaju se pod uvjetom da navedeni zakonodavni okvir pruža jednaku razinu zaštite.</w:t>
      </w:r>
    </w:p>
    <w:p w:rsidR="00551E3F" w:rsidRDefault="00CC49D7" w:rsidP="00DA5828">
      <w:pPr>
        <w:ind w:left="0" w:firstLine="0"/>
      </w:pPr>
      <w:r>
        <w:rPr>
          <w:b/>
        </w:rPr>
        <w:t>Članak 5.</w:t>
      </w:r>
      <w:r>
        <w:rPr>
          <w:rStyle w:val="FootnoteReference"/>
          <w:b/>
        </w:rPr>
        <w:footnoteReference w:id="6"/>
      </w:r>
      <w:r>
        <w:t xml:space="preserve"> Kemijski proizvodi koji se u cijelosti ili djelomično sastoje od metilen klorida ili tetrakloretilena ne smiju se stavljati na tržište ili prenositi potrošačima za pojedinačnu upotrebu.</w:t>
      </w:r>
    </w:p>
    <w:p w:rsidR="00551E3F" w:rsidRDefault="00CC49D7" w:rsidP="00E812AA">
      <w:pPr>
        <w:spacing w:after="0"/>
        <w:ind w:left="0" w:firstLine="193"/>
      </w:pPr>
      <w:r>
        <w:t>Švedska agencija za kemikalije može izdati propise u pogledu toga da se proizvodi koji sadrže metilen klorid ili tetrakloretilen ne smiju stavljati na tržište ili prenositi potrošačima za pojedinačnu upotrebu.</w:t>
      </w:r>
    </w:p>
    <w:p w:rsidR="00551E3F" w:rsidRDefault="00CC49D7" w:rsidP="007058F2">
      <w:pPr>
        <w:pBdr>
          <w:left w:val="single" w:sz="4" w:space="4" w:color="auto"/>
        </w:pBdr>
        <w:spacing w:after="241"/>
        <w:ind w:left="0" w:firstLine="192"/>
      </w:pPr>
      <w:r>
        <w:t>Zabrana u pogledu metilen klorida primjenjuje se samo ako jednakovrijedna zabrana već ne proizlazi iz točke 59.1. Priloga XVII. Uredbi (EZ) br. 1907/2006.</w:t>
      </w:r>
    </w:p>
    <w:p w:rsidR="007058F2" w:rsidRDefault="007058F2" w:rsidP="007058F2">
      <w:pPr>
        <w:tabs>
          <w:tab w:val="left" w:leader="underscore" w:pos="1276"/>
        </w:tabs>
        <w:spacing w:after="120"/>
        <w:ind w:left="0" w:firstLine="142"/>
      </w:pPr>
      <w:r>
        <w:tab/>
      </w:r>
    </w:p>
    <w:p w:rsidR="00551E3F" w:rsidRDefault="00CC49D7" w:rsidP="00E812AA">
      <w:pPr>
        <w:numPr>
          <w:ilvl w:val="0"/>
          <w:numId w:val="4"/>
        </w:numPr>
        <w:tabs>
          <w:tab w:val="left" w:pos="567"/>
        </w:tabs>
        <w:ind w:left="0" w:firstLine="192"/>
      </w:pPr>
      <w:r>
        <w:t>Ovaj Pravilnik stupa na snagu 1. srpnja 2018.</w:t>
      </w:r>
    </w:p>
    <w:p w:rsidR="00551E3F" w:rsidRDefault="00CC49D7" w:rsidP="00E812AA">
      <w:pPr>
        <w:numPr>
          <w:ilvl w:val="0"/>
          <w:numId w:val="4"/>
        </w:numPr>
        <w:tabs>
          <w:tab w:val="left" w:pos="567"/>
        </w:tabs>
        <w:spacing w:after="224"/>
        <w:ind w:left="0" w:firstLine="192"/>
      </w:pPr>
      <w:r>
        <w:t xml:space="preserve">Usprkos zabrani iz članka 4.a, postojeće zalihe kozmetičkih proizvoda koji su zakonito stavljeni na raspolaganje na tržištu prije 1. srpnja 2018. i dalje će biti na raspolaganju na tržištu do kraja prosinca 2018. </w:t>
      </w:r>
    </w:p>
    <w:p w:rsidR="00551E3F" w:rsidRDefault="00CC49D7" w:rsidP="00DA5828">
      <w:pPr>
        <w:spacing w:after="225"/>
        <w:ind w:left="0" w:firstLine="0"/>
      </w:pPr>
      <w:r>
        <w:t>U ime Vlade</w:t>
      </w:r>
    </w:p>
    <w:p w:rsidR="00551E3F" w:rsidRDefault="00CC49D7" w:rsidP="00DA5828">
      <w:pPr>
        <w:ind w:left="0" w:firstLine="0"/>
      </w:pPr>
      <w:r>
        <w:t>KAROLINA SKOG</w:t>
      </w:r>
    </w:p>
    <w:p w:rsidR="00551E3F" w:rsidRDefault="00CC49D7" w:rsidP="00825642">
      <w:pPr>
        <w:keepNext/>
        <w:keepLines/>
        <w:spacing w:after="0" w:line="265" w:lineRule="auto"/>
        <w:ind w:left="2835" w:firstLine="0"/>
        <w:jc w:val="left"/>
      </w:pPr>
      <w:r>
        <w:t>Egon Abresparr</w:t>
      </w:r>
    </w:p>
    <w:p w:rsidR="00551E3F" w:rsidRDefault="00CC49D7" w:rsidP="00825642">
      <w:pPr>
        <w:spacing w:after="0" w:line="264" w:lineRule="auto"/>
        <w:ind w:left="2835" w:firstLine="0"/>
        <w:jc w:val="left"/>
      </w:pPr>
      <w:r>
        <w:t>(Ministarstvo zaštite okoliša i energije)</w:t>
      </w:r>
    </w:p>
    <w:p w:rsidR="00225AF6" w:rsidRDefault="00225AF6" w:rsidP="00225AF6">
      <w:pPr>
        <w:spacing w:before="10920" w:after="0" w:line="259" w:lineRule="auto"/>
        <w:ind w:left="0" w:firstLine="0"/>
        <w:jc w:val="right"/>
        <w:rPr>
          <w:sz w:val="11"/>
        </w:rPr>
      </w:pPr>
    </w:p>
    <w:p w:rsidR="007058F2" w:rsidRDefault="00CC49D7" w:rsidP="00225AF6">
      <w:pPr>
        <w:spacing w:before="10920" w:after="0" w:line="259" w:lineRule="auto"/>
        <w:ind w:left="0" w:firstLine="0"/>
        <w:jc w:val="right"/>
        <w:rPr>
          <w:sz w:val="11"/>
        </w:rPr>
      </w:pPr>
      <w:bookmarkStart w:id="0" w:name="_GoBack"/>
      <w:bookmarkEnd w:id="0"/>
      <w:r>
        <w:rPr>
          <w:sz w:val="11"/>
        </w:rPr>
        <w:t>Norstedts Juridik AB</w:t>
      </w:r>
    </w:p>
    <w:p w:rsidR="00551E3F" w:rsidRPr="007058F2" w:rsidRDefault="00CC49D7" w:rsidP="007058F2">
      <w:pPr>
        <w:spacing w:after="0" w:line="259" w:lineRule="auto"/>
        <w:ind w:left="0" w:firstLine="0"/>
        <w:jc w:val="right"/>
        <w:rPr>
          <w:sz w:val="11"/>
        </w:rPr>
      </w:pPr>
      <w:r>
        <w:rPr>
          <w:sz w:val="11"/>
        </w:rPr>
        <w:t>Elanders Sverige AB, 2018.</w:t>
      </w:r>
    </w:p>
    <w:sectPr w:rsidR="00551E3F" w:rsidRPr="007058F2" w:rsidSect="00E812AA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9354" w:h="13720"/>
      <w:pgMar w:top="680" w:right="2353" w:bottom="1361" w:left="1134" w:header="720" w:footer="720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02C" w:rsidRDefault="001A302C">
      <w:pPr>
        <w:spacing w:after="0" w:line="240" w:lineRule="auto"/>
      </w:pPr>
      <w:r>
        <w:separator/>
      </w:r>
    </w:p>
  </w:endnote>
  <w:endnote w:type="continuationSeparator" w:id="0">
    <w:p w:rsidR="001A302C" w:rsidRDefault="001A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F2" w:rsidRDefault="007058F2" w:rsidP="007058F2">
    <w:pPr>
      <w:pStyle w:val="Footer"/>
      <w:tabs>
        <w:tab w:val="clear" w:pos="4320"/>
      </w:tabs>
      <w:ind w:left="-1276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225AF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F2" w:rsidRDefault="007058F2" w:rsidP="007058F2">
    <w:pPr>
      <w:pStyle w:val="Footer"/>
      <w:tabs>
        <w:tab w:val="clear" w:pos="4320"/>
      </w:tabs>
      <w:ind w:left="0" w:right="-122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5AF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F2" w:rsidRDefault="007058F2" w:rsidP="007058F2">
    <w:pPr>
      <w:pStyle w:val="Footer"/>
      <w:tabs>
        <w:tab w:val="clear" w:pos="4320"/>
      </w:tabs>
      <w:ind w:left="0" w:right="-122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302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02C" w:rsidRDefault="001A302C" w:rsidP="00E812AA">
      <w:pPr>
        <w:spacing w:after="0" w:line="230" w:lineRule="auto"/>
        <w:ind w:left="0" w:right="1837" w:firstLine="0"/>
      </w:pPr>
      <w:r>
        <w:separator/>
      </w:r>
    </w:p>
  </w:footnote>
  <w:footnote w:type="continuationSeparator" w:id="0">
    <w:p w:rsidR="001A302C" w:rsidRDefault="001A302C">
      <w:pPr>
        <w:spacing w:after="0" w:line="230" w:lineRule="auto"/>
        <w:ind w:left="412" w:right="1837" w:firstLine="0"/>
      </w:pPr>
      <w:r>
        <w:continuationSeparator/>
      </w:r>
    </w:p>
  </w:footnote>
  <w:footnote w:id="1">
    <w:p w:rsidR="00551E3F" w:rsidRPr="00E812AA" w:rsidRDefault="00CC49D7" w:rsidP="00E812AA">
      <w:pPr>
        <w:pStyle w:val="footnotedescription"/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Vidjeti Direktivu (EU) 2015/1535 Europskog parlamenta i Vijeća od 9. rujna 2015. o utvrđivanju postupka pružanja informacija u području tehničkih propisa i pravila o uslugama informacijskog društva.</w:t>
      </w:r>
    </w:p>
  </w:footnote>
  <w:footnote w:id="2">
    <w:p w:rsidR="00551E3F" w:rsidRPr="00E812AA" w:rsidRDefault="00CC49D7" w:rsidP="00E812AA">
      <w:pPr>
        <w:pStyle w:val="footnotedescription"/>
        <w:tabs>
          <w:tab w:val="center" w:pos="1348"/>
          <w:tab w:val="right" w:pos="8146"/>
        </w:tabs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Zadnja formulacija 2016:829.</w:t>
      </w:r>
    </w:p>
  </w:footnote>
  <w:footnote w:id="3">
    <w:p w:rsidR="00551E3F" w:rsidRPr="00E812AA" w:rsidRDefault="00CC49D7" w:rsidP="00E812AA">
      <w:pPr>
        <w:pStyle w:val="footnotedescription"/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Prethodni članak 4. ukinut je pomoću dokumenta 2009:954.</w:t>
      </w:r>
    </w:p>
  </w:footnote>
  <w:footnote w:id="4">
    <w:p w:rsidR="00551E3F" w:rsidRPr="00E812AA" w:rsidRDefault="00CC49D7" w:rsidP="00E812AA">
      <w:pPr>
        <w:pStyle w:val="footnotedescription"/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Prethodna inačica članka 4.a, ukinuta pomoću dokumenta 2008:255.</w:t>
      </w:r>
    </w:p>
  </w:footnote>
  <w:footnote w:id="5">
    <w:p w:rsidR="00551E3F" w:rsidRPr="00E812AA" w:rsidRDefault="00CC49D7" w:rsidP="00825642">
      <w:pPr>
        <w:pStyle w:val="footnotedescription"/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Prethodna inačica članka 4.b, ukinuta pomoću dokumenta 2008:255.</w:t>
      </w:r>
    </w:p>
  </w:footnote>
  <w:footnote w:id="6">
    <w:p w:rsidR="00E812AA" w:rsidRPr="00E812AA" w:rsidRDefault="00E812AA" w:rsidP="00825642">
      <w:pPr>
        <w:pStyle w:val="footnotedescription"/>
        <w:spacing w:line="240" w:lineRule="auto"/>
        <w:ind w:left="0"/>
        <w:jc w:val="both"/>
        <w:rPr>
          <w:rFonts w:eastAsia="宋体"/>
          <w:szCs w:val="17"/>
        </w:rPr>
      </w:pPr>
      <w:r>
        <w:rPr>
          <w:vertAlign w:val="superscript"/>
        </w:rPr>
        <w:footnoteRef/>
      </w:r>
      <w:r>
        <w:t xml:space="preserve"> Zadnja formulacija 2016:144.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2AA" w:rsidRDefault="00643102" w:rsidP="00E812AA">
    <w:pPr>
      <w:pStyle w:val="Header"/>
      <w:ind w:left="0" w:firstLine="0"/>
    </w:pPr>
    <w:r>
      <w:rPr>
        <w:noProof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-1273810</wp:posOffset>
              </wp:positionH>
              <wp:positionV relativeFrom="paragraph">
                <wp:posOffset>104775</wp:posOffset>
              </wp:positionV>
              <wp:extent cx="1143000" cy="457200"/>
              <wp:effectExtent l="127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2AA" w:rsidRPr="00E812AA" w:rsidRDefault="00E812AA" w:rsidP="00E812AA">
                          <w:pPr>
                            <w:ind w:left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SFS 2018:55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xmlns:o="urn:schemas-microsoft-com:office:office" xmlns:v="urn:schemas-microsoft-com:vml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Text Box 2" o:spid="_x0000_s1027" type="#_x0000_t202" style="position:absolute;left:0;text-align:left;margin-left:-100.3pt;margin-top:8.25pt;width: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" stroked="f">
              <v:textbox>
                <w:txbxContent>
                  <w:p w:rsidR="00E812AA" w:rsidRPr="00E812AA" w:rsidRDefault="00E812AA" w:rsidP="00E812AA">
                    <w:pPr>
                      <w:ind w:left="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SFS 2018:55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2AA" w:rsidRPr="00E812AA" w:rsidRDefault="00643102" w:rsidP="00E812AA">
    <w:pPr>
      <w:pStyle w:val="Header"/>
      <w:ind w:left="-1701" w:firstLine="0"/>
      <w:rPr>
        <w:b/>
      </w:rPr>
    </w:pPr>
    <w:r>
      <w:rPr>
        <w:b/>
        <w:noProof/>
        <w:lang w:val="en-US" w:eastAsia="zh-CN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3977005</wp:posOffset>
              </wp:positionH>
              <wp:positionV relativeFrom="paragraph">
                <wp:posOffset>114300</wp:posOffset>
              </wp:positionV>
              <wp:extent cx="1143000" cy="45720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2AA" w:rsidRPr="00E812AA" w:rsidRDefault="00E812AA">
                          <w:pPr>
                            <w:ind w:left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SFS 2018:55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xmlns:o="urn:schemas-microsoft-com:office:office" xmlns:v="urn:schemas-microsoft-com:vml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Text Box 1" o:spid="_x0000_s1028" type="#_x0000_t202" style="position:absolute;left:0;text-align:left;margin-left:313.15pt;margin-top:9pt;width:9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" stroked="f">
              <v:textbox>
                <w:txbxContent>
                  <w:p w:rsidR="00E812AA" w:rsidRPr="00E812AA" w:rsidRDefault="00E812AA">
                    <w:pPr>
                      <w:ind w:left="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SFS 2018:55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338C0"/>
    <w:multiLevelType w:val="hybridMultilevel"/>
    <w:tmpl w:val="B5A2AEDA"/>
    <w:lvl w:ilvl="0" w:tplc="88E671A2">
      <w:start w:val="1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6E0632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D7A40B8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94EE1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CADB1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4FEE712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A8E30C6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8C012C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661DFE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5A280A"/>
    <w:multiLevelType w:val="hybridMultilevel"/>
    <w:tmpl w:val="97A4D7A8"/>
    <w:lvl w:ilvl="0" w:tplc="DEBEB0CE">
      <w:start w:val="1"/>
      <w:numFmt w:val="decimal"/>
      <w:lvlText w:val="%1."/>
      <w:lvlJc w:val="left"/>
      <w:pPr>
        <w:ind w:left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6AEBAC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F4072B4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7328C18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11A8B98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8F27A06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D34AC36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AB04680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54686E0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DA0C50"/>
    <w:multiLevelType w:val="hybridMultilevel"/>
    <w:tmpl w:val="26107D60"/>
    <w:lvl w:ilvl="0" w:tplc="48B6FFAE">
      <w:start w:val="1"/>
      <w:numFmt w:val="bullet"/>
      <w:lvlText w:val="–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40E3F8C">
      <w:start w:val="1"/>
      <w:numFmt w:val="bullet"/>
      <w:lvlText w:val="o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87E1362">
      <w:start w:val="1"/>
      <w:numFmt w:val="bullet"/>
      <w:lvlText w:val="▪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D4C1CC">
      <w:start w:val="1"/>
      <w:numFmt w:val="bullet"/>
      <w:lvlText w:val="•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59AC512">
      <w:start w:val="1"/>
      <w:numFmt w:val="bullet"/>
      <w:lvlText w:val="o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CE9388">
      <w:start w:val="1"/>
      <w:numFmt w:val="bullet"/>
      <w:lvlText w:val="▪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369006">
      <w:start w:val="1"/>
      <w:numFmt w:val="bullet"/>
      <w:lvlText w:val="•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34DA78">
      <w:start w:val="1"/>
      <w:numFmt w:val="bullet"/>
      <w:lvlText w:val="o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F89080">
      <w:start w:val="1"/>
      <w:numFmt w:val="bullet"/>
      <w:lvlText w:val="▪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B568C1"/>
    <w:multiLevelType w:val="hybridMultilevel"/>
    <w:tmpl w:val="183E5B58"/>
    <w:lvl w:ilvl="0" w:tplc="A8D8D61A">
      <w:start w:val="1"/>
      <w:numFmt w:val="decimal"/>
      <w:lvlText w:val="%1.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E6A0EA8">
      <w:start w:val="1"/>
      <w:numFmt w:val="lowerLetter"/>
      <w:lvlText w:val="%2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110D80A">
      <w:start w:val="1"/>
      <w:numFmt w:val="lowerRoman"/>
      <w:lvlText w:val="%3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AC4E194">
      <w:start w:val="1"/>
      <w:numFmt w:val="decimal"/>
      <w:lvlText w:val="%4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4BAC7B0">
      <w:start w:val="1"/>
      <w:numFmt w:val="lowerLetter"/>
      <w:lvlText w:val="%5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DF05078">
      <w:start w:val="1"/>
      <w:numFmt w:val="lowerRoman"/>
      <w:lvlText w:val="%6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916C030">
      <w:start w:val="1"/>
      <w:numFmt w:val="decimal"/>
      <w:lvlText w:val="%7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7126992">
      <w:start w:val="1"/>
      <w:numFmt w:val="lowerLetter"/>
      <w:lvlText w:val="%8"/>
      <w:lvlJc w:val="left"/>
      <w:pPr>
        <w:ind w:left="7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4FC789A">
      <w:start w:val="1"/>
      <w:numFmt w:val="lowerRoman"/>
      <w:lvlText w:val="%9"/>
      <w:lvlJc w:val="left"/>
      <w:pPr>
        <w:ind w:left="8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1304"/>
  <w:hyphenationZone w:val="425"/>
  <w:doNotHyphenateCaps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3F"/>
    <w:rsid w:val="00015EA3"/>
    <w:rsid w:val="001716B1"/>
    <w:rsid w:val="001A302C"/>
    <w:rsid w:val="00215ED8"/>
    <w:rsid w:val="00225AF6"/>
    <w:rsid w:val="004707E8"/>
    <w:rsid w:val="004B717A"/>
    <w:rsid w:val="00551E3F"/>
    <w:rsid w:val="00643102"/>
    <w:rsid w:val="00651E3A"/>
    <w:rsid w:val="007058F2"/>
    <w:rsid w:val="007154F6"/>
    <w:rsid w:val="00793620"/>
    <w:rsid w:val="007D7823"/>
    <w:rsid w:val="008062AA"/>
    <w:rsid w:val="00825642"/>
    <w:rsid w:val="008802E6"/>
    <w:rsid w:val="008B7F39"/>
    <w:rsid w:val="00943D0F"/>
    <w:rsid w:val="00952D25"/>
    <w:rsid w:val="00A065E3"/>
    <w:rsid w:val="00CC49D7"/>
    <w:rsid w:val="00DA5828"/>
    <w:rsid w:val="00DB4B0C"/>
    <w:rsid w:val="00E8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117386-FD52-40CE-9834-BBBB910A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2" w:lineRule="auto"/>
      <w:ind w:left="422" w:hanging="10"/>
      <w:jc w:val="both"/>
    </w:pPr>
    <w:rPr>
      <w:rFonts w:ascii="Times New Roman" w:hAnsi="Times New Roman"/>
      <w:color w:val="000000"/>
      <w:sz w:val="19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9" w:line="259" w:lineRule="auto"/>
      <w:ind w:left="11"/>
      <w:outlineLvl w:val="0"/>
    </w:pPr>
    <w:rPr>
      <w:rFonts w:ascii="Times New Roman" w:hAnsi="Times New Roman"/>
      <w:b/>
      <w:color w:val="000000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1"/>
    </w:rPr>
  </w:style>
  <w:style w:type="paragraph" w:customStyle="1" w:styleId="footnotedescription">
    <w:name w:val="footnote description"/>
    <w:next w:val="Normal"/>
    <w:link w:val="footnotedescriptionChar"/>
    <w:hidden/>
    <w:pPr>
      <w:spacing w:line="259" w:lineRule="auto"/>
      <w:ind w:left="1111"/>
    </w:pPr>
    <w:rPr>
      <w:rFonts w:ascii="Times New Roman" w:hAnsi="Times New Roman"/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customStyle="1" w:styleId="RKbas">
    <w:name w:val="RKbas"/>
    <w:link w:val="RKbasChar"/>
    <w:uiPriority w:val="11"/>
    <w:semiHidden/>
    <w:rsid w:val="00DB4B0C"/>
    <w:rPr>
      <w:rFonts w:ascii="Times New Roman" w:eastAsia="宋体" w:hAnsi="Times New Roman"/>
      <w:szCs w:val="22"/>
    </w:rPr>
  </w:style>
  <w:style w:type="character" w:customStyle="1" w:styleId="RKbasChar">
    <w:name w:val="RKbas Char"/>
    <w:link w:val="RKbas"/>
    <w:uiPriority w:val="11"/>
    <w:semiHidden/>
    <w:rsid w:val="00DB4B0C"/>
    <w:rPr>
      <w:rFonts w:ascii="Times New Roman" w:eastAsia="宋体" w:hAnsi="Times New Roman"/>
      <w:szCs w:val="22"/>
      <w:lang w:val="hr-HR"/>
    </w:rPr>
  </w:style>
  <w:style w:type="paragraph" w:styleId="BodyText">
    <w:name w:val="Body Text"/>
    <w:basedOn w:val="RKbas"/>
    <w:next w:val="BodyTextIndent"/>
    <w:link w:val="BodyTextChar"/>
    <w:qFormat/>
    <w:rsid w:val="00DB4B0C"/>
    <w:pPr>
      <w:tabs>
        <w:tab w:val="left" w:pos="227"/>
        <w:tab w:val="left" w:pos="397"/>
        <w:tab w:val="left" w:pos="3062"/>
      </w:tabs>
      <w:spacing w:line="232" w:lineRule="exact"/>
      <w:jc w:val="both"/>
    </w:pPr>
    <w:rPr>
      <w:sz w:val="19"/>
    </w:rPr>
  </w:style>
  <w:style w:type="character" w:customStyle="1" w:styleId="BodyTextChar">
    <w:name w:val="Body Text Char"/>
    <w:link w:val="BodyText"/>
    <w:rsid w:val="00DB4B0C"/>
    <w:rPr>
      <w:rFonts w:ascii="Times New Roman" w:eastAsia="宋体" w:hAnsi="Times New Roman"/>
      <w:sz w:val="19"/>
      <w:szCs w:val="22"/>
      <w:lang w:val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4B0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DB4B0C"/>
    <w:rPr>
      <w:rFonts w:ascii="Times New Roman" w:hAnsi="Times New Roman"/>
      <w:color w:val="000000"/>
      <w:sz w:val="19"/>
      <w:szCs w:val="22"/>
      <w:lang w:val="hr-HR" w:eastAsia="en-GB"/>
    </w:rPr>
  </w:style>
  <w:style w:type="paragraph" w:styleId="Header">
    <w:name w:val="header"/>
    <w:basedOn w:val="Normal"/>
    <w:link w:val="HeaderChar"/>
    <w:uiPriority w:val="99"/>
    <w:unhideWhenUsed/>
    <w:rsid w:val="00E812A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812AA"/>
    <w:rPr>
      <w:rFonts w:ascii="Times New Roman" w:hAnsi="Times New Roman"/>
      <w:color w:val="000000"/>
      <w:sz w:val="19"/>
      <w:szCs w:val="22"/>
      <w:lang w:val="hr-HR" w:eastAsia="en-GB"/>
    </w:rPr>
  </w:style>
  <w:style w:type="paragraph" w:styleId="Footer">
    <w:name w:val="footer"/>
    <w:basedOn w:val="Normal"/>
    <w:link w:val="FooterChar"/>
    <w:uiPriority w:val="99"/>
    <w:unhideWhenUsed/>
    <w:rsid w:val="00E812A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812AA"/>
    <w:rPr>
      <w:rFonts w:ascii="Times New Roman" w:hAnsi="Times New Roman"/>
      <w:color w:val="000000"/>
      <w:sz w:val="19"/>
      <w:szCs w:val="22"/>
      <w:lang w:val="hr-HR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2A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12AA"/>
    <w:rPr>
      <w:rFonts w:ascii="Times New Roman" w:hAnsi="Times New Roman"/>
      <w:color w:val="000000"/>
      <w:lang w:val="hr-HR" w:eastAsia="en-GB"/>
    </w:rPr>
  </w:style>
  <w:style w:type="character" w:styleId="FootnoteReference">
    <w:name w:val="footnote reference"/>
    <w:uiPriority w:val="99"/>
    <w:semiHidden/>
    <w:unhideWhenUsed/>
    <w:rsid w:val="00E812AA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943D0F"/>
    <w:pPr>
      <w:spacing w:after="0" w:line="240" w:lineRule="auto"/>
      <w:ind w:left="0" w:firstLine="0"/>
      <w:jc w:val="left"/>
    </w:pPr>
    <w:rPr>
      <w:rFonts w:ascii="Consolas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D0F"/>
    <w:rPr>
      <w:rFonts w:ascii="Consolas" w:hAnsi="Consolas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C4D5-BB6C-49A6-8428-5F2777B0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0055.fm</vt:lpstr>
      <vt:lpstr>0055.fm</vt:lpstr>
    </vt:vector>
  </TitlesOfParts>
  <Company>Kommerskollegium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0055.fm</dc:title>
  <dc:subject/>
  <dc:creator>leer01</dc:creator>
  <cp:keywords/>
  <cp:lastModifiedBy>Liu, Lei</cp:lastModifiedBy>
  <cp:revision>4</cp:revision>
  <dcterms:created xsi:type="dcterms:W3CDTF">2019-04-30T10:57:00Z</dcterms:created>
  <dcterms:modified xsi:type="dcterms:W3CDTF">2019-05-08T12:21:00Z</dcterms:modified>
</cp:coreProperties>
</file>