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C443F" w14:textId="77777777" w:rsidR="006E7FC5" w:rsidRPr="00CF2667" w:rsidRDefault="006E7FC5" w:rsidP="006E7FC5">
      <w:pPr>
        <w:spacing w:after="0" w:line="240" w:lineRule="auto"/>
        <w:jc w:val="center"/>
        <w:rPr>
          <w:rFonts w:eastAsia="Calibri"/>
          <w:b/>
        </w:rPr>
      </w:pPr>
      <w:r>
        <w:rPr>
          <w:b/>
        </w:rPr>
        <w:t>Uredba SZTFH št.</w:t>
      </w:r>
    </w:p>
    <w:p w14:paraId="78A2EE9D" w14:textId="77777777" w:rsidR="006E7FC5" w:rsidRPr="00CF2667" w:rsidRDefault="006E7FC5" w:rsidP="006E7FC5">
      <w:pPr>
        <w:spacing w:after="0" w:line="240" w:lineRule="auto"/>
        <w:jc w:val="center"/>
        <w:rPr>
          <w:rFonts w:eastAsia="Calibri"/>
          <w:b/>
        </w:rPr>
      </w:pPr>
    </w:p>
    <w:p w14:paraId="1DA8F30D" w14:textId="77777777" w:rsidR="006E7FC5" w:rsidRPr="00CF2667" w:rsidRDefault="006E7FC5" w:rsidP="006E7FC5">
      <w:pPr>
        <w:spacing w:after="0" w:line="240" w:lineRule="auto"/>
        <w:jc w:val="center"/>
        <w:rPr>
          <w:rFonts w:eastAsia="Calibri"/>
          <w:b/>
        </w:rPr>
      </w:pPr>
      <w:r>
        <w:rPr>
          <w:b/>
        </w:rPr>
        <w:t>.../2023 (...) predsednika nadzornega organa za regulativne zadeve</w:t>
      </w:r>
    </w:p>
    <w:p w14:paraId="7580F07E" w14:textId="77777777" w:rsidR="006E7FC5" w:rsidRPr="00CF2667" w:rsidRDefault="006E7FC5" w:rsidP="006E7FC5">
      <w:pPr>
        <w:spacing w:after="0" w:line="240" w:lineRule="auto"/>
        <w:jc w:val="center"/>
        <w:rPr>
          <w:rFonts w:eastAsia="Calibri"/>
          <w:b/>
        </w:rPr>
      </w:pPr>
    </w:p>
    <w:p w14:paraId="6E970982" w14:textId="77777777" w:rsidR="006E7FC5" w:rsidRPr="00CF2667" w:rsidRDefault="006E7FC5" w:rsidP="006E7FC5">
      <w:pPr>
        <w:spacing w:after="0" w:line="240" w:lineRule="auto"/>
        <w:jc w:val="center"/>
        <w:rPr>
          <w:rFonts w:eastAsia="Calibri"/>
          <w:b/>
        </w:rPr>
      </w:pPr>
      <w:r>
        <w:rPr>
          <w:b/>
        </w:rPr>
        <w:t>o spremembi Uredbe SZTFH št. 20/2021 z dne 29. oktobra 2021 o izvajanju nalog v zvezi z izdajanjem dovoljenj, upravljanjem in spremljanjem nekaterih vrst iger na srečo</w:t>
      </w:r>
    </w:p>
    <w:p w14:paraId="3354A442" w14:textId="77777777" w:rsidR="006E7FC5" w:rsidRPr="00CF2667" w:rsidRDefault="006E7FC5" w:rsidP="006E7FC5">
      <w:pPr>
        <w:spacing w:after="0" w:line="240" w:lineRule="auto"/>
        <w:jc w:val="center"/>
        <w:rPr>
          <w:rFonts w:eastAsia="Calibri"/>
          <w:b/>
        </w:rPr>
      </w:pPr>
    </w:p>
    <w:p w14:paraId="27B80967" w14:textId="77777777" w:rsidR="00BE630A" w:rsidRDefault="00BE630A" w:rsidP="00BE630A">
      <w:pPr>
        <w:spacing w:after="0" w:line="240" w:lineRule="auto"/>
        <w:jc w:val="both"/>
        <w:rPr>
          <w:rFonts w:eastAsia="Calibri"/>
        </w:rPr>
      </w:pPr>
    </w:p>
    <w:p w14:paraId="5A4D706F" w14:textId="77777777" w:rsidR="00BE630A" w:rsidRDefault="00BE630A" w:rsidP="00BE630A">
      <w:pPr>
        <w:spacing w:after="0" w:line="240" w:lineRule="auto"/>
        <w:jc w:val="both"/>
        <w:rPr>
          <w:rFonts w:eastAsia="Calibri"/>
        </w:rPr>
      </w:pPr>
      <w:r>
        <w:t xml:space="preserve">Na podlagi dovoljenja, odobrenega v členu 38(2), točki (a) in (b), Zakona XXXIV iz leta 1991 o igrah na srečo, </w:t>
      </w:r>
    </w:p>
    <w:p w14:paraId="67DF3F1E" w14:textId="258A6756" w:rsidR="00BE630A" w:rsidRDefault="00BE630A" w:rsidP="00BE630A">
      <w:pPr>
        <w:spacing w:after="0" w:line="240" w:lineRule="auto"/>
        <w:jc w:val="both"/>
        <w:rPr>
          <w:rFonts w:eastAsia="Calibri"/>
        </w:rPr>
      </w:pPr>
      <w:r>
        <w:t>v zvezi z oddelkoma 2 in 3 ter oddelkom 13(b) na podlagi dovoljenja, odobrenega v členu 38(2), točka (d), Zakona XXXIV iz leta 1991 o igrah na srečo,</w:t>
      </w:r>
    </w:p>
    <w:p w14:paraId="7A855835" w14:textId="77777777" w:rsidR="00BE630A" w:rsidRDefault="00BE630A" w:rsidP="00BE630A">
      <w:pPr>
        <w:spacing w:after="0" w:line="240" w:lineRule="auto"/>
        <w:jc w:val="both"/>
        <w:rPr>
          <w:rFonts w:eastAsia="Calibri"/>
        </w:rPr>
      </w:pPr>
      <w:r>
        <w:t>v zvezi z oddelki 4 do 10 in oddelkom 12 na podlagi dovoljenja, odobrenega v členu 38(2), točka (g), Zakona XXXIV iz leta 1991 o igrah na srečo,</w:t>
      </w:r>
    </w:p>
    <w:p w14:paraId="6895E230" w14:textId="77777777" w:rsidR="00BE630A" w:rsidRDefault="00BE630A" w:rsidP="00BE630A">
      <w:pPr>
        <w:spacing w:after="0" w:line="240" w:lineRule="auto"/>
        <w:jc w:val="both"/>
        <w:rPr>
          <w:rFonts w:eastAsia="Calibri"/>
        </w:rPr>
      </w:pPr>
      <w:r>
        <w:t>in v okviru svojih dolžnosti, opredeljenih v oddelku 13, točki (i) in (n), Zakona XXXII iz leta 2021 o nadzornem organu za regulativne zadeve,</w:t>
      </w:r>
    </w:p>
    <w:p w14:paraId="59132BDE" w14:textId="77777777" w:rsidR="00BE630A" w:rsidRDefault="00BE630A" w:rsidP="00BE630A">
      <w:pPr>
        <w:spacing w:after="0" w:line="240" w:lineRule="auto"/>
        <w:jc w:val="both"/>
        <w:rPr>
          <w:rFonts w:eastAsia="Calibri"/>
        </w:rPr>
      </w:pPr>
      <w:r>
        <w:t>odrejam naslednje:</w:t>
      </w:r>
    </w:p>
    <w:p w14:paraId="0EB70FA2" w14:textId="77777777" w:rsidR="00BE630A" w:rsidRPr="00CF2667" w:rsidRDefault="00BE630A" w:rsidP="006E7FC5">
      <w:pPr>
        <w:spacing w:after="0" w:line="240" w:lineRule="auto"/>
        <w:jc w:val="both"/>
        <w:rPr>
          <w:rFonts w:eastAsia="Calibri"/>
        </w:rPr>
      </w:pPr>
    </w:p>
    <w:p w14:paraId="66058B66" w14:textId="77777777" w:rsidR="006E7FC5" w:rsidRPr="00CF2667" w:rsidRDefault="006E7FC5" w:rsidP="006E7FC5">
      <w:pPr>
        <w:spacing w:after="0" w:line="240" w:lineRule="auto"/>
        <w:jc w:val="center"/>
        <w:rPr>
          <w:rFonts w:eastAsia="Calibri"/>
          <w:b/>
        </w:rPr>
      </w:pPr>
      <w:r>
        <w:rPr>
          <w:b/>
        </w:rPr>
        <w:t>Oddelek 1</w:t>
      </w:r>
    </w:p>
    <w:p w14:paraId="7DC1A809" w14:textId="77777777" w:rsidR="00C9669B" w:rsidRPr="00CF2667" w:rsidRDefault="00C9669B" w:rsidP="006E7FC5">
      <w:pPr>
        <w:spacing w:after="0" w:line="240" w:lineRule="auto"/>
        <w:jc w:val="center"/>
        <w:rPr>
          <w:rFonts w:eastAsia="Calibri"/>
          <w:b/>
        </w:rPr>
      </w:pPr>
    </w:p>
    <w:p w14:paraId="09585543" w14:textId="0173393E" w:rsidR="00C9669B" w:rsidRPr="00CF2667" w:rsidRDefault="00C9669B" w:rsidP="00C9669B">
      <w:pPr>
        <w:spacing w:after="0" w:line="240" w:lineRule="auto"/>
        <w:jc w:val="both"/>
        <w:rPr>
          <w:rFonts w:eastAsia="Calibri"/>
        </w:rPr>
      </w:pPr>
      <w:r>
        <w:t>Poglavju I Uredbe SZTFH št. 20/2021 z dne 29. oktobra 2021 o izvajanju nalog v zvezi z izdajanjem dovoljenj, upravljanjem in spremljanjem nekaterih vrst iger na srečo (v nadaljnjem besedilu: Izvedbena uredba) se doda nov oddelek 2/A, ki se glasi:</w:t>
      </w:r>
    </w:p>
    <w:p w14:paraId="1CCBA5B6" w14:textId="77777777" w:rsidR="00C9669B" w:rsidRPr="00CF2667" w:rsidRDefault="00C9669B" w:rsidP="00C9669B">
      <w:pPr>
        <w:spacing w:after="0" w:line="240" w:lineRule="auto"/>
        <w:jc w:val="both"/>
        <w:rPr>
          <w:rFonts w:eastAsia="Calibri"/>
        </w:rPr>
      </w:pPr>
    </w:p>
    <w:p w14:paraId="4BA0FDB3" w14:textId="42989738" w:rsidR="00C9669B" w:rsidRPr="00CF2667" w:rsidRDefault="00C9669B" w:rsidP="00C9669B">
      <w:pPr>
        <w:spacing w:after="0" w:line="240" w:lineRule="auto"/>
        <w:jc w:val="both"/>
        <w:rPr>
          <w:rFonts w:eastAsia="Calibri"/>
          <w:b/>
        </w:rPr>
      </w:pPr>
      <w:r>
        <w:t>„Oddelek 2/A Če je organizator pooblaščen, da hkrati organizira več iger na srečo, evidentira in vodi računovodske evidence prihodkov in dejanskih stroškov vsake igre na srečo na preverljiv način in ločeno drug od drugega, neodvisno od katere koli druge dejavnosti, ki jo opravlja.“</w:t>
      </w:r>
    </w:p>
    <w:p w14:paraId="7A3199E9" w14:textId="77777777" w:rsidR="00421C27" w:rsidRPr="00CF2667" w:rsidRDefault="00421C27" w:rsidP="006E7FC5">
      <w:pPr>
        <w:spacing w:after="0" w:line="240" w:lineRule="auto"/>
        <w:jc w:val="center"/>
        <w:rPr>
          <w:rFonts w:eastAsia="Calibri"/>
          <w:b/>
        </w:rPr>
      </w:pPr>
    </w:p>
    <w:p w14:paraId="5BEA7056" w14:textId="77777777" w:rsidR="00421C27" w:rsidRPr="00CF2667" w:rsidRDefault="007F34EE" w:rsidP="006E7FC5">
      <w:pPr>
        <w:spacing w:after="0" w:line="240" w:lineRule="auto"/>
        <w:jc w:val="center"/>
        <w:rPr>
          <w:rFonts w:eastAsia="Calibri"/>
          <w:b/>
        </w:rPr>
      </w:pPr>
      <w:r>
        <w:rPr>
          <w:b/>
        </w:rPr>
        <w:t>Oddelek 2</w:t>
      </w:r>
    </w:p>
    <w:p w14:paraId="4BE47446" w14:textId="77777777" w:rsidR="006E7FC5" w:rsidRPr="00CF2667" w:rsidRDefault="006E7FC5" w:rsidP="006E7FC5">
      <w:pPr>
        <w:spacing w:after="0" w:line="240" w:lineRule="auto"/>
        <w:jc w:val="both"/>
        <w:rPr>
          <w:rFonts w:eastAsia="Calibri"/>
        </w:rPr>
      </w:pPr>
    </w:p>
    <w:p w14:paraId="164D83E3" w14:textId="6FB86AC7" w:rsidR="00591010" w:rsidRPr="00CF2667" w:rsidRDefault="00591010" w:rsidP="00991F71">
      <w:pPr>
        <w:spacing w:after="0" w:line="240" w:lineRule="auto"/>
        <w:jc w:val="both"/>
      </w:pPr>
      <w:r>
        <w:t>(1) Oddelek 13(3) Izvedbene uredbe se nadomesti z naslednjim:</w:t>
      </w:r>
    </w:p>
    <w:p w14:paraId="36C968DE" w14:textId="77777777" w:rsidR="00D67727" w:rsidRPr="00CF2667" w:rsidRDefault="00D67727" w:rsidP="00591010">
      <w:pPr>
        <w:tabs>
          <w:tab w:val="center" w:pos="6096"/>
        </w:tabs>
        <w:spacing w:after="0" w:line="240" w:lineRule="auto"/>
        <w:jc w:val="both"/>
      </w:pPr>
    </w:p>
    <w:p w14:paraId="67C8D879" w14:textId="77777777" w:rsidR="00591010" w:rsidRPr="00CF2667" w:rsidRDefault="005F7926" w:rsidP="00591010">
      <w:pPr>
        <w:tabs>
          <w:tab w:val="center" w:pos="6096"/>
        </w:tabs>
        <w:spacing w:after="0" w:line="240" w:lineRule="auto"/>
        <w:jc w:val="both"/>
      </w:pPr>
      <w:r>
        <w:t>„(3) Loterijske srečke je mogoče izdelati samo z računalniško vodeno zaprto tehnologijo, ki zagotavlja</w:t>
      </w:r>
    </w:p>
    <w:p w14:paraId="1F259345" w14:textId="77777777" w:rsidR="00173F50" w:rsidRPr="00CF2667" w:rsidRDefault="00173F50" w:rsidP="00591010">
      <w:pPr>
        <w:tabs>
          <w:tab w:val="center" w:pos="6096"/>
        </w:tabs>
        <w:spacing w:after="0" w:line="240" w:lineRule="auto"/>
        <w:jc w:val="both"/>
      </w:pPr>
    </w:p>
    <w:p w14:paraId="7F8F7476" w14:textId="77777777" w:rsidR="00591010" w:rsidRPr="00CF2667" w:rsidRDefault="00591010" w:rsidP="00591010">
      <w:pPr>
        <w:tabs>
          <w:tab w:val="center" w:pos="6096"/>
        </w:tabs>
        <w:spacing w:after="0" w:line="240" w:lineRule="auto"/>
        <w:jc w:val="both"/>
      </w:pPr>
      <w:r>
        <w:t>(a) znesek dobitkov, določen v zakonu o igrah na srečo,</w:t>
      </w:r>
    </w:p>
    <w:p w14:paraId="3D73CE20" w14:textId="77777777" w:rsidR="00591010" w:rsidRPr="00CF2667" w:rsidRDefault="00591010" w:rsidP="00591010">
      <w:pPr>
        <w:tabs>
          <w:tab w:val="center" w:pos="6096"/>
        </w:tabs>
        <w:spacing w:after="0" w:line="240" w:lineRule="auto"/>
        <w:jc w:val="both"/>
      </w:pPr>
      <w:r>
        <w:t>(b) enakomerno porazdelitev dobitnih loterijskih srečk po dobitnih razredih v okviru dovoljene količine ali serije v skladu z načrtom igre in</w:t>
      </w:r>
    </w:p>
    <w:p w14:paraId="1EB773D3" w14:textId="77777777" w:rsidR="00591010" w:rsidRPr="00CF2667" w:rsidRDefault="00591010" w:rsidP="00591010">
      <w:pPr>
        <w:tabs>
          <w:tab w:val="center" w:pos="6096"/>
        </w:tabs>
        <w:spacing w:after="0" w:line="240" w:lineRule="auto"/>
        <w:jc w:val="both"/>
      </w:pPr>
      <w:r>
        <w:t>(c) da se celotna serija loterijskih srečk proizvede v zaprtem proizvodnem procesu, ki omogoča identifikacijo dobitnih loterijskih srečk šele po odstranitvi virtualnega ali fizičnega zakritja.“</w:t>
      </w:r>
    </w:p>
    <w:p w14:paraId="7EE32317" w14:textId="77777777" w:rsidR="00C012D4" w:rsidRPr="00CF2667" w:rsidRDefault="00C012D4" w:rsidP="00591010">
      <w:pPr>
        <w:tabs>
          <w:tab w:val="center" w:pos="6096"/>
        </w:tabs>
        <w:spacing w:after="0" w:line="240" w:lineRule="auto"/>
        <w:jc w:val="both"/>
        <w:rPr>
          <w:u w:val="single"/>
        </w:rPr>
      </w:pPr>
    </w:p>
    <w:p w14:paraId="6AC62775" w14:textId="10E53AA6" w:rsidR="00C012D4" w:rsidRPr="00CF2667" w:rsidRDefault="00C012D4" w:rsidP="00C012D4">
      <w:pPr>
        <w:spacing w:after="0"/>
        <w:jc w:val="both"/>
      </w:pPr>
      <w:r>
        <w:t>(2) Oddelku 13 Izvedbene uredbe se dodata naslednja odstavka 10 in 11:</w:t>
      </w:r>
    </w:p>
    <w:p w14:paraId="4EE4A851" w14:textId="77777777" w:rsidR="00B82D5A" w:rsidRPr="00CF2667" w:rsidRDefault="00B82D5A" w:rsidP="00C012D4">
      <w:pPr>
        <w:spacing w:after="0"/>
        <w:jc w:val="both"/>
      </w:pPr>
    </w:p>
    <w:p w14:paraId="351A0C29" w14:textId="5227B30D" w:rsidR="00C012D4" w:rsidRPr="00CF2667" w:rsidRDefault="00C012D4" w:rsidP="00C012D4">
      <w:pPr>
        <w:tabs>
          <w:tab w:val="center" w:pos="6096"/>
        </w:tabs>
        <w:spacing w:after="0" w:line="240" w:lineRule="auto"/>
        <w:jc w:val="both"/>
      </w:pPr>
      <w:r>
        <w:t xml:space="preserve">„(10) Odstavki 2 do 4 ter odstavek 5(a) in (b) se smiselno uporabljajo za hitre srečke, ki se prodajajo s komunikacijskimi napravami in sistemi, pri čemer se srečke shranjujejo in dajejo na trg s komunikacijskimi napravami in sistemi, dokumenti iz odstavka 5(a) pa se predložijo organu za igre na srečo med postopkom za izdajo dovoljenja. </w:t>
      </w:r>
    </w:p>
    <w:p w14:paraId="386CFFD5" w14:textId="77777777" w:rsidR="00BE630A" w:rsidRDefault="00BE630A" w:rsidP="00203C3F">
      <w:pPr>
        <w:tabs>
          <w:tab w:val="center" w:pos="6096"/>
        </w:tabs>
        <w:spacing w:after="0" w:line="240" w:lineRule="auto"/>
        <w:jc w:val="both"/>
      </w:pPr>
    </w:p>
    <w:p w14:paraId="4351477A" w14:textId="1A3C832B" w:rsidR="006E7FC5" w:rsidRPr="00CF2667" w:rsidRDefault="00C012D4" w:rsidP="00203C3F">
      <w:pPr>
        <w:tabs>
          <w:tab w:val="center" w:pos="6096"/>
        </w:tabs>
        <w:spacing w:after="0" w:line="240" w:lineRule="auto"/>
        <w:jc w:val="both"/>
      </w:pPr>
      <w:r>
        <w:lastRenderedPageBreak/>
        <w:t>(11) Med določbami te uredbe o reviziji iger na srečo na daljavo in spletnih igralniških iger se za hitre srečke, ki se prodajajo prek komunikacijskih naprav in sistemov, uporabljajo oddelek 15(2) in (3), Priloga 2, klavzuli I in II(A) ter klavzula III(c) Priloge 3, klavzula II(1)(f) in (h) ter klavzula 2(a) do (c) Priloge 4.</w:t>
      </w:r>
    </w:p>
    <w:p w14:paraId="202FF135" w14:textId="77777777" w:rsidR="00431B0E" w:rsidRPr="00CF2667" w:rsidRDefault="00431B0E" w:rsidP="00203C3F">
      <w:pPr>
        <w:tabs>
          <w:tab w:val="center" w:pos="6096"/>
        </w:tabs>
        <w:spacing w:after="0" w:line="240" w:lineRule="auto"/>
        <w:jc w:val="both"/>
        <w:rPr>
          <w:rFonts w:eastAsia="Calibri"/>
        </w:rPr>
      </w:pPr>
    </w:p>
    <w:p w14:paraId="6A454895" w14:textId="77777777" w:rsidR="006E7FC5" w:rsidRPr="00CF2667" w:rsidRDefault="00C9669B" w:rsidP="006E7FC5">
      <w:pPr>
        <w:spacing w:after="0" w:line="240" w:lineRule="auto"/>
        <w:jc w:val="center"/>
        <w:rPr>
          <w:rFonts w:eastAsia="Calibri"/>
          <w:b/>
        </w:rPr>
      </w:pPr>
      <w:r>
        <w:rPr>
          <w:b/>
        </w:rPr>
        <w:t>Oddelek 3</w:t>
      </w:r>
    </w:p>
    <w:p w14:paraId="7EFE5D28" w14:textId="77777777" w:rsidR="006E7FC5" w:rsidRPr="00CF2667" w:rsidRDefault="006E7FC5" w:rsidP="006E7FC5">
      <w:pPr>
        <w:spacing w:after="0" w:line="240" w:lineRule="auto"/>
        <w:jc w:val="both"/>
        <w:rPr>
          <w:rFonts w:eastAsia="Calibri"/>
        </w:rPr>
      </w:pPr>
    </w:p>
    <w:p w14:paraId="7F48D059" w14:textId="580CD7E8" w:rsidR="006E7FC5" w:rsidRPr="00CF2667" w:rsidRDefault="00B82D5A" w:rsidP="006E7FC5">
      <w:pPr>
        <w:spacing w:after="0" w:line="240" w:lineRule="auto"/>
        <w:jc w:val="both"/>
        <w:rPr>
          <w:rFonts w:eastAsia="Calibri"/>
        </w:rPr>
      </w:pPr>
      <w:r>
        <w:t>Poglavju III Izvedbene uredbe se doda naslednja postavka 7/A:</w:t>
      </w:r>
    </w:p>
    <w:p w14:paraId="276DDA3F" w14:textId="77777777" w:rsidR="006E7FC5" w:rsidRPr="00CF2667" w:rsidRDefault="006E7FC5" w:rsidP="006E7FC5">
      <w:pPr>
        <w:spacing w:after="0" w:line="240" w:lineRule="auto"/>
        <w:jc w:val="both"/>
        <w:rPr>
          <w:rFonts w:eastAsia="Calibri"/>
        </w:rPr>
      </w:pPr>
    </w:p>
    <w:p w14:paraId="3C5A7CBA" w14:textId="4E8E5C4B" w:rsidR="00B82D5A" w:rsidRPr="00CF2667" w:rsidRDefault="00B82D5A" w:rsidP="00B82D5A">
      <w:pPr>
        <w:spacing w:after="0" w:line="240" w:lineRule="auto"/>
        <w:jc w:val="center"/>
        <w:rPr>
          <w:bCs/>
        </w:rPr>
      </w:pPr>
      <w:r>
        <w:t>„Oddelek 7/A Posebna pravila za loterijske igre, ki se prodajajo izključno prek komunikacijskih naprav in sistemov</w:t>
      </w:r>
    </w:p>
    <w:p w14:paraId="766FBD3D" w14:textId="77777777" w:rsidR="00B82D5A" w:rsidRPr="00CF2667" w:rsidRDefault="00B82D5A" w:rsidP="00B82D5A">
      <w:pPr>
        <w:spacing w:after="0" w:line="240" w:lineRule="auto"/>
        <w:jc w:val="both"/>
        <w:rPr>
          <w:bCs/>
        </w:rPr>
      </w:pPr>
    </w:p>
    <w:p w14:paraId="37BBCCEA" w14:textId="111517D0" w:rsidR="00B82D5A" w:rsidRPr="00CF2667" w:rsidRDefault="008126DB" w:rsidP="00B82D5A">
      <w:pPr>
        <w:spacing w:after="0" w:line="240" w:lineRule="auto"/>
        <w:jc w:val="both"/>
        <w:rPr>
          <w:bCs/>
        </w:rPr>
      </w:pPr>
      <w:r>
        <w:t>Oddelek 13/A Za loterijske igre, ki se prodajajo izključno prek komunikacijskih naprav in sistemov, se uporabljajo določbe oddelka 15(2), točka (a), Priloga 2, klavzuli I in II(A) ter klavzula III(c) Priloge3, klavzula II(1)(f) in (h) ter klavzula 2(a) do (c) Priloge 4.</w:t>
      </w:r>
    </w:p>
    <w:p w14:paraId="3AB0FB4F" w14:textId="77777777" w:rsidR="006E7FC5" w:rsidRPr="00CF2667" w:rsidRDefault="006E7FC5" w:rsidP="006E7FC5">
      <w:pPr>
        <w:spacing w:after="0" w:line="240" w:lineRule="auto"/>
        <w:jc w:val="both"/>
        <w:rPr>
          <w:rFonts w:eastAsia="Calibri"/>
        </w:rPr>
      </w:pPr>
    </w:p>
    <w:p w14:paraId="32A5D86C" w14:textId="77777777" w:rsidR="006E7FC5" w:rsidRPr="00CF2667" w:rsidRDefault="00C9669B" w:rsidP="006E7FC5">
      <w:pPr>
        <w:spacing w:after="0" w:line="240" w:lineRule="auto"/>
        <w:jc w:val="center"/>
        <w:rPr>
          <w:rFonts w:eastAsia="Calibri"/>
          <w:b/>
        </w:rPr>
      </w:pPr>
      <w:r>
        <w:rPr>
          <w:b/>
        </w:rPr>
        <w:t>Oddelek 4</w:t>
      </w:r>
    </w:p>
    <w:p w14:paraId="1F6C6F18" w14:textId="77777777" w:rsidR="00447FE9" w:rsidRPr="00CF2667" w:rsidRDefault="00447FE9" w:rsidP="00447FE9">
      <w:pPr>
        <w:spacing w:after="0" w:line="240" w:lineRule="auto"/>
        <w:jc w:val="both"/>
        <w:rPr>
          <w:rFonts w:eastAsia="Calibri"/>
          <w:b/>
        </w:rPr>
      </w:pPr>
    </w:p>
    <w:p w14:paraId="1DEEA69D" w14:textId="147BF699" w:rsidR="00447FE9" w:rsidRPr="00CF2667" w:rsidRDefault="00447FE9" w:rsidP="00447FE9">
      <w:pPr>
        <w:jc w:val="both"/>
      </w:pPr>
      <w:r>
        <w:t>V postavko 9/C Izvedbene uredbe se doda nov oddelek 16/F, ki se glasi:</w:t>
      </w:r>
    </w:p>
    <w:p w14:paraId="677AA608" w14:textId="7DEB23EE" w:rsidR="00447FE9" w:rsidRPr="00CF2667" w:rsidRDefault="00447FE9" w:rsidP="00447FE9">
      <w:pPr>
        <w:jc w:val="both"/>
      </w:pPr>
      <w:r>
        <w:t>„Oddelek 16/F V primeru predčasnega plačila mora organizator iger na srečo pri promociji te funkcije izrecno opozoriti igralca na dejstvo, da uporaba te funkcije pomeni povečano tveganje prekomernega igranja na srečo in zasvojenosti, te informacije pa morajo biti v promocijskem besedilu navedene v enaki velikosti pisave kot besedilo. Organizator iger na srečo igralcu na spletnem mestu iger na srečo da na voljo tudi informacijo, da uporaba te funkcije pomeni povečano tveganje prekomernega igranja na srečo in zasvojenosti.“</w:t>
      </w:r>
    </w:p>
    <w:p w14:paraId="6740684E" w14:textId="77777777" w:rsidR="0018214B" w:rsidRPr="00CF2667" w:rsidRDefault="00C9669B" w:rsidP="0018214B">
      <w:pPr>
        <w:spacing w:after="0" w:line="240" w:lineRule="auto"/>
        <w:jc w:val="center"/>
        <w:rPr>
          <w:rFonts w:eastAsia="Calibri"/>
          <w:b/>
        </w:rPr>
      </w:pPr>
      <w:r>
        <w:rPr>
          <w:b/>
        </w:rPr>
        <w:t>Oddelek 5</w:t>
      </w:r>
    </w:p>
    <w:p w14:paraId="2CEE6BA7" w14:textId="77777777" w:rsidR="00447FE9" w:rsidRPr="00CF2667" w:rsidRDefault="00447FE9" w:rsidP="00447FE9">
      <w:pPr>
        <w:spacing w:after="0" w:line="240" w:lineRule="auto"/>
        <w:jc w:val="both"/>
        <w:rPr>
          <w:rFonts w:eastAsia="Calibri"/>
          <w:b/>
        </w:rPr>
      </w:pPr>
    </w:p>
    <w:p w14:paraId="51A4AE0C" w14:textId="77777777" w:rsidR="0018214B" w:rsidRPr="00CF2667" w:rsidRDefault="0018214B" w:rsidP="0018214B">
      <w:pPr>
        <w:spacing w:after="0"/>
        <w:jc w:val="both"/>
      </w:pPr>
      <w:r>
        <w:t>(1) Oddelek 22(1), točka (c), Izvedbene uredbe se nadomesti z naslednjim:</w:t>
      </w:r>
    </w:p>
    <w:p w14:paraId="35B5EE08" w14:textId="77777777" w:rsidR="0018214B" w:rsidRPr="00CF2667" w:rsidRDefault="0018214B" w:rsidP="00447FE9">
      <w:pPr>
        <w:spacing w:after="0" w:line="240" w:lineRule="auto"/>
        <w:jc w:val="both"/>
        <w:rPr>
          <w:rFonts w:eastAsia="Calibri"/>
          <w:b/>
        </w:rPr>
      </w:pPr>
    </w:p>
    <w:p w14:paraId="1F79836C" w14:textId="77777777" w:rsidR="0018214B" w:rsidRPr="00CF2667" w:rsidRDefault="003A5B78" w:rsidP="0018214B">
      <w:pPr>
        <w:spacing w:after="0" w:line="240" w:lineRule="auto"/>
        <w:jc w:val="both"/>
        <w:rPr>
          <w:i/>
        </w:rPr>
      </w:pPr>
      <w:r>
        <w:rPr>
          <w:i/>
        </w:rPr>
        <w:t>(Če organizator po registraciji ugotovi, da vsebina podatkov v registru kaže nepravilnosti, ker)</w:t>
      </w:r>
    </w:p>
    <w:p w14:paraId="13B389E6" w14:textId="77777777" w:rsidR="00173F50" w:rsidRPr="00CF2667" w:rsidRDefault="00173F50" w:rsidP="0018214B">
      <w:pPr>
        <w:spacing w:after="0" w:line="240" w:lineRule="auto"/>
        <w:jc w:val="both"/>
      </w:pPr>
    </w:p>
    <w:p w14:paraId="69BDF0DA" w14:textId="77777777" w:rsidR="0018214B" w:rsidRPr="00CF2667" w:rsidRDefault="003A5B78" w:rsidP="0018214B">
      <w:pPr>
        <w:spacing w:after="0" w:line="240" w:lineRule="auto"/>
        <w:jc w:val="both"/>
      </w:pPr>
      <w:r>
        <w:t>„(c) je isti igralec večkrat registriran za isto igro ali isto stanje igralca,“</w:t>
      </w:r>
    </w:p>
    <w:p w14:paraId="36CDD328" w14:textId="77777777" w:rsidR="00173F50" w:rsidRPr="00CF2667" w:rsidRDefault="00173F50" w:rsidP="0018214B">
      <w:pPr>
        <w:spacing w:after="0" w:line="240" w:lineRule="auto"/>
        <w:jc w:val="both"/>
        <w:rPr>
          <w:i/>
        </w:rPr>
      </w:pPr>
    </w:p>
    <w:p w14:paraId="112A77F5" w14:textId="77777777" w:rsidR="0018214B" w:rsidRPr="00CF2667" w:rsidRDefault="003A5B78" w:rsidP="0018214B">
      <w:pPr>
        <w:spacing w:after="0" w:line="240" w:lineRule="auto"/>
        <w:jc w:val="both"/>
        <w:rPr>
          <w:i/>
        </w:rPr>
      </w:pPr>
      <w:r>
        <w:rPr>
          <w:i/>
        </w:rPr>
        <w:t>(bo stanje igralca takoj začasno ukinjeno.)</w:t>
      </w:r>
    </w:p>
    <w:p w14:paraId="25489DFD" w14:textId="77777777" w:rsidR="00447FE9" w:rsidRPr="00CF2667" w:rsidRDefault="00447FE9" w:rsidP="0018214B">
      <w:pPr>
        <w:spacing w:after="0" w:line="240" w:lineRule="auto"/>
        <w:jc w:val="both"/>
        <w:rPr>
          <w:rFonts w:eastAsia="Calibri"/>
          <w:b/>
        </w:rPr>
      </w:pPr>
    </w:p>
    <w:p w14:paraId="6DE1BE49" w14:textId="77777777" w:rsidR="0018214B" w:rsidRPr="00CF2667" w:rsidRDefault="0018214B" w:rsidP="0018214B">
      <w:pPr>
        <w:spacing w:after="0" w:line="240" w:lineRule="auto"/>
        <w:jc w:val="both"/>
        <w:rPr>
          <w:rFonts w:eastAsia="Calibri"/>
        </w:rPr>
      </w:pPr>
      <w:r>
        <w:t>(2) Oddelek 22(2) Izvedbene uredbe se nadomesti z naslednjim:</w:t>
      </w:r>
    </w:p>
    <w:p w14:paraId="084DEC63" w14:textId="77777777" w:rsidR="0018214B" w:rsidRPr="00CF2667" w:rsidRDefault="0018214B" w:rsidP="0018214B">
      <w:pPr>
        <w:spacing w:after="0" w:line="240" w:lineRule="auto"/>
        <w:jc w:val="both"/>
        <w:rPr>
          <w:rFonts w:eastAsia="Calibri"/>
        </w:rPr>
      </w:pPr>
    </w:p>
    <w:p w14:paraId="30723ACD" w14:textId="77777777" w:rsidR="0018214B" w:rsidRPr="00CF2667" w:rsidRDefault="0018214B" w:rsidP="0018214B">
      <w:pPr>
        <w:spacing w:after="0" w:line="240" w:lineRule="auto"/>
        <w:jc w:val="both"/>
      </w:pPr>
      <w:r>
        <w:t>„(2) V primeru večkratnih registracij v skladu z odstavkom 1, točka (c), se ukrepi za dokončno zaprtje, poravnavo in izključitev stanja igralca iz igre uporabijo za igralca in stanje zadevnega igralca tako, da je za sodelovanje v igri na voljo samo eno stanje igralca.“</w:t>
      </w:r>
    </w:p>
    <w:p w14:paraId="2946A417" w14:textId="77777777" w:rsidR="006E7FC5" w:rsidRPr="00CF2667" w:rsidRDefault="006E7FC5" w:rsidP="006E7FC5">
      <w:pPr>
        <w:spacing w:after="0" w:line="240" w:lineRule="auto"/>
        <w:jc w:val="both"/>
        <w:rPr>
          <w:rFonts w:eastAsia="Calibri"/>
        </w:rPr>
      </w:pPr>
    </w:p>
    <w:p w14:paraId="1611C320" w14:textId="77777777" w:rsidR="005F30D0" w:rsidRPr="00CF2667" w:rsidRDefault="005F30D0" w:rsidP="006E7FC5">
      <w:pPr>
        <w:spacing w:after="0" w:line="240" w:lineRule="auto"/>
        <w:jc w:val="both"/>
        <w:rPr>
          <w:rFonts w:eastAsia="Calibri"/>
        </w:rPr>
      </w:pPr>
      <w:r>
        <w:t>(3) Oddelek 22(4) Izvedbene uredbe se nadomesti z naslednjim:</w:t>
      </w:r>
    </w:p>
    <w:p w14:paraId="42776204" w14:textId="77777777" w:rsidR="005F30D0" w:rsidRPr="00CF2667" w:rsidRDefault="005F30D0" w:rsidP="006E7FC5">
      <w:pPr>
        <w:spacing w:after="0" w:line="240" w:lineRule="auto"/>
        <w:jc w:val="both"/>
        <w:rPr>
          <w:rFonts w:eastAsia="Calibri"/>
        </w:rPr>
      </w:pPr>
    </w:p>
    <w:p w14:paraId="78F8008D" w14:textId="431D0808" w:rsidR="00CE4959" w:rsidRPr="00CF2667" w:rsidRDefault="005F30D0" w:rsidP="00CE4959">
      <w:pPr>
        <w:spacing w:after="0" w:line="240" w:lineRule="auto"/>
        <w:jc w:val="both"/>
      </w:pPr>
      <w:r>
        <w:t xml:space="preserve">„(4) Če organizator ugotovi, da registracija ali evidenca ni primerna iz drugih razlogov zunaj področja uporabe, opredeljenega v točki 1, zlasti zaradi zapoznelega sporočanja sprememb podatkov, sprejme ukrepe za odpravo nepravilnosti. Če je potrebno, organizator pozove igralca, da prispeva k odpravi nepravilnosti, in lahko začasno ukine vsa stanja zadevnega igralca, dokler se nepravilnost ne odpravi. Če nepravilnosti ni mogoče odpraviti v 30 dneh in zato ni mogoče </w:t>
      </w:r>
      <w:r>
        <w:lastRenderedPageBreak/>
        <w:t>zagotoviti igre v skladu z zakonom, organizator ukrepa za zaprtje vseh stanj zadevnega igralca in izključi igralca.“</w:t>
      </w:r>
    </w:p>
    <w:p w14:paraId="5D3A1DE7" w14:textId="77777777" w:rsidR="0018214B" w:rsidRPr="00CF2667" w:rsidRDefault="0018214B" w:rsidP="006E7FC5">
      <w:pPr>
        <w:spacing w:after="0" w:line="240" w:lineRule="auto"/>
        <w:jc w:val="both"/>
      </w:pPr>
    </w:p>
    <w:p w14:paraId="74AA5137" w14:textId="333E8DF3" w:rsidR="0018214B" w:rsidRPr="00CF2667" w:rsidRDefault="0053730E" w:rsidP="00CA1F6D">
      <w:pPr>
        <w:spacing w:after="0" w:line="240" w:lineRule="auto"/>
        <w:jc w:val="center"/>
        <w:rPr>
          <w:rFonts w:eastAsia="Calibri"/>
          <w:b/>
        </w:rPr>
      </w:pPr>
      <w:r>
        <w:rPr>
          <w:b/>
        </w:rPr>
        <w:t>Oddelek 6</w:t>
      </w:r>
    </w:p>
    <w:p w14:paraId="44FAA856" w14:textId="77777777" w:rsidR="00CA1F6D" w:rsidRPr="00CF2667" w:rsidRDefault="00CA1F6D" w:rsidP="006E7FC5">
      <w:pPr>
        <w:spacing w:after="0" w:line="240" w:lineRule="auto"/>
        <w:jc w:val="both"/>
        <w:rPr>
          <w:rFonts w:eastAsia="Calibri"/>
        </w:rPr>
      </w:pPr>
    </w:p>
    <w:p w14:paraId="5F18C0BC" w14:textId="77777777" w:rsidR="00CA1F6D" w:rsidRPr="00CF2667" w:rsidRDefault="0099589C" w:rsidP="00CA1F6D">
      <w:pPr>
        <w:spacing w:after="0" w:line="240" w:lineRule="auto"/>
        <w:jc w:val="both"/>
      </w:pPr>
      <w:r>
        <w:t>(1) Oddelek 25(1) do (4) Izvedbene uredbe se nadomesti z naslednjim:</w:t>
      </w:r>
    </w:p>
    <w:p w14:paraId="53A6CFCD" w14:textId="77777777" w:rsidR="00CA1F6D" w:rsidRPr="00CF2667" w:rsidRDefault="00CA1F6D" w:rsidP="00CA1F6D">
      <w:pPr>
        <w:spacing w:after="0" w:line="240" w:lineRule="auto"/>
        <w:jc w:val="both"/>
      </w:pPr>
    </w:p>
    <w:p w14:paraId="417ECDB4" w14:textId="77777777" w:rsidR="00CA1F6D" w:rsidRDefault="00CA1F6D" w:rsidP="00CA1F6D">
      <w:pPr>
        <w:spacing w:after="0" w:line="240" w:lineRule="auto"/>
        <w:jc w:val="both"/>
      </w:pPr>
      <w:r>
        <w:t xml:space="preserve">„(1) Če ima organizator licenco za prirejanje iger na srečo, ki niso igre na srečo na daljavo, se lahko poravnava in beleženje stav, dobitkov in drugih transakcij v zvezi z igrami na srečo za igralca izvajata na enem ali več skupnih stanjih igralca v zvezi z vsemi igrami, na katere vpliva stanje zadevnega igralca. </w:t>
      </w:r>
    </w:p>
    <w:p w14:paraId="489F5722" w14:textId="77777777" w:rsidR="00BE630A" w:rsidRPr="00CF2667" w:rsidRDefault="00BE630A" w:rsidP="00CA1F6D">
      <w:pPr>
        <w:spacing w:after="0" w:line="240" w:lineRule="auto"/>
        <w:jc w:val="both"/>
        <w:rPr>
          <w:strike/>
        </w:rPr>
      </w:pPr>
    </w:p>
    <w:p w14:paraId="38A65140" w14:textId="77777777" w:rsidR="00CA1F6D" w:rsidRDefault="00CA1F6D" w:rsidP="00CA1F6D">
      <w:pPr>
        <w:spacing w:after="0" w:line="240" w:lineRule="auto"/>
        <w:jc w:val="both"/>
      </w:pPr>
      <w:r>
        <w:t>(2) Organizator lahko določi skupno stanje igralca z uporabo stanja igralca, ki je že na voljo pri organizatorju, ali ločeno od njega.</w:t>
      </w:r>
    </w:p>
    <w:p w14:paraId="23DE9B81" w14:textId="77777777" w:rsidR="00BE630A" w:rsidRPr="00CF2667" w:rsidRDefault="00BE630A" w:rsidP="00CA1F6D">
      <w:pPr>
        <w:spacing w:after="0" w:line="240" w:lineRule="auto"/>
        <w:jc w:val="both"/>
      </w:pPr>
    </w:p>
    <w:p w14:paraId="5F87DC70" w14:textId="01D878ED" w:rsidR="00CA1F6D" w:rsidRDefault="00CA1F6D" w:rsidP="00CA1F6D">
      <w:pPr>
        <w:spacing w:after="0" w:line="240" w:lineRule="auto"/>
        <w:jc w:val="both"/>
      </w:pPr>
      <w:r>
        <w:t>(3) Če se skupno stanje igralca določi z uporabo obstoječega stanja ali ločeno od njega, lahko igralec sodeluje pri igrah na srečo na daljavo, ko so izpolnjene določbe, ki urejajo igre na srečo na daljavo.</w:t>
      </w:r>
    </w:p>
    <w:p w14:paraId="2E0069C6" w14:textId="77777777" w:rsidR="00BE630A" w:rsidRPr="00CF2667" w:rsidRDefault="00BE630A" w:rsidP="00CA1F6D">
      <w:pPr>
        <w:spacing w:after="0" w:line="240" w:lineRule="auto"/>
        <w:jc w:val="both"/>
      </w:pPr>
    </w:p>
    <w:p w14:paraId="7A20ACDF" w14:textId="77777777" w:rsidR="00CA1F6D" w:rsidRPr="00CF2667" w:rsidRDefault="00CA1F6D" w:rsidP="00CA1F6D">
      <w:pPr>
        <w:spacing w:after="0" w:line="240" w:lineRule="auto"/>
        <w:jc w:val="both"/>
      </w:pPr>
      <w:r>
        <w:t>(4) Marža za izplačilo za skupna stanja igralca v skladu z oddelkom 29/H(5) zakona o igrah na srečo mora biti določena tako, da se zagotovijo izplačila v vseh zadevnih igrah.“</w:t>
      </w:r>
    </w:p>
    <w:p w14:paraId="5294CE56" w14:textId="77777777" w:rsidR="0099589C" w:rsidRPr="00CF2667" w:rsidRDefault="0099589C" w:rsidP="00CA1F6D">
      <w:pPr>
        <w:spacing w:after="0" w:line="240" w:lineRule="auto"/>
        <w:jc w:val="both"/>
      </w:pPr>
    </w:p>
    <w:p w14:paraId="31BCA5AA" w14:textId="68A3C0CF" w:rsidR="0099589C" w:rsidRPr="00CF2667" w:rsidRDefault="0099589C" w:rsidP="00CA1F6D">
      <w:pPr>
        <w:spacing w:after="0" w:line="240" w:lineRule="auto"/>
        <w:jc w:val="both"/>
      </w:pPr>
      <w:r>
        <w:t>(2) Oddelek 25(6) in (7) Izvedbene uredbe se nadomesti z naslednjim:</w:t>
      </w:r>
    </w:p>
    <w:p w14:paraId="2D2C3E3B" w14:textId="77777777" w:rsidR="0099589C" w:rsidRPr="00CF2667" w:rsidRDefault="0099589C" w:rsidP="00CA1F6D">
      <w:pPr>
        <w:spacing w:after="0" w:line="240" w:lineRule="auto"/>
        <w:jc w:val="both"/>
      </w:pPr>
    </w:p>
    <w:p w14:paraId="155C1E40" w14:textId="77777777" w:rsidR="00CA1F6D" w:rsidRDefault="0099589C" w:rsidP="00CA1F6D">
      <w:pPr>
        <w:spacing w:after="0" w:line="240" w:lineRule="auto"/>
        <w:jc w:val="both"/>
      </w:pPr>
      <w:r>
        <w:t>„(6) V obdobju začasnega odvzema dovoljenja za igro organizator na skupno stanje igralca prenese vse stroške, dobropise v zvezi s poravnavo igralnih transakcij v igrah, ki niso zadevne igre, ki morajo pripadati skupnemu stanju, in opravi plačila v zvezi s takšnimi igralnimi transakcijami. V zvezi z igro, na katero vpliva začasna prekinitev licence, organizator prenese samo stroške in dobropise za igre pred datumom začasne prekinitve in lahko izvede plačila samo v zvezi s poravnavo transakcij iger na srečo pred datumom začasne prekinitve.</w:t>
      </w:r>
    </w:p>
    <w:p w14:paraId="60E69676" w14:textId="77777777" w:rsidR="00BE630A" w:rsidRPr="00CF2667" w:rsidRDefault="00BE630A" w:rsidP="00CA1F6D">
      <w:pPr>
        <w:spacing w:after="0" w:line="240" w:lineRule="auto"/>
        <w:jc w:val="both"/>
      </w:pPr>
    </w:p>
    <w:p w14:paraId="0A01354D" w14:textId="77777777" w:rsidR="00CA1F6D" w:rsidRPr="00CF2667" w:rsidRDefault="00CA1F6D" w:rsidP="00CA1F6D">
      <w:pPr>
        <w:spacing w:after="0" w:line="240" w:lineRule="auto"/>
        <w:jc w:val="both"/>
      </w:pPr>
      <w:r>
        <w:t>(7) Začasna prekinitev ali ukinitev skupnega stanja igralca s strani organizatorja se šteje za ukrep, ki vpliva na vse igre. V primeru prepovedi na podlagi Uredbe SZTFH o podrobnih pravilih, ki urejajo odgovorno organizacijo iger, organizator v načrtu igre in v pravilih za sodelovanje navede, ali se v primeru resne kršitve pogodbe stanje igralca in možnost dostopa do iger ukineta za vse zadevne igre.“</w:t>
      </w:r>
    </w:p>
    <w:p w14:paraId="6B66795A" w14:textId="77777777" w:rsidR="00672BEF" w:rsidRPr="00CF2667" w:rsidRDefault="00672BEF" w:rsidP="00CA1F6D">
      <w:pPr>
        <w:spacing w:after="0" w:line="240" w:lineRule="auto"/>
        <w:jc w:val="both"/>
      </w:pPr>
    </w:p>
    <w:p w14:paraId="554A5C3E" w14:textId="6D28C58D" w:rsidR="00672BEF" w:rsidRPr="00CF2667" w:rsidRDefault="0053730E" w:rsidP="008902D0">
      <w:pPr>
        <w:keepNext/>
        <w:keepLines/>
        <w:spacing w:after="0" w:line="240" w:lineRule="auto"/>
        <w:jc w:val="center"/>
        <w:rPr>
          <w:rFonts w:eastAsia="Calibri"/>
          <w:b/>
        </w:rPr>
      </w:pPr>
      <w:r>
        <w:rPr>
          <w:b/>
        </w:rPr>
        <w:t>Oddelek 7</w:t>
      </w:r>
    </w:p>
    <w:p w14:paraId="20C19BC1" w14:textId="77777777" w:rsidR="005A6F45" w:rsidRPr="00CF2667" w:rsidRDefault="005A6F45" w:rsidP="008902D0">
      <w:pPr>
        <w:keepNext/>
        <w:keepLines/>
        <w:spacing w:after="0"/>
        <w:rPr>
          <w:b/>
        </w:rPr>
      </w:pPr>
    </w:p>
    <w:p w14:paraId="3E80FDCD" w14:textId="502FA8D5" w:rsidR="005A6F45" w:rsidRPr="00CF2667" w:rsidRDefault="005A6F45" w:rsidP="00D007AF">
      <w:pPr>
        <w:spacing w:after="0"/>
        <w:jc w:val="both"/>
      </w:pPr>
      <w:r>
        <w:t>Oddelek 26(2) in (3) Izvedbene uredbe se nadomesti z naslednjim:</w:t>
      </w:r>
    </w:p>
    <w:p w14:paraId="75956E45" w14:textId="77777777" w:rsidR="005A6F45" w:rsidRPr="00CF2667" w:rsidRDefault="005A6F45" w:rsidP="005A6F45">
      <w:pPr>
        <w:spacing w:after="0" w:line="240" w:lineRule="auto"/>
        <w:jc w:val="both"/>
      </w:pPr>
    </w:p>
    <w:p w14:paraId="00B4543E" w14:textId="4F6CE1E6" w:rsidR="005A6F45" w:rsidRDefault="005A6F45" w:rsidP="005A6F45">
      <w:pPr>
        <w:spacing w:after="0" w:line="240" w:lineRule="auto"/>
        <w:jc w:val="both"/>
      </w:pPr>
      <w:r>
        <w:t>„(2) Organizator lahko iz drugih razlogov, navedenih v načrtu igre in pravilih za sodelovanje, zlasti v primeru kršitve pravil za sodelovanje v igri, začasno ukine stanje igralca, ki pripada tej igri, ali celo vsako stanje igralca.</w:t>
      </w:r>
    </w:p>
    <w:p w14:paraId="09271C4A" w14:textId="77777777" w:rsidR="00BE630A" w:rsidRPr="00CF2667" w:rsidRDefault="00BE630A" w:rsidP="005A6F45">
      <w:pPr>
        <w:spacing w:after="0" w:line="240" w:lineRule="auto"/>
        <w:jc w:val="both"/>
      </w:pPr>
    </w:p>
    <w:p w14:paraId="211075B7" w14:textId="77777777" w:rsidR="005A6F45" w:rsidRPr="00CF2667" w:rsidRDefault="005A6F45" w:rsidP="005A6F45">
      <w:pPr>
        <w:spacing w:after="0" w:line="240" w:lineRule="auto"/>
        <w:jc w:val="both"/>
      </w:pPr>
      <w:r>
        <w:t>(3) Organizator igralca po elektronski pošti nemudoma obvesti o dejstvu, datumu in razlogu začasne ukinitve stanja ali stanj igralca ali o dejstvu in datumu prenehanja začasne ukinitve.“</w:t>
      </w:r>
    </w:p>
    <w:p w14:paraId="0F80A0E3" w14:textId="77777777" w:rsidR="00672BEF" w:rsidRPr="00CF2667" w:rsidRDefault="00672BEF" w:rsidP="00CA1F6D">
      <w:pPr>
        <w:spacing w:after="0" w:line="240" w:lineRule="auto"/>
        <w:jc w:val="both"/>
      </w:pPr>
    </w:p>
    <w:p w14:paraId="54A8D44E" w14:textId="1F230B53" w:rsidR="00CA1F6D" w:rsidRPr="00CF2667" w:rsidRDefault="006A2019" w:rsidP="00883ECB">
      <w:pPr>
        <w:spacing w:after="0" w:line="240" w:lineRule="auto"/>
        <w:jc w:val="center"/>
        <w:rPr>
          <w:rFonts w:eastAsia="Calibri"/>
          <w:b/>
        </w:rPr>
      </w:pPr>
      <w:r>
        <w:rPr>
          <w:b/>
        </w:rPr>
        <w:t>Oddelek 8</w:t>
      </w:r>
    </w:p>
    <w:p w14:paraId="6BE5A07E" w14:textId="77777777" w:rsidR="00CA1F6D" w:rsidRPr="00CF2667" w:rsidRDefault="00CA1F6D" w:rsidP="006E7FC5">
      <w:pPr>
        <w:spacing w:after="0" w:line="240" w:lineRule="auto"/>
        <w:jc w:val="both"/>
        <w:rPr>
          <w:rFonts w:eastAsia="Calibri"/>
        </w:rPr>
      </w:pPr>
    </w:p>
    <w:p w14:paraId="634AF65C" w14:textId="77777777" w:rsidR="00883ECB" w:rsidRPr="00CF2667" w:rsidRDefault="00883ECB" w:rsidP="00883ECB">
      <w:pPr>
        <w:spacing w:after="0" w:line="240" w:lineRule="auto"/>
        <w:jc w:val="both"/>
      </w:pPr>
      <w:r>
        <w:lastRenderedPageBreak/>
        <w:t>Oddelek 29(3) Izvedbene uredbe se nadomesti z naslednjim:</w:t>
      </w:r>
    </w:p>
    <w:p w14:paraId="4DDA198A" w14:textId="77777777" w:rsidR="00883ECB" w:rsidRPr="00CF2667" w:rsidRDefault="00883ECB" w:rsidP="00883ECB">
      <w:pPr>
        <w:spacing w:after="0" w:line="240" w:lineRule="auto"/>
        <w:jc w:val="both"/>
      </w:pPr>
    </w:p>
    <w:p w14:paraId="43128F1C" w14:textId="71C5936B" w:rsidR="00883ECB" w:rsidRPr="00CF2667" w:rsidRDefault="00883ECB" w:rsidP="00883ECB">
      <w:pPr>
        <w:spacing w:after="0" w:line="240" w:lineRule="auto"/>
        <w:jc w:val="both"/>
      </w:pPr>
      <w:r>
        <w:t>„(3) V primeru skupnega stanja igralca lahko igralec darilni bonus in posebno bonusno ponudbo uporabi kot stave za namene iger na srečo v tem stanju igralca, pod pogojem, da organizator to obračuna na enak način, kot je opredeljen v odobrenih načrtih iger.“</w:t>
      </w:r>
    </w:p>
    <w:p w14:paraId="3A09060E" w14:textId="77777777" w:rsidR="00883ECB" w:rsidRPr="00CF2667" w:rsidRDefault="00883ECB" w:rsidP="006E7FC5">
      <w:pPr>
        <w:spacing w:after="0" w:line="240" w:lineRule="auto"/>
        <w:jc w:val="both"/>
        <w:rPr>
          <w:rFonts w:eastAsia="Calibri"/>
        </w:rPr>
      </w:pPr>
    </w:p>
    <w:p w14:paraId="073A1B9C" w14:textId="1E762FAB" w:rsidR="00883ECB" w:rsidRPr="00CF2667" w:rsidRDefault="006A2019" w:rsidP="00BE416C">
      <w:pPr>
        <w:spacing w:after="0" w:line="240" w:lineRule="auto"/>
        <w:jc w:val="center"/>
        <w:rPr>
          <w:rFonts w:eastAsia="Calibri"/>
          <w:b/>
        </w:rPr>
      </w:pPr>
      <w:r>
        <w:rPr>
          <w:b/>
        </w:rPr>
        <w:t>Oddelek 9</w:t>
      </w:r>
    </w:p>
    <w:p w14:paraId="5B41DEF3" w14:textId="77777777" w:rsidR="00BE416C" w:rsidRPr="00CF2667" w:rsidRDefault="00BE416C" w:rsidP="00BE416C">
      <w:pPr>
        <w:spacing w:after="0" w:line="240" w:lineRule="auto"/>
        <w:jc w:val="both"/>
        <w:rPr>
          <w:rFonts w:eastAsia="Calibri"/>
          <w:b/>
        </w:rPr>
      </w:pPr>
    </w:p>
    <w:p w14:paraId="091301B9" w14:textId="77777777" w:rsidR="00BE416C" w:rsidRPr="00CF2667" w:rsidRDefault="00BE416C" w:rsidP="00BE416C">
      <w:pPr>
        <w:spacing w:after="0" w:line="240" w:lineRule="auto"/>
        <w:jc w:val="both"/>
      </w:pPr>
      <w:r>
        <w:t>Oddelek 32(2) Izvedbene uredbe se nadomesti z naslednjim:</w:t>
      </w:r>
    </w:p>
    <w:p w14:paraId="3935C9D5" w14:textId="77777777" w:rsidR="00BE416C" w:rsidRPr="00CF2667" w:rsidRDefault="00BE416C" w:rsidP="00BE416C">
      <w:pPr>
        <w:spacing w:after="0" w:line="240" w:lineRule="auto"/>
        <w:jc w:val="both"/>
      </w:pPr>
    </w:p>
    <w:p w14:paraId="5F8CCFFC" w14:textId="77777777" w:rsidR="00BE416C" w:rsidRPr="00CF2667" w:rsidRDefault="00BE416C" w:rsidP="00BE416C">
      <w:pPr>
        <w:spacing w:after="0" w:line="240" w:lineRule="auto"/>
        <w:jc w:val="both"/>
      </w:pPr>
      <w:r>
        <w:t>„(2) V primeru več skupnih stanj igralca iz oddelka 25(1) se v zvezi z zadevnim skupnim stanjem igralca zagotovijo podatki, navedeni v klavzuli I(a) do (d), (i) do (l) in (n) Priloge 3.</w:t>
      </w:r>
    </w:p>
    <w:p w14:paraId="3C2DC92C" w14:textId="77777777" w:rsidR="00EF1F0E" w:rsidRPr="00CF2667" w:rsidRDefault="00EF1F0E" w:rsidP="00D831E3">
      <w:pPr>
        <w:spacing w:after="0" w:line="240" w:lineRule="auto"/>
        <w:jc w:val="center"/>
        <w:rPr>
          <w:rFonts w:eastAsia="Calibri"/>
          <w:b/>
        </w:rPr>
      </w:pPr>
    </w:p>
    <w:p w14:paraId="3368B22F" w14:textId="77777777" w:rsidR="00CC2AA8" w:rsidRPr="00CF2667" w:rsidRDefault="00CC2AA8" w:rsidP="009B4363">
      <w:pPr>
        <w:spacing w:after="0"/>
        <w:jc w:val="both"/>
      </w:pPr>
    </w:p>
    <w:p w14:paraId="5288889E" w14:textId="005DDDB9" w:rsidR="00BE416C" w:rsidRPr="00CF2667" w:rsidRDefault="00D831E3" w:rsidP="00BE416C">
      <w:pPr>
        <w:spacing w:after="0" w:line="240" w:lineRule="auto"/>
        <w:jc w:val="center"/>
        <w:rPr>
          <w:rFonts w:eastAsia="Calibri"/>
          <w:b/>
        </w:rPr>
      </w:pPr>
      <w:r>
        <w:rPr>
          <w:b/>
        </w:rPr>
        <w:t>Oddelek 10</w:t>
      </w:r>
    </w:p>
    <w:p w14:paraId="5AEE038B" w14:textId="77777777" w:rsidR="00883ECB" w:rsidRPr="00CF2667" w:rsidRDefault="00883ECB" w:rsidP="006E7FC5">
      <w:pPr>
        <w:spacing w:after="0" w:line="240" w:lineRule="auto"/>
        <w:jc w:val="both"/>
        <w:rPr>
          <w:rFonts w:eastAsia="Calibri"/>
        </w:rPr>
      </w:pPr>
    </w:p>
    <w:p w14:paraId="780AC5C8" w14:textId="77777777" w:rsidR="00BE416C" w:rsidRDefault="00BE416C" w:rsidP="00BE416C">
      <w:r>
        <w:t>Oddelek 76(5) Izvedbene uredbe se nadomesti z naslednjim:</w:t>
      </w:r>
    </w:p>
    <w:p w14:paraId="7CCD7B57" w14:textId="4704AFFB" w:rsidR="00D87DB3" w:rsidRPr="00B404C3" w:rsidRDefault="00D87DB3" w:rsidP="00BE416C">
      <w:pPr>
        <w:rPr>
          <w:i/>
        </w:rPr>
      </w:pPr>
      <w:r>
        <w:rPr>
          <w:i/>
        </w:rPr>
        <w:t>(Za namene te uredbe)</w:t>
      </w:r>
    </w:p>
    <w:p w14:paraId="50528523" w14:textId="77777777" w:rsidR="00BE416C" w:rsidRPr="00CF2667" w:rsidRDefault="00BE416C" w:rsidP="00BE416C">
      <w:pPr>
        <w:spacing w:after="0" w:line="240" w:lineRule="auto"/>
        <w:jc w:val="both"/>
      </w:pPr>
      <w:r>
        <w:t xml:space="preserve">„5. </w:t>
      </w:r>
      <w:r>
        <w:rPr>
          <w:i/>
        </w:rPr>
        <w:t>skupno stanje igralca:</w:t>
      </w:r>
      <w:r>
        <w:t xml:space="preserve"> je stanje igralca, ki ga vodi organizator (ki je pooblaščen za prirejanje več vrst iger na srečo) za namene obračunavanja in evidentiranja stav, dobitkov in drugih igralnih transakcij v zvezi z zadevnimi igrami.“</w:t>
      </w:r>
    </w:p>
    <w:p w14:paraId="08CA76BF" w14:textId="77777777" w:rsidR="006E7FC5" w:rsidRPr="00CF2667" w:rsidRDefault="006E7FC5" w:rsidP="006E7FC5">
      <w:pPr>
        <w:spacing w:after="0" w:line="240" w:lineRule="auto"/>
        <w:jc w:val="both"/>
        <w:rPr>
          <w:rFonts w:eastAsia="Calibri"/>
        </w:rPr>
      </w:pPr>
    </w:p>
    <w:p w14:paraId="1A64D24D" w14:textId="6112EEA4" w:rsidR="004B77C9" w:rsidRPr="00CF2667" w:rsidRDefault="004B77C9" w:rsidP="006E7FC5">
      <w:pPr>
        <w:spacing w:after="0" w:line="240" w:lineRule="auto"/>
        <w:jc w:val="both"/>
        <w:rPr>
          <w:rFonts w:eastAsia="Calibri"/>
        </w:rPr>
      </w:pPr>
    </w:p>
    <w:p w14:paraId="28E48A86" w14:textId="77777777" w:rsidR="00024F51" w:rsidRPr="00CF2667" w:rsidRDefault="00024F51" w:rsidP="00D851ED">
      <w:pPr>
        <w:spacing w:after="0" w:line="240" w:lineRule="auto"/>
        <w:jc w:val="center"/>
        <w:rPr>
          <w:rFonts w:eastAsia="Calibri"/>
          <w:b/>
        </w:rPr>
      </w:pPr>
    </w:p>
    <w:p w14:paraId="62A2F325" w14:textId="299A9708" w:rsidR="00024F51" w:rsidRDefault="00B8585F" w:rsidP="00D851ED">
      <w:pPr>
        <w:spacing w:after="0" w:line="240" w:lineRule="auto"/>
        <w:jc w:val="center"/>
        <w:rPr>
          <w:rFonts w:eastAsia="Calibri"/>
          <w:b/>
        </w:rPr>
      </w:pPr>
      <w:r>
        <w:rPr>
          <w:b/>
        </w:rPr>
        <w:t>Oddelek 11</w:t>
      </w:r>
    </w:p>
    <w:p w14:paraId="2AA0E041" w14:textId="77777777" w:rsidR="00B8585F" w:rsidRDefault="00B8585F" w:rsidP="00D851ED">
      <w:pPr>
        <w:spacing w:after="0" w:line="240" w:lineRule="auto"/>
        <w:jc w:val="center"/>
        <w:rPr>
          <w:rFonts w:eastAsia="Calibri"/>
          <w:b/>
        </w:rPr>
      </w:pPr>
    </w:p>
    <w:p w14:paraId="284227C6" w14:textId="77777777" w:rsidR="00B8585F" w:rsidRDefault="00B8585F" w:rsidP="00B8585F">
      <w:pPr>
        <w:spacing w:after="0" w:line="240" w:lineRule="auto"/>
        <w:jc w:val="both"/>
        <w:rPr>
          <w:rFonts w:eastAsia="Calibri"/>
        </w:rPr>
      </w:pPr>
      <w:r>
        <w:t>V poglavju XI Izvedbene uredbe se doda nov oddelek 79, ki se glasi:</w:t>
      </w:r>
    </w:p>
    <w:p w14:paraId="0CFCA622" w14:textId="77777777" w:rsidR="00B8585F" w:rsidRDefault="00B8585F" w:rsidP="00B8585F">
      <w:pPr>
        <w:spacing w:after="0" w:line="240" w:lineRule="auto"/>
        <w:jc w:val="both"/>
        <w:rPr>
          <w:rFonts w:eastAsia="Calibri"/>
          <w:b/>
        </w:rPr>
      </w:pPr>
    </w:p>
    <w:p w14:paraId="537E199A" w14:textId="5CD65CEE" w:rsidR="00B8585F" w:rsidRPr="003B294C" w:rsidRDefault="00B8585F" w:rsidP="00B8585F">
      <w:pPr>
        <w:spacing w:after="0" w:line="240" w:lineRule="auto"/>
        <w:jc w:val="both"/>
        <w:rPr>
          <w:rFonts w:eastAsia="Calibri"/>
        </w:rPr>
      </w:pPr>
      <w:r>
        <w:t>„Oddelek 79 Osnutek določb te uredbe, določen z Uredbo SZTFH št. .../2023 (......) o spremembi Uredbe SZTFH št. 20/2021 z dne 29. oktobra 2021 o izvajanju nalog v zvezi z izdajanjem dovoljenj, upravljanjem in spremljanjem nekaterih vrst iger na srečo, in sicer oddelek 2/A, oddelek 13(3), (10) in (11), postavka 7/A, oddelek 16/F, oddelek 22(1), oddelek 22(2) in (4), oddelek 25(1) do (4), (6) in (7), oddelek 26(2) in (3), oddelek 29(3), oddelek 32(2), oddelek 76(5) in klavzula C(1) Priloge 2 so bili vnaprej priglašeni v skladu s členi 5 do 7 Direktive (EU) 2015/1535 Evropskega parlamenta in Sveta z dne 9. septembra 2015 o določitvi postopka za zbiranje informacij na področju tehničnih predpisov in pravil za storitve informacijske družbe.“</w:t>
      </w:r>
    </w:p>
    <w:p w14:paraId="78C7E8FD" w14:textId="77777777" w:rsidR="00B8585F" w:rsidRPr="00CF2667" w:rsidRDefault="00B8585F" w:rsidP="00D851ED">
      <w:pPr>
        <w:spacing w:after="0" w:line="240" w:lineRule="auto"/>
        <w:jc w:val="center"/>
        <w:rPr>
          <w:rFonts w:eastAsia="Calibri"/>
          <w:b/>
        </w:rPr>
      </w:pPr>
    </w:p>
    <w:p w14:paraId="2056C2B0" w14:textId="77777777" w:rsidR="00024F51" w:rsidRPr="00CF2667" w:rsidRDefault="00024F51" w:rsidP="00D851ED">
      <w:pPr>
        <w:spacing w:after="0" w:line="240" w:lineRule="auto"/>
        <w:jc w:val="center"/>
        <w:rPr>
          <w:rFonts w:eastAsia="Calibri"/>
          <w:b/>
        </w:rPr>
      </w:pPr>
    </w:p>
    <w:p w14:paraId="115BBCEA" w14:textId="2E59E0DF" w:rsidR="00B8585F" w:rsidRPr="00CF2667" w:rsidRDefault="00D831E3" w:rsidP="00B8585F">
      <w:pPr>
        <w:spacing w:after="0" w:line="240" w:lineRule="auto"/>
        <w:jc w:val="center"/>
        <w:rPr>
          <w:rFonts w:eastAsia="Calibri"/>
          <w:b/>
        </w:rPr>
      </w:pPr>
      <w:r>
        <w:rPr>
          <w:b/>
        </w:rPr>
        <w:t>Oddelek 12</w:t>
      </w:r>
    </w:p>
    <w:p w14:paraId="7508A6B6" w14:textId="77777777" w:rsidR="006E7FC5" w:rsidRPr="00CF2667" w:rsidRDefault="006E7FC5" w:rsidP="006E7FC5">
      <w:pPr>
        <w:spacing w:after="0" w:line="240" w:lineRule="auto"/>
        <w:jc w:val="both"/>
        <w:rPr>
          <w:rFonts w:eastAsia="Calibri"/>
        </w:rPr>
      </w:pPr>
    </w:p>
    <w:p w14:paraId="67F085A2" w14:textId="718B856E" w:rsidR="00173F50" w:rsidRPr="00CF2667" w:rsidRDefault="00CB7CD2" w:rsidP="006E7FC5">
      <w:pPr>
        <w:spacing w:after="0" w:line="240" w:lineRule="auto"/>
        <w:jc w:val="both"/>
        <w:rPr>
          <w:rFonts w:eastAsia="Calibri"/>
        </w:rPr>
      </w:pPr>
      <w:r>
        <w:t xml:space="preserve">V Izvedbeni uredbi, </w:t>
      </w:r>
    </w:p>
    <w:p w14:paraId="1AD1CF86" w14:textId="6E94142C" w:rsidR="00A52272" w:rsidRPr="00CF2667" w:rsidRDefault="00F63205" w:rsidP="006E7FC5">
      <w:pPr>
        <w:spacing w:after="0" w:line="240" w:lineRule="auto"/>
        <w:jc w:val="both"/>
        <w:rPr>
          <w:rFonts w:eastAsia="Calibri"/>
        </w:rPr>
      </w:pPr>
      <w:r>
        <w:t>(a) v oddelku 22(1) se besedilo „stanje igralca“ nadomesti z besedilom „vsa zadevna stanja igralca“,</w:t>
      </w:r>
    </w:p>
    <w:p w14:paraId="0E38F8A0" w14:textId="10A0D320" w:rsidR="00F63205" w:rsidRPr="008D4778" w:rsidRDefault="00F63205" w:rsidP="00F63205">
      <w:pPr>
        <w:spacing w:after="0" w:line="240" w:lineRule="auto"/>
        <w:jc w:val="both"/>
        <w:rPr>
          <w:rFonts w:eastAsia="Calibri"/>
        </w:rPr>
      </w:pPr>
      <w:r>
        <w:t>(b) v klavzuli C(1) Priloge 2 se besedilo „za skupno stanje igralca“ nadomesti z besedilom „za zadevno skupno stanje igralca“.</w:t>
      </w:r>
    </w:p>
    <w:p w14:paraId="3DF148E3" w14:textId="77777777" w:rsidR="00BF5C0C" w:rsidRPr="00CF2667" w:rsidRDefault="00BF5C0C" w:rsidP="006E7FC5">
      <w:pPr>
        <w:spacing w:after="0" w:line="240" w:lineRule="auto"/>
        <w:jc w:val="both"/>
        <w:rPr>
          <w:rFonts w:eastAsia="Calibri"/>
        </w:rPr>
      </w:pPr>
    </w:p>
    <w:p w14:paraId="264E9D44" w14:textId="77777777" w:rsidR="00CC2AA8" w:rsidRPr="00CF2667" w:rsidRDefault="00CC2AA8" w:rsidP="006E7FC5">
      <w:pPr>
        <w:spacing w:after="0" w:line="240" w:lineRule="auto"/>
        <w:jc w:val="both"/>
        <w:rPr>
          <w:rFonts w:eastAsia="Calibri"/>
        </w:rPr>
      </w:pPr>
    </w:p>
    <w:p w14:paraId="1B62B26B" w14:textId="77777777" w:rsidR="00A52272" w:rsidRPr="00CF2667" w:rsidRDefault="00A52272" w:rsidP="006E7FC5">
      <w:pPr>
        <w:spacing w:after="0" w:line="240" w:lineRule="auto"/>
        <w:jc w:val="both"/>
        <w:rPr>
          <w:rFonts w:eastAsia="Calibri"/>
        </w:rPr>
      </w:pPr>
    </w:p>
    <w:p w14:paraId="34636380" w14:textId="61602DFD" w:rsidR="00421C27" w:rsidRPr="00CF2667" w:rsidRDefault="00D831E3" w:rsidP="00421C27">
      <w:pPr>
        <w:spacing w:after="0" w:line="240" w:lineRule="auto"/>
        <w:jc w:val="center"/>
        <w:rPr>
          <w:rFonts w:eastAsia="Calibri"/>
          <w:b/>
        </w:rPr>
      </w:pPr>
      <w:r>
        <w:rPr>
          <w:b/>
        </w:rPr>
        <w:lastRenderedPageBreak/>
        <w:t>Oddelek 13</w:t>
      </w:r>
    </w:p>
    <w:p w14:paraId="63ECFAEB" w14:textId="45A2EF41" w:rsidR="00BF5C0C" w:rsidRPr="00CF2667" w:rsidRDefault="00BF5C0C" w:rsidP="006E7FC5">
      <w:pPr>
        <w:spacing w:after="0" w:line="240" w:lineRule="auto"/>
        <w:jc w:val="both"/>
        <w:rPr>
          <w:rFonts w:eastAsia="Calibri"/>
        </w:rPr>
      </w:pPr>
    </w:p>
    <w:p w14:paraId="1562E5E9" w14:textId="77777777" w:rsidR="00C9669B" w:rsidRPr="00CF2667" w:rsidRDefault="00D851ED" w:rsidP="006E7FC5">
      <w:pPr>
        <w:spacing w:after="0" w:line="240" w:lineRule="auto"/>
        <w:jc w:val="both"/>
        <w:rPr>
          <w:rFonts w:eastAsia="Calibri"/>
        </w:rPr>
      </w:pPr>
      <w:r>
        <w:t>Razveljavijo se naslednje določbe Izvedbene uredbe:</w:t>
      </w:r>
    </w:p>
    <w:p w14:paraId="0E1ADBA3" w14:textId="77777777" w:rsidR="00BF5C0C" w:rsidRPr="00CF2667" w:rsidRDefault="00BF5C0C" w:rsidP="006E7FC5">
      <w:pPr>
        <w:spacing w:after="0" w:line="240" w:lineRule="auto"/>
        <w:jc w:val="both"/>
        <w:rPr>
          <w:rFonts w:eastAsia="Calibri"/>
        </w:rPr>
      </w:pPr>
    </w:p>
    <w:p w14:paraId="3768B456" w14:textId="77777777" w:rsidR="00C9669B" w:rsidRPr="00CF2667" w:rsidRDefault="00C9669B" w:rsidP="006E7FC5">
      <w:pPr>
        <w:spacing w:after="0" w:line="240" w:lineRule="auto"/>
        <w:jc w:val="both"/>
        <w:rPr>
          <w:rFonts w:eastAsia="Calibri"/>
        </w:rPr>
      </w:pPr>
      <w:r>
        <w:t>(a) oddelek 11(2),</w:t>
      </w:r>
    </w:p>
    <w:p w14:paraId="46DB22F4" w14:textId="77777777" w:rsidR="00D851ED" w:rsidRPr="00CF2667" w:rsidRDefault="00C9669B" w:rsidP="006E7FC5">
      <w:pPr>
        <w:spacing w:after="0" w:line="240" w:lineRule="auto"/>
        <w:jc w:val="both"/>
        <w:rPr>
          <w:rFonts w:eastAsia="Calibri"/>
        </w:rPr>
      </w:pPr>
      <w:r>
        <w:t>(b) oddelek 76(1).</w:t>
      </w:r>
    </w:p>
    <w:p w14:paraId="5FD8D111" w14:textId="77777777" w:rsidR="006D702B" w:rsidRPr="00CF2667" w:rsidRDefault="006D702B" w:rsidP="006E7FC5">
      <w:pPr>
        <w:spacing w:after="0" w:line="240" w:lineRule="auto"/>
        <w:jc w:val="both"/>
        <w:rPr>
          <w:rFonts w:eastAsia="Calibri"/>
        </w:rPr>
      </w:pPr>
    </w:p>
    <w:p w14:paraId="1BD95EA2" w14:textId="41D12212" w:rsidR="00BF5C0C" w:rsidRPr="00CF2667" w:rsidRDefault="00BF5C0C" w:rsidP="00CF2667">
      <w:pPr>
        <w:spacing w:after="0" w:line="240" w:lineRule="auto"/>
        <w:jc w:val="center"/>
        <w:rPr>
          <w:rFonts w:eastAsia="Calibri"/>
          <w:b/>
        </w:rPr>
      </w:pPr>
      <w:r>
        <w:rPr>
          <w:b/>
        </w:rPr>
        <w:t>Oddelek 14</w:t>
      </w:r>
    </w:p>
    <w:p w14:paraId="7D101E13" w14:textId="173FDD3E" w:rsidR="00BF5C0C" w:rsidRPr="00CF2667" w:rsidRDefault="00BF5C0C" w:rsidP="006E7FC5">
      <w:pPr>
        <w:spacing w:after="0" w:line="240" w:lineRule="auto"/>
        <w:jc w:val="both"/>
        <w:rPr>
          <w:rFonts w:eastAsia="Calibri"/>
        </w:rPr>
      </w:pPr>
    </w:p>
    <w:p w14:paraId="6E5ECC11" w14:textId="77777777" w:rsidR="006D702B" w:rsidRPr="00CF2667" w:rsidRDefault="006D702B" w:rsidP="006E7FC5">
      <w:pPr>
        <w:spacing w:after="0" w:line="240" w:lineRule="auto"/>
        <w:jc w:val="both"/>
        <w:rPr>
          <w:rFonts w:eastAsia="Calibri"/>
        </w:rPr>
      </w:pPr>
      <w:r>
        <w:t>Ta uredba začne veljati dne ...... 2023.</w:t>
      </w:r>
    </w:p>
    <w:p w14:paraId="45C78A1B" w14:textId="77777777" w:rsidR="006D702B" w:rsidRPr="00CF2667" w:rsidRDefault="006D702B" w:rsidP="006E7FC5">
      <w:pPr>
        <w:spacing w:after="0" w:line="240" w:lineRule="auto"/>
        <w:jc w:val="center"/>
        <w:rPr>
          <w:rFonts w:eastAsia="Calibri"/>
          <w:b/>
        </w:rPr>
      </w:pPr>
    </w:p>
    <w:p w14:paraId="130A173C" w14:textId="0F14DA3E" w:rsidR="006E7FC5" w:rsidRPr="00CF2667" w:rsidRDefault="00BF5C0C" w:rsidP="006E7FC5">
      <w:pPr>
        <w:jc w:val="center"/>
        <w:rPr>
          <w:rFonts w:eastAsia="Calibri"/>
          <w:b/>
        </w:rPr>
      </w:pPr>
      <w:r>
        <w:rPr>
          <w:b/>
        </w:rPr>
        <w:t>Oddelek 15</w:t>
      </w:r>
    </w:p>
    <w:p w14:paraId="052A2215" w14:textId="79C4090E" w:rsidR="006E7FC5" w:rsidRPr="00CF2667" w:rsidRDefault="00D669AC" w:rsidP="006E7FC5">
      <w:pPr>
        <w:jc w:val="both"/>
        <w:rPr>
          <w:rFonts w:eastAsia="Calibri"/>
        </w:rPr>
      </w:pPr>
      <w:r>
        <w:t>Zahteva po predhodni priglasitvi tega osnutka uredbe, določena v členih 5 do 7 Direktive (EU) 2015/1535 Evropskega parlamenta in Sveta z dne 9. septembra 2015 o določitvi postopka za zbiranje informacij na področju tehničnih predpisov in pravil za storitve informacijske družbe, je bila izpolnjena.</w:t>
      </w:r>
    </w:p>
    <w:p w14:paraId="3C6A2578" w14:textId="77777777" w:rsidR="007F34EE" w:rsidRPr="00CF2667" w:rsidRDefault="006E7FC5" w:rsidP="007F34EE">
      <w:pPr>
        <w:jc w:val="center"/>
        <w:rPr>
          <w:rFonts w:eastAsia="Calibri"/>
        </w:rPr>
      </w:pPr>
      <w:r>
        <w:t xml:space="preserve">   </w:t>
      </w:r>
    </w:p>
    <w:p w14:paraId="7E631094" w14:textId="5CD1C4E6" w:rsidR="006E7FC5" w:rsidRPr="00F135C5" w:rsidRDefault="006E7FC5" w:rsidP="00F135C5">
      <w:pPr>
        <w:rPr>
          <w:rFonts w:eastAsia="Calibri"/>
          <w:b/>
          <w:bCs/>
        </w:rPr>
      </w:pPr>
    </w:p>
    <w:sectPr w:rsidR="006E7FC5" w:rsidRPr="00F135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D2167"/>
    <w:multiLevelType w:val="hybridMultilevel"/>
    <w:tmpl w:val="0078767E"/>
    <w:lvl w:ilvl="0" w:tplc="A63243D0">
      <w:start w:val="8"/>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747456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FC5"/>
    <w:rsid w:val="0001079C"/>
    <w:rsid w:val="00012DCD"/>
    <w:rsid w:val="00024F51"/>
    <w:rsid w:val="00041F7B"/>
    <w:rsid w:val="0009293C"/>
    <w:rsid w:val="000A7196"/>
    <w:rsid w:val="000B3671"/>
    <w:rsid w:val="000E02F3"/>
    <w:rsid w:val="000F2AD6"/>
    <w:rsid w:val="001052C1"/>
    <w:rsid w:val="00127FAE"/>
    <w:rsid w:val="0015599C"/>
    <w:rsid w:val="0016206A"/>
    <w:rsid w:val="00173F50"/>
    <w:rsid w:val="00181F7A"/>
    <w:rsid w:val="0018214B"/>
    <w:rsid w:val="00193CE0"/>
    <w:rsid w:val="0020391A"/>
    <w:rsid w:val="00203C3F"/>
    <w:rsid w:val="00206AC5"/>
    <w:rsid w:val="0021203C"/>
    <w:rsid w:val="00212B64"/>
    <w:rsid w:val="0023017A"/>
    <w:rsid w:val="00234A70"/>
    <w:rsid w:val="002572BC"/>
    <w:rsid w:val="002662A1"/>
    <w:rsid w:val="002A7C40"/>
    <w:rsid w:val="00334106"/>
    <w:rsid w:val="003A5B78"/>
    <w:rsid w:val="003A78F0"/>
    <w:rsid w:val="003D5B7A"/>
    <w:rsid w:val="00421C27"/>
    <w:rsid w:val="00431B0E"/>
    <w:rsid w:val="00444CCE"/>
    <w:rsid w:val="00447FE9"/>
    <w:rsid w:val="00460640"/>
    <w:rsid w:val="0047373B"/>
    <w:rsid w:val="00482857"/>
    <w:rsid w:val="00497BD3"/>
    <w:rsid w:val="004B777D"/>
    <w:rsid w:val="004B77C9"/>
    <w:rsid w:val="005034BC"/>
    <w:rsid w:val="00517308"/>
    <w:rsid w:val="00521538"/>
    <w:rsid w:val="00526197"/>
    <w:rsid w:val="0053730E"/>
    <w:rsid w:val="00591010"/>
    <w:rsid w:val="005A5938"/>
    <w:rsid w:val="005A6F45"/>
    <w:rsid w:val="005C402F"/>
    <w:rsid w:val="005D223D"/>
    <w:rsid w:val="005E07CA"/>
    <w:rsid w:val="005F0267"/>
    <w:rsid w:val="005F0F64"/>
    <w:rsid w:val="005F30D0"/>
    <w:rsid w:val="005F7926"/>
    <w:rsid w:val="00605AC6"/>
    <w:rsid w:val="00632E1B"/>
    <w:rsid w:val="00634997"/>
    <w:rsid w:val="00655C54"/>
    <w:rsid w:val="00667115"/>
    <w:rsid w:val="00672BEF"/>
    <w:rsid w:val="006A0AD9"/>
    <w:rsid w:val="006A2019"/>
    <w:rsid w:val="006D702B"/>
    <w:rsid w:val="006E7FC5"/>
    <w:rsid w:val="0070150D"/>
    <w:rsid w:val="007176D9"/>
    <w:rsid w:val="00723037"/>
    <w:rsid w:val="00743DA6"/>
    <w:rsid w:val="0076793D"/>
    <w:rsid w:val="00774591"/>
    <w:rsid w:val="00782E0A"/>
    <w:rsid w:val="00785E70"/>
    <w:rsid w:val="007919A4"/>
    <w:rsid w:val="007B051F"/>
    <w:rsid w:val="007F34EE"/>
    <w:rsid w:val="00803C4C"/>
    <w:rsid w:val="00806F38"/>
    <w:rsid w:val="008120A6"/>
    <w:rsid w:val="008126DB"/>
    <w:rsid w:val="00815C73"/>
    <w:rsid w:val="00816C55"/>
    <w:rsid w:val="00836DF7"/>
    <w:rsid w:val="0084156F"/>
    <w:rsid w:val="00846670"/>
    <w:rsid w:val="00883ECB"/>
    <w:rsid w:val="008902D0"/>
    <w:rsid w:val="008A5958"/>
    <w:rsid w:val="008C4599"/>
    <w:rsid w:val="008F4AEA"/>
    <w:rsid w:val="0094265F"/>
    <w:rsid w:val="00965042"/>
    <w:rsid w:val="009817D0"/>
    <w:rsid w:val="00991F71"/>
    <w:rsid w:val="0099589C"/>
    <w:rsid w:val="009B4363"/>
    <w:rsid w:val="009C02BE"/>
    <w:rsid w:val="009C35BE"/>
    <w:rsid w:val="009E31C9"/>
    <w:rsid w:val="009E5ECF"/>
    <w:rsid w:val="009F37D4"/>
    <w:rsid w:val="00A23564"/>
    <w:rsid w:val="00A52272"/>
    <w:rsid w:val="00A654AB"/>
    <w:rsid w:val="00A93213"/>
    <w:rsid w:val="00B12456"/>
    <w:rsid w:val="00B162E1"/>
    <w:rsid w:val="00B2554E"/>
    <w:rsid w:val="00B2666F"/>
    <w:rsid w:val="00B404C3"/>
    <w:rsid w:val="00B47621"/>
    <w:rsid w:val="00B60400"/>
    <w:rsid w:val="00B82D5A"/>
    <w:rsid w:val="00B8585F"/>
    <w:rsid w:val="00BB0F1A"/>
    <w:rsid w:val="00BC68A9"/>
    <w:rsid w:val="00BE416C"/>
    <w:rsid w:val="00BE630A"/>
    <w:rsid w:val="00BF5A71"/>
    <w:rsid w:val="00BF5C0C"/>
    <w:rsid w:val="00C012D4"/>
    <w:rsid w:val="00C350BD"/>
    <w:rsid w:val="00C50A71"/>
    <w:rsid w:val="00C536ED"/>
    <w:rsid w:val="00C63619"/>
    <w:rsid w:val="00C84F9C"/>
    <w:rsid w:val="00C9669B"/>
    <w:rsid w:val="00CA1F6D"/>
    <w:rsid w:val="00CB1E4B"/>
    <w:rsid w:val="00CB7CD2"/>
    <w:rsid w:val="00CC134D"/>
    <w:rsid w:val="00CC2AA8"/>
    <w:rsid w:val="00CE4959"/>
    <w:rsid w:val="00CF2667"/>
    <w:rsid w:val="00D007AF"/>
    <w:rsid w:val="00D32BE4"/>
    <w:rsid w:val="00D42C8A"/>
    <w:rsid w:val="00D65715"/>
    <w:rsid w:val="00D669AC"/>
    <w:rsid w:val="00D67727"/>
    <w:rsid w:val="00D831E3"/>
    <w:rsid w:val="00D851ED"/>
    <w:rsid w:val="00D87DB3"/>
    <w:rsid w:val="00DD6AA8"/>
    <w:rsid w:val="00E25CE6"/>
    <w:rsid w:val="00E261AE"/>
    <w:rsid w:val="00E35F25"/>
    <w:rsid w:val="00E64453"/>
    <w:rsid w:val="00EA2A22"/>
    <w:rsid w:val="00ED1E39"/>
    <w:rsid w:val="00EF1F0E"/>
    <w:rsid w:val="00F135C5"/>
    <w:rsid w:val="00F34A5B"/>
    <w:rsid w:val="00F42DAC"/>
    <w:rsid w:val="00F63205"/>
    <w:rsid w:val="00FF527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2C289"/>
  <w15:docId w15:val="{689E1621-4457-4042-BDCB-0C05FD9E2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FC5"/>
    <w:rPr>
      <w:rFonts w:ascii="Times New Roman" w:eastAsia="Times New Roman" w:hAnsi="Times New Roman" w:cs="Times New Roman"/>
      <w:sz w:val="24"/>
      <w:szCs w:val="24"/>
      <w:lang w:eastAsia="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91010"/>
    <w:rPr>
      <w:sz w:val="16"/>
      <w:szCs w:val="16"/>
    </w:rPr>
  </w:style>
  <w:style w:type="paragraph" w:styleId="CommentText">
    <w:name w:val="annotation text"/>
    <w:basedOn w:val="Normal"/>
    <w:link w:val="CommentTextChar"/>
    <w:uiPriority w:val="99"/>
    <w:unhideWhenUsed/>
    <w:rsid w:val="00591010"/>
    <w:pPr>
      <w:spacing w:after="200" w:line="240" w:lineRule="auto"/>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rsid w:val="00591010"/>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5910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010"/>
    <w:rPr>
      <w:rFonts w:ascii="Tahoma" w:eastAsia="Times New Roman" w:hAnsi="Tahoma" w:cs="Tahoma"/>
      <w:sz w:val="16"/>
      <w:szCs w:val="16"/>
      <w:lang w:eastAsia="hu-HU"/>
    </w:rPr>
  </w:style>
  <w:style w:type="paragraph" w:styleId="NormalWeb">
    <w:name w:val="Normal (Web)"/>
    <w:basedOn w:val="Normal"/>
    <w:uiPriority w:val="99"/>
    <w:semiHidden/>
    <w:unhideWhenUsed/>
    <w:rsid w:val="00EF1F0E"/>
    <w:pPr>
      <w:spacing w:before="100" w:beforeAutospacing="1" w:after="100" w:afterAutospacing="1" w:line="240" w:lineRule="auto"/>
    </w:pPr>
    <w:rPr>
      <w:rFonts w:eastAsiaTheme="minorHAnsi"/>
    </w:rPr>
  </w:style>
  <w:style w:type="paragraph" w:styleId="CommentSubject">
    <w:name w:val="annotation subject"/>
    <w:basedOn w:val="CommentText"/>
    <w:next w:val="CommentText"/>
    <w:link w:val="CommentSubjectChar"/>
    <w:uiPriority w:val="99"/>
    <w:semiHidden/>
    <w:unhideWhenUsed/>
    <w:rsid w:val="00EF1F0E"/>
    <w:pPr>
      <w:spacing w:after="160"/>
    </w:pPr>
    <w:rPr>
      <w:rFonts w:ascii="Times New Roman" w:eastAsia="Times New Roman" w:hAnsi="Times New Roman"/>
      <w:b/>
      <w:bCs/>
      <w:lang w:eastAsia="hu-HU"/>
    </w:rPr>
  </w:style>
  <w:style w:type="character" w:customStyle="1" w:styleId="CommentSubjectChar">
    <w:name w:val="Comment Subject Char"/>
    <w:basedOn w:val="CommentTextChar"/>
    <w:link w:val="CommentSubject"/>
    <w:uiPriority w:val="99"/>
    <w:semiHidden/>
    <w:rsid w:val="00EF1F0E"/>
    <w:rPr>
      <w:rFonts w:ascii="Times New Roman" w:eastAsia="Times New Roman" w:hAnsi="Times New Roman" w:cs="Times New Roman"/>
      <w:b/>
      <w:bCs/>
      <w:sz w:val="20"/>
      <w:szCs w:val="20"/>
      <w:lang w:eastAsia="hu-HU"/>
    </w:rPr>
  </w:style>
  <w:style w:type="paragraph" w:styleId="ListParagraph">
    <w:name w:val="List Paragraph"/>
    <w:basedOn w:val="Normal"/>
    <w:uiPriority w:val="34"/>
    <w:qFormat/>
    <w:rsid w:val="00173F50"/>
    <w:pPr>
      <w:ind w:left="720"/>
      <w:contextualSpacing/>
    </w:pPr>
  </w:style>
  <w:style w:type="paragraph" w:styleId="Revision">
    <w:name w:val="Revision"/>
    <w:hidden/>
    <w:uiPriority w:val="99"/>
    <w:semiHidden/>
    <w:rsid w:val="00806F38"/>
    <w:pPr>
      <w:spacing w:after="0" w:line="240" w:lineRule="auto"/>
    </w:pPr>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680427">
      <w:bodyDiv w:val="1"/>
      <w:marLeft w:val="0"/>
      <w:marRight w:val="0"/>
      <w:marTop w:val="0"/>
      <w:marBottom w:val="0"/>
      <w:divBdr>
        <w:top w:val="none" w:sz="0" w:space="0" w:color="auto"/>
        <w:left w:val="none" w:sz="0" w:space="0" w:color="auto"/>
        <w:bottom w:val="none" w:sz="0" w:space="0" w:color="auto"/>
        <w:right w:val="none" w:sz="0" w:space="0" w:color="auto"/>
      </w:divBdr>
    </w:div>
    <w:div w:id="145586802">
      <w:bodyDiv w:val="1"/>
      <w:marLeft w:val="0"/>
      <w:marRight w:val="0"/>
      <w:marTop w:val="0"/>
      <w:marBottom w:val="0"/>
      <w:divBdr>
        <w:top w:val="none" w:sz="0" w:space="0" w:color="auto"/>
        <w:left w:val="none" w:sz="0" w:space="0" w:color="auto"/>
        <w:bottom w:val="none" w:sz="0" w:space="0" w:color="auto"/>
        <w:right w:val="none" w:sz="0" w:space="0" w:color="auto"/>
      </w:divBdr>
    </w:div>
    <w:div w:id="164908087">
      <w:bodyDiv w:val="1"/>
      <w:marLeft w:val="0"/>
      <w:marRight w:val="0"/>
      <w:marTop w:val="0"/>
      <w:marBottom w:val="0"/>
      <w:divBdr>
        <w:top w:val="none" w:sz="0" w:space="0" w:color="auto"/>
        <w:left w:val="none" w:sz="0" w:space="0" w:color="auto"/>
        <w:bottom w:val="none" w:sz="0" w:space="0" w:color="auto"/>
        <w:right w:val="none" w:sz="0" w:space="0" w:color="auto"/>
      </w:divBdr>
    </w:div>
    <w:div w:id="429547432">
      <w:bodyDiv w:val="1"/>
      <w:marLeft w:val="0"/>
      <w:marRight w:val="0"/>
      <w:marTop w:val="0"/>
      <w:marBottom w:val="0"/>
      <w:divBdr>
        <w:top w:val="none" w:sz="0" w:space="0" w:color="auto"/>
        <w:left w:val="none" w:sz="0" w:space="0" w:color="auto"/>
        <w:bottom w:val="none" w:sz="0" w:space="0" w:color="auto"/>
        <w:right w:val="none" w:sz="0" w:space="0" w:color="auto"/>
      </w:divBdr>
    </w:div>
    <w:div w:id="529223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D53259-9B7A-46FB-A08F-3149266FA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1488</Words>
  <Characters>8487</Characters>
  <Application>Microsoft Office Word</Application>
  <DocSecurity>0</DocSecurity>
  <Lines>70</Lines>
  <Paragraphs>19</Paragraphs>
  <ScaleCrop>false</ScaleCrop>
  <HeadingPairs>
    <vt:vector size="2" baseType="variant">
      <vt:variant>
        <vt:lpstr>Cím</vt:lpstr>
      </vt:variant>
      <vt:variant>
        <vt:i4>1</vt:i4>
      </vt:variant>
    </vt:vector>
  </HeadingPairs>
  <TitlesOfParts>
    <vt:vector size="1" baseType="lpstr">
      <vt:lpstr/>
    </vt:vector>
  </TitlesOfParts>
  <Company>Egységes InfraStruktúra</Company>
  <LinksUpToDate>false</LinksUpToDate>
  <CharactersWithSpaces>9956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Juhász Krisztina dr.</dc:creator>
  <cp:lastModifiedBy>Dimitris Dimitriadis</cp:lastModifiedBy>
  <cp:revision>4</cp:revision>
  <cp:lastPrinted>2023-03-21T08:45:00Z</cp:lastPrinted>
  <dcterms:created xsi:type="dcterms:W3CDTF">2023-03-22T13:23:00Z</dcterms:created>
  <dcterms:modified xsi:type="dcterms:W3CDTF">2023-03-30T10:53:00Z</dcterms:modified>
</cp:coreProperties>
</file>