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9C2695" w:rsidRPr="00A857F7" w14:paraId="4EBF81A7" w14:textId="77777777" w:rsidTr="009C2695">
        <w:trPr>
          <w:cantSplit/>
        </w:trPr>
        <w:tc>
          <w:tcPr>
            <w:tcW w:w="4338" w:type="dxa"/>
            <w:gridSpan w:val="3"/>
            <w:shd w:val="clear" w:color="auto" w:fill="FFFFFF"/>
            <w:hideMark/>
          </w:tcPr>
          <w:p w14:paraId="44035422" w14:textId="77777777" w:rsidR="009C2695" w:rsidRPr="009C2695" w:rsidRDefault="009C2695" w:rsidP="00592776">
            <w:pPr>
              <w:spacing w:line="276" w:lineRule="auto"/>
              <w:jc w:val="center"/>
              <w:rPr>
                <w:rFonts w:ascii="Times New Roman" w:hAnsi="Times New Roman" w:cs="Times New Roman"/>
                <w:b/>
                <w:bCs/>
                <w:sz w:val="24"/>
                <w:szCs w:val="24"/>
              </w:rPr>
            </w:pPr>
            <w:r>
              <w:rPr>
                <w:rFonts w:ascii="Times New Roman" w:hAnsi="Times New Roman"/>
                <w:b/>
                <w:sz w:val="24"/>
              </w:rPr>
              <w:t>REPUBLICA FRANCEZĂ</w:t>
            </w:r>
          </w:p>
        </w:tc>
      </w:tr>
      <w:tr w:rsidR="009C2695" w:rsidRPr="00A857F7" w14:paraId="5FF23B28" w14:textId="77777777" w:rsidTr="009C2695">
        <w:trPr>
          <w:cantSplit/>
          <w:trHeight w:hRule="exact" w:val="113"/>
        </w:trPr>
        <w:tc>
          <w:tcPr>
            <w:tcW w:w="1526" w:type="dxa"/>
            <w:shd w:val="clear" w:color="auto" w:fill="FFFFFF"/>
          </w:tcPr>
          <w:p w14:paraId="23DDD3B0" w14:textId="77777777" w:rsidR="009C2695" w:rsidRPr="009C2695" w:rsidRDefault="009C2695" w:rsidP="00592776">
            <w:pPr>
              <w:spacing w:line="256" w:lineRule="auto"/>
              <w:rPr>
                <w:rFonts w:ascii="Times New Roman" w:eastAsia="Calibri" w:hAnsi="Times New Roman" w:cs="Times New Roman"/>
                <w:sz w:val="24"/>
                <w:szCs w:val="24"/>
              </w:rPr>
            </w:pPr>
          </w:p>
        </w:tc>
        <w:tc>
          <w:tcPr>
            <w:tcW w:w="968" w:type="dxa"/>
            <w:tcBorders>
              <w:top w:val="nil"/>
              <w:left w:val="nil"/>
              <w:bottom w:val="single" w:sz="2" w:space="0" w:color="000001"/>
              <w:right w:val="nil"/>
            </w:tcBorders>
            <w:shd w:val="clear" w:color="auto" w:fill="FFFFFF"/>
          </w:tcPr>
          <w:p w14:paraId="100ECF9F" w14:textId="77777777" w:rsidR="009C2695" w:rsidRPr="009C2695" w:rsidRDefault="009C2695" w:rsidP="00592776">
            <w:pPr>
              <w:spacing w:line="256" w:lineRule="auto"/>
              <w:rPr>
                <w:rFonts w:ascii="Times New Roman" w:eastAsia="Calibri" w:hAnsi="Times New Roman" w:cs="Times New Roman"/>
                <w:sz w:val="24"/>
                <w:szCs w:val="24"/>
              </w:rPr>
            </w:pPr>
          </w:p>
        </w:tc>
        <w:tc>
          <w:tcPr>
            <w:tcW w:w="1844" w:type="dxa"/>
            <w:shd w:val="clear" w:color="auto" w:fill="FFFFFF"/>
          </w:tcPr>
          <w:p w14:paraId="233FC195" w14:textId="77777777" w:rsidR="009C2695" w:rsidRPr="009C2695" w:rsidRDefault="009C2695" w:rsidP="00592776">
            <w:pPr>
              <w:spacing w:line="256" w:lineRule="auto"/>
              <w:rPr>
                <w:rFonts w:ascii="Times New Roman" w:eastAsia="Calibri" w:hAnsi="Times New Roman" w:cs="Times New Roman"/>
                <w:sz w:val="24"/>
                <w:szCs w:val="24"/>
              </w:rPr>
            </w:pPr>
          </w:p>
        </w:tc>
      </w:tr>
      <w:tr w:rsidR="009C2695" w:rsidRPr="00A857F7" w14:paraId="32FC57D0" w14:textId="77777777" w:rsidTr="009C2695">
        <w:trPr>
          <w:cantSplit/>
        </w:trPr>
        <w:tc>
          <w:tcPr>
            <w:tcW w:w="4338" w:type="dxa"/>
            <w:gridSpan w:val="3"/>
            <w:shd w:val="clear" w:color="auto" w:fill="FFFFFF"/>
            <w:hideMark/>
          </w:tcPr>
          <w:p w14:paraId="6AD4590D" w14:textId="77777777" w:rsidR="009C2695" w:rsidRPr="009C2695" w:rsidRDefault="009C2695" w:rsidP="00592776">
            <w:pPr>
              <w:widowControl w:val="0"/>
              <w:snapToGrid w:val="0"/>
              <w:spacing w:before="120" w:line="276" w:lineRule="auto"/>
              <w:ind w:hanging="57"/>
              <w:jc w:val="center"/>
              <w:rPr>
                <w:rFonts w:ascii="Times New Roman" w:eastAsia="Lucida Sans Unicode" w:hAnsi="Times New Roman" w:cs="Times New Roman"/>
                <w:sz w:val="24"/>
                <w:szCs w:val="24"/>
              </w:rPr>
            </w:pPr>
            <w:r>
              <w:rPr>
                <w:rFonts w:ascii="Times New Roman" w:hAnsi="Times New Roman"/>
                <w:sz w:val="24"/>
              </w:rPr>
              <w:t>Ministerul Tranziției Ecologice și Coeziunii Teritoriale</w:t>
            </w:r>
          </w:p>
          <w:p w14:paraId="6F693AA9" w14:textId="77777777" w:rsidR="009C2695" w:rsidRPr="009C2695" w:rsidRDefault="009C2695" w:rsidP="00592776">
            <w:pPr>
              <w:widowControl w:val="0"/>
              <w:snapToGrid w:val="0"/>
              <w:spacing w:before="120" w:line="276" w:lineRule="auto"/>
              <w:ind w:hanging="57"/>
              <w:jc w:val="center"/>
              <w:rPr>
                <w:rFonts w:ascii="Times New Roman" w:eastAsia="Lucida Sans Unicode" w:hAnsi="Times New Roman" w:cs="Times New Roman"/>
                <w:sz w:val="24"/>
                <w:szCs w:val="24"/>
              </w:rPr>
            </w:pPr>
            <w:r>
              <w:rPr>
                <w:rFonts w:ascii="Times New Roman" w:hAnsi="Times New Roman"/>
                <w:sz w:val="24"/>
              </w:rPr>
              <w:t>Ministerul Sănătății și Prevenției</w:t>
            </w:r>
          </w:p>
        </w:tc>
      </w:tr>
      <w:tr w:rsidR="009C2695" w:rsidRPr="00A857F7" w14:paraId="649553EA" w14:textId="77777777" w:rsidTr="009C2695">
        <w:trPr>
          <w:cantSplit/>
          <w:trHeight w:hRule="exact" w:val="227"/>
        </w:trPr>
        <w:tc>
          <w:tcPr>
            <w:tcW w:w="1526" w:type="dxa"/>
            <w:shd w:val="clear" w:color="auto" w:fill="FFFFFF"/>
          </w:tcPr>
          <w:p w14:paraId="15C18821" w14:textId="77777777" w:rsidR="009C2695" w:rsidRPr="009C2695" w:rsidRDefault="009C2695" w:rsidP="00592776">
            <w:pPr>
              <w:spacing w:line="256" w:lineRule="auto"/>
              <w:rPr>
                <w:rFonts w:ascii="Times New Roman" w:eastAsia="Calibri" w:hAnsi="Times New Roman" w:cs="Times New Roman"/>
                <w:sz w:val="24"/>
                <w:szCs w:val="24"/>
              </w:rPr>
            </w:pPr>
          </w:p>
        </w:tc>
        <w:tc>
          <w:tcPr>
            <w:tcW w:w="968" w:type="dxa"/>
            <w:tcBorders>
              <w:top w:val="nil"/>
              <w:left w:val="nil"/>
              <w:bottom w:val="single" w:sz="2" w:space="0" w:color="000001"/>
              <w:right w:val="nil"/>
            </w:tcBorders>
            <w:shd w:val="clear" w:color="auto" w:fill="FFFFFF"/>
          </w:tcPr>
          <w:p w14:paraId="3C900AFE" w14:textId="77777777" w:rsidR="009C2695" w:rsidRPr="009C2695" w:rsidRDefault="009C2695" w:rsidP="00592776">
            <w:pPr>
              <w:spacing w:line="256" w:lineRule="auto"/>
              <w:rPr>
                <w:rFonts w:ascii="Times New Roman" w:eastAsia="Calibri" w:hAnsi="Times New Roman" w:cs="Times New Roman"/>
                <w:sz w:val="24"/>
                <w:szCs w:val="24"/>
              </w:rPr>
            </w:pPr>
          </w:p>
        </w:tc>
        <w:tc>
          <w:tcPr>
            <w:tcW w:w="1844" w:type="dxa"/>
            <w:shd w:val="clear" w:color="auto" w:fill="FFFFFF"/>
          </w:tcPr>
          <w:p w14:paraId="7D02842B" w14:textId="77777777" w:rsidR="009C2695" w:rsidRPr="009C2695" w:rsidRDefault="009C2695" w:rsidP="00592776">
            <w:pPr>
              <w:spacing w:line="256" w:lineRule="auto"/>
              <w:rPr>
                <w:rFonts w:ascii="Times New Roman" w:eastAsia="Calibri" w:hAnsi="Times New Roman" w:cs="Times New Roman"/>
                <w:sz w:val="24"/>
                <w:szCs w:val="24"/>
              </w:rPr>
            </w:pPr>
          </w:p>
        </w:tc>
      </w:tr>
    </w:tbl>
    <w:p w14:paraId="685A481D" w14:textId="2406F2B3" w:rsidR="005C3CFF" w:rsidRPr="00176A22" w:rsidRDefault="009C2695">
      <w:pPr>
        <w:pStyle w:val="SNNature"/>
      </w:pPr>
      <w:r>
        <w:t>Proiect de ordin din</w:t>
      </w:r>
    </w:p>
    <w:p w14:paraId="6A8D6A8E" w14:textId="5E6F0EEA" w:rsidR="005C3CFF" w:rsidRDefault="001F42AC">
      <w:pPr>
        <w:pStyle w:val="SNtitre"/>
      </w:pPr>
      <w:r>
        <w:t>privind furnizarea de informații pentru identificarea perturbatorilor endocrini dintr-un produs prin intermediul unei aplicații</w:t>
      </w:r>
    </w:p>
    <w:p w14:paraId="4E3DCA9D" w14:textId="77777777" w:rsidR="005C3CFF" w:rsidRPr="00176A22" w:rsidRDefault="00B8106B">
      <w:pPr>
        <w:pStyle w:val="SNNORCentr"/>
      </w:pPr>
      <w:r>
        <w:t xml:space="preserve">NR.: </w:t>
      </w:r>
      <w:r>
        <w:rPr>
          <w:highlight w:val="yellow"/>
        </w:rPr>
        <w:t>XXXXXXXXXX</w:t>
      </w:r>
    </w:p>
    <w:p w14:paraId="3392BAA2" w14:textId="7BA809ED" w:rsidR="005C3CFF" w:rsidRPr="00DF11E0" w:rsidRDefault="00B8106B">
      <w:pPr>
        <w:spacing w:before="720" w:after="120"/>
        <w:ind w:firstLine="720"/>
        <w:jc w:val="both"/>
        <w:rPr>
          <w:rFonts w:ascii="Times New Roman" w:hAnsi="Times New Roman" w:cs="Times New Roman"/>
          <w:i/>
          <w:iCs/>
          <w:sz w:val="24"/>
          <w:szCs w:val="24"/>
        </w:rPr>
      </w:pPr>
      <w:r>
        <w:rPr>
          <w:rFonts w:ascii="Times New Roman" w:hAnsi="Times New Roman"/>
          <w:b/>
          <w:i/>
          <w:sz w:val="24"/>
        </w:rPr>
        <w:t>Publicul-țintă:</w:t>
      </w:r>
      <w:r>
        <w:rPr>
          <w:rFonts w:ascii="Times New Roman" w:hAnsi="Times New Roman"/>
          <w:i/>
          <w:sz w:val="24"/>
        </w:rPr>
        <w:t xml:space="preserve"> Orice persoană care introduce pe piață produse destinate consumatorilor care, la sfârșitul fabricării lor, conțin substanțe pe care Agenția Franceză pentru Alimentație, Mediu, Sănătate și Siguranță în Muncă (ANSES) le califică ca având proprietăți care perturbă sistemul endocrin verificate, presupuse sau suspectate. </w:t>
      </w:r>
    </w:p>
    <w:p w14:paraId="1F0EAB46" w14:textId="166828CB" w:rsidR="005C3CFF" w:rsidRPr="00DF11E0" w:rsidRDefault="00B8106B">
      <w:pPr>
        <w:spacing w:before="120"/>
        <w:ind w:firstLine="720"/>
        <w:jc w:val="both"/>
        <w:rPr>
          <w:rFonts w:ascii="Times New Roman" w:hAnsi="Times New Roman" w:cs="Times New Roman"/>
          <w:i/>
          <w:iCs/>
          <w:sz w:val="24"/>
          <w:szCs w:val="24"/>
        </w:rPr>
      </w:pPr>
      <w:r>
        <w:rPr>
          <w:rFonts w:ascii="Times New Roman" w:hAnsi="Times New Roman"/>
          <w:b/>
          <w:i/>
          <w:sz w:val="24"/>
        </w:rPr>
        <w:t xml:space="preserve">Scop: </w:t>
      </w:r>
      <w:r>
        <w:rPr>
          <w:rFonts w:ascii="Times New Roman" w:hAnsi="Times New Roman"/>
          <w:i/>
          <w:sz w:val="24"/>
        </w:rPr>
        <w:t>Prezentul ordin desemnează o modalitate alternativă de informare a publicului cu privire la prezența în produse a unor substanțe pe care Agenția pentru Alimentație, Mediu, Sănătate și Siguranță în Muncă le clasifică în categoria substanțelor cu proprietăți care perturbă sistemul endocrin verificate, presupuse sau suspectate. Produse alimentare, astfel cum sunt definite la articolul 2 din Regulamentul (CE) nr. 178/2002, și substanțe, amestecuri și articole, astfel cum sunt definite la articolul 3 din Regulamentul (UE) nr. 1907/2006 („REACH”), altele decât medicamentele.</w:t>
      </w:r>
    </w:p>
    <w:p w14:paraId="10CD6EC7" w14:textId="59B95CC6" w:rsidR="005C3CFF" w:rsidRPr="00DF11E0" w:rsidRDefault="00B8106B">
      <w:pPr>
        <w:spacing w:before="120" w:after="120"/>
        <w:ind w:firstLine="720"/>
        <w:jc w:val="both"/>
        <w:rPr>
          <w:rFonts w:ascii="Times New Roman" w:hAnsi="Times New Roman" w:cs="Times New Roman"/>
          <w:i/>
          <w:iCs/>
          <w:sz w:val="24"/>
          <w:szCs w:val="24"/>
        </w:rPr>
      </w:pPr>
      <w:r>
        <w:rPr>
          <w:rFonts w:ascii="Times New Roman" w:hAnsi="Times New Roman"/>
          <w:b/>
          <w:i/>
          <w:sz w:val="24"/>
        </w:rPr>
        <w:t xml:space="preserve">Intrare în vigoare: </w:t>
      </w:r>
      <w:r>
        <w:rPr>
          <w:rFonts w:ascii="Times New Roman" w:hAnsi="Times New Roman"/>
          <w:i/>
          <w:sz w:val="24"/>
        </w:rPr>
        <w:t>Textul intră în vigoare în ziua următoare datei publicării sale.</w:t>
      </w:r>
    </w:p>
    <w:p w14:paraId="2E1650C3" w14:textId="77777777" w:rsidR="00486DD2" w:rsidRPr="00486DD2" w:rsidRDefault="00B8106B" w:rsidP="00486DD2">
      <w:pPr>
        <w:spacing w:after="120"/>
        <w:ind w:firstLine="708"/>
        <w:jc w:val="both"/>
        <w:rPr>
          <w:rFonts w:ascii="Times New Roman" w:hAnsi="Times New Roman" w:cs="Times New Roman"/>
          <w:i/>
          <w:iCs/>
          <w:sz w:val="24"/>
          <w:szCs w:val="24"/>
        </w:rPr>
      </w:pPr>
      <w:r>
        <w:rPr>
          <w:rFonts w:ascii="Times New Roman" w:hAnsi="Times New Roman"/>
          <w:b/>
          <w:i/>
          <w:sz w:val="24"/>
        </w:rPr>
        <w:t xml:space="preserve">Observație: </w:t>
      </w:r>
      <w:r>
        <w:rPr>
          <w:rFonts w:ascii="Times New Roman" w:hAnsi="Times New Roman"/>
          <w:i/>
          <w:sz w:val="24"/>
        </w:rPr>
        <w:t>Articolul 13-II din Legea nr. 105/2020 din 10 februarie 2020 privind combaterea deșeurilor și economia circulară, cunoscută sub denumirea de „AGEC”, prevede că orice persoană care introduce pe piață produse de consum care conțin substanțe pentru care Agenția Franceză pentru Alimentație, Mediu, Sănătate și Siguranță în Muncă (ANSES) clasifică proprietățile perturbatoare endocrine ca fiind verificate sau suspectate trebuie „să furnizeze informații publicului prin mijloace electronice, într-un format deschis, ușor de reutilizat și editabil printr-un sistem de prelucrare automată, pentru fiecare dintre produsele în cauză, pentru a identifica prezența unor astfel de substanțe în produsele respective”. Această obligație se aplică, de asemenea, anumitor categorii de produse cu un risc special de expunere, pentru substanțele care perturbă sistemul endocrin de către ANSES.</w:t>
      </w:r>
    </w:p>
    <w:p w14:paraId="292508E8" w14:textId="7CB1F488" w:rsidR="00486DD2" w:rsidRPr="00486DD2" w:rsidRDefault="00486DD2" w:rsidP="00486DD2">
      <w:pPr>
        <w:spacing w:after="120"/>
        <w:jc w:val="both"/>
        <w:rPr>
          <w:rFonts w:ascii="Times New Roman" w:hAnsi="Times New Roman" w:cs="Times New Roman"/>
          <w:i/>
          <w:iCs/>
          <w:sz w:val="24"/>
          <w:szCs w:val="24"/>
        </w:rPr>
      </w:pPr>
      <w:r>
        <w:rPr>
          <w:rFonts w:ascii="Times New Roman" w:hAnsi="Times New Roman"/>
          <w:i/>
          <w:sz w:val="24"/>
        </w:rPr>
        <w:t xml:space="preserve">Această obligație este în conformitate cu obiectivele celei de a doua strategii naționale privind perturbatorii endocrini (NSPE2). Scopul său este de a oferi cetățenilor informații transparente cu privire la prezența substanțelor cu proprietăți care perturbă sistemul endocrin în produse, </w:t>
      </w:r>
      <w:r>
        <w:rPr>
          <w:rFonts w:ascii="Times New Roman" w:hAnsi="Times New Roman"/>
          <w:i/>
          <w:sz w:val="24"/>
        </w:rPr>
        <w:lastRenderedPageBreak/>
        <w:t>în ceea ce privește substanțele, amestecurile, articolele (astfel cum sunt definite în Regulamentul REACH) și al produselor alimentare.</w:t>
      </w:r>
    </w:p>
    <w:p w14:paraId="252775FA" w14:textId="734F03C6" w:rsidR="00486DD2" w:rsidRPr="00486DD2" w:rsidRDefault="00486DD2" w:rsidP="00486DD2">
      <w:pPr>
        <w:spacing w:after="120"/>
        <w:jc w:val="both"/>
        <w:rPr>
          <w:rFonts w:ascii="Times New Roman" w:hAnsi="Times New Roman" w:cs="Times New Roman"/>
          <w:i/>
          <w:iCs/>
          <w:sz w:val="24"/>
          <w:szCs w:val="24"/>
        </w:rPr>
      </w:pPr>
      <w:r>
        <w:rPr>
          <w:rFonts w:ascii="Times New Roman" w:hAnsi="Times New Roman"/>
          <w:i/>
          <w:sz w:val="24"/>
        </w:rPr>
        <w:t>Se aplică produselor destinate consumatorilor, menționate la articolul R. 5232-19 din Codul sănătății publice. Punerea la dispoziție a acestor informații se aplică întregului produs și ambalajului său primar sau ambalajului său de vânzare în sensul articolului R. 543-43 din Codul mediului.</w:t>
      </w:r>
    </w:p>
    <w:p w14:paraId="341F93AC" w14:textId="3950C71B" w:rsidR="005C3CFF" w:rsidRPr="00DF11E0" w:rsidRDefault="00486DD2" w:rsidP="00486DD2">
      <w:pPr>
        <w:spacing w:after="120"/>
        <w:jc w:val="both"/>
        <w:rPr>
          <w:rFonts w:ascii="Times New Roman" w:hAnsi="Times New Roman" w:cs="Times New Roman"/>
          <w:i/>
          <w:iCs/>
          <w:sz w:val="24"/>
          <w:szCs w:val="24"/>
        </w:rPr>
      </w:pPr>
      <w:r>
        <w:rPr>
          <w:rFonts w:ascii="Times New Roman" w:hAnsi="Times New Roman"/>
          <w:i/>
          <w:sz w:val="24"/>
        </w:rPr>
        <w:t xml:space="preserve"> Normele de aplicare a acestei dispoziții legislative au fost stabilite la articolele R. 5232-19-R. 5232-22 din Codul sănătății publice. Articolul R. 5232-20 prevede că informațiile menționate la articolul L. 5232-5 din Codul sănătății publice pot fi puse la dispoziție printr-o cerere desemnată prin ordin comun al miniștrilor sănătății și mediului. Un proiect finanțat de Comisia Europeană în cadrul programului LIFE a contribuit la crearea unei baze de date actualizate în mod voluntar a întreprinderilor privind prezența substanțelor care prezintă motive de îngrijorare deosebită în articolele definite în Regulamentul REACH. Franța a investit foarte mult în acest proiect, care este una dintre măsurile emblematice ale celui de-al patrulea plan național de sănătate a mediului, prin mobilizarea Institutului Național de Mediu Industrial și Riscuri (INERIS), susținut de Ministerul Mediului. Aplicația Scan4Chem conectată la această bază de date permite consumatorilor să obțină informațiile care figurează în aceasta pur și simplu prin scanarea codurilor de bare ale produselor. Astfel, prezentul ordin desemnează aplicarea Scan4Chem ca o posibilă modalitate de a pune la dispoziție informații cu privire la prezența substanțelor care prezintă motive de îngrijorare deosebită cu proprietăți dovedite, presupuse sau suspectate care perturbă sistemul endocrin în articolele prevăzute în Regulamentul REACH.</w:t>
      </w:r>
    </w:p>
    <w:p w14:paraId="307C44DF" w14:textId="77777777" w:rsidR="007D346E" w:rsidRDefault="007D346E" w:rsidP="007D346E">
      <w:pPr>
        <w:pStyle w:val="SNObjet"/>
      </w:pPr>
    </w:p>
    <w:p w14:paraId="29758403" w14:textId="1C562954" w:rsidR="007D346E" w:rsidRDefault="007D346E" w:rsidP="007D346E">
      <w:pPr>
        <w:pStyle w:val="SNObjet"/>
        <w:ind w:firstLine="708"/>
      </w:pPr>
      <w:r>
        <w:t xml:space="preserve">Ministrul tranziției ecologice și </w:t>
      </w:r>
      <w:r>
        <w:rPr>
          <w:color w:val="auto"/>
        </w:rPr>
        <w:t>coeziunii teritoriale</w:t>
      </w:r>
      <w:r>
        <w:t xml:space="preserve"> și ministrul Sănătății</w:t>
      </w:r>
      <w:r>
        <w:rPr>
          <w:color w:val="auto"/>
        </w:rPr>
        <w:t xml:space="preserve"> și Prevenției</w:t>
      </w:r>
    </w:p>
    <w:p w14:paraId="6A3F5D8D" w14:textId="55F6E79B" w:rsidR="007F3B43" w:rsidRDefault="007F3B43" w:rsidP="00FA067A">
      <w:pPr>
        <w:pStyle w:val="SNVisa"/>
        <w:rPr>
          <w:bCs/>
        </w:rPr>
      </w:pPr>
      <w:r>
        <w:t>având în vedere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w:t>
      </w:r>
    </w:p>
    <w:p w14:paraId="4EF37F21" w14:textId="7C201613" w:rsidR="00FA067A" w:rsidRDefault="00FA067A" w:rsidP="00FA067A">
      <w:pPr>
        <w:pStyle w:val="SNVisa"/>
        <w:rPr>
          <w:bCs/>
        </w:rPr>
      </w:pPr>
      <w:r>
        <w:t>având în vedere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p>
    <w:p w14:paraId="19B9958A" w14:textId="32FE6134" w:rsidR="00FA067A" w:rsidRPr="00AC5C8E" w:rsidRDefault="00FA067A" w:rsidP="00FA067A">
      <w:pPr>
        <w:pStyle w:val="SNVisa"/>
        <w:rPr>
          <w:shd w:val="clear" w:color="auto" w:fill="FFFFFF"/>
        </w:rPr>
      </w:pPr>
      <w:r>
        <w:t xml:space="preserve">având în vedere Directiva (UE) 2015/1535 a Parlamentului European și a Consiliului </w:t>
      </w:r>
      <w:r>
        <w:rPr>
          <w:shd w:val="clear" w:color="auto" w:fill="FFFFFF"/>
        </w:rPr>
        <w:t>din 9 septembrie 2015 referitoare la procedura de furnizare de informații în domeniul reglementărilor tehnice și al normelor privind serviciile societății informaționale</w:t>
      </w:r>
      <w:r>
        <w:t xml:space="preserve"> și, în special, notificarea nr. </w:t>
      </w:r>
      <w:r>
        <w:rPr>
          <w:highlight w:val="yellow"/>
        </w:rPr>
        <w:t>2023/XXX/F</w:t>
      </w:r>
      <w:r>
        <w:rPr>
          <w:shd w:val="clear" w:color="auto" w:fill="FFFFFF"/>
        </w:rPr>
        <w:t>,</w:t>
      </w:r>
    </w:p>
    <w:p w14:paraId="2E26C5F6" w14:textId="4A7F714F" w:rsidR="007D346E" w:rsidRPr="000A09CF" w:rsidRDefault="007D346E" w:rsidP="007D346E">
      <w:pPr>
        <w:pStyle w:val="SNVisa"/>
        <w:ind w:firstLine="708"/>
        <w:rPr>
          <w:bCs/>
        </w:rPr>
      </w:pPr>
      <w:r>
        <w:t>având în vedere Codul sănătății publice</w:t>
      </w:r>
      <w:bookmarkStart w:id="0" w:name="__DdeLink__11050_299813634"/>
      <w:r>
        <w:t>, în special articolul L. 5</w:t>
      </w:r>
      <w:bookmarkEnd w:id="0"/>
      <w:r>
        <w:t>232-5, astfel cum a fost elaborat prin articolul 13 din Legea nr. 105/2020 din 10 februarie 2020 privind combaterea formării deșeurilor și economia circulară și articolele R. 5232-19 și R. 5232-20,</w:t>
      </w:r>
    </w:p>
    <w:p w14:paraId="73F91CAD" w14:textId="0009B092" w:rsidR="005C3CFF" w:rsidRPr="007C2FA5" w:rsidRDefault="00F92020" w:rsidP="005B289F">
      <w:pPr>
        <w:pStyle w:val="SNActe"/>
        <w:keepNext/>
        <w:keepLines/>
      </w:pPr>
      <w:r>
        <w:lastRenderedPageBreak/>
        <w:t>Dispun prin prezentul:</w:t>
      </w:r>
    </w:p>
    <w:p w14:paraId="36CE1980" w14:textId="77777777" w:rsidR="005C3CFF" w:rsidRPr="007C2FA5" w:rsidRDefault="00B8106B" w:rsidP="005B289F">
      <w:pPr>
        <w:pStyle w:val="SNArticle"/>
        <w:keepNext/>
        <w:keepLines/>
      </w:pPr>
      <w:r>
        <w:t>Articolul 1</w:t>
      </w:r>
    </w:p>
    <w:p w14:paraId="4674CDC4" w14:textId="69C1EB8F" w:rsidR="00213EBB" w:rsidRDefault="00213EBB" w:rsidP="005B289F">
      <w:pPr>
        <w:pStyle w:val="BodyText"/>
        <w:keepNext/>
        <w:keepLines/>
        <w:spacing w:after="0"/>
        <w:ind w:firstLine="708"/>
      </w:pPr>
    </w:p>
    <w:p w14:paraId="51E8E353" w14:textId="22D70482" w:rsidR="00D81C91" w:rsidRPr="00726CFC" w:rsidRDefault="00756EAD" w:rsidP="005B289F">
      <w:pPr>
        <w:pStyle w:val="BodyText"/>
        <w:keepNext/>
        <w:keepLines/>
        <w:spacing w:after="0"/>
      </w:pPr>
      <w:r>
        <w:t>Informațiile prevăzute la articolele L. 5232-5 din Codul sănătății publice I și II pot fi puse la dispoziție, în conformitate cu dispozițiile articolului R. 5232-20 din codul menționat, prin intermediul cererilor enumerate în anexă, cu condiția ca acestea să fie disponibile în limba franceză și să permită identificarea fără echivoc a produselor.</w:t>
      </w:r>
    </w:p>
    <w:p w14:paraId="0D812C4D" w14:textId="77777777" w:rsidR="005C3CFF" w:rsidRDefault="005C3CFF">
      <w:pPr>
        <w:pStyle w:val="BodyText"/>
        <w:spacing w:after="0"/>
      </w:pPr>
    </w:p>
    <w:p w14:paraId="54BA5A62" w14:textId="7B8C0752" w:rsidR="007D346E" w:rsidRDefault="007D346E" w:rsidP="007D346E">
      <w:pPr>
        <w:pStyle w:val="SNArticle"/>
      </w:pPr>
      <w:r>
        <w:t>Articolul 2</w:t>
      </w:r>
    </w:p>
    <w:p w14:paraId="0C2A36E0" w14:textId="77777777" w:rsidR="007D346E" w:rsidRDefault="007D346E" w:rsidP="007D346E">
      <w:pPr>
        <w:pStyle w:val="SNArticle"/>
        <w:jc w:val="both"/>
        <w:rPr>
          <w:b w:val="0"/>
        </w:rPr>
      </w:pPr>
      <w:r>
        <w:rPr>
          <w:b w:val="0"/>
        </w:rPr>
        <w:t xml:space="preserve">Dispozițiile prezentului ordin intră în vigoare în ziua următoare datei publicării sale. </w:t>
      </w:r>
    </w:p>
    <w:p w14:paraId="4A87D79C" w14:textId="77777777" w:rsidR="007D346E" w:rsidRDefault="007D346E" w:rsidP="007D346E">
      <w:pPr>
        <w:pStyle w:val="SNArticle"/>
        <w:spacing w:after="0"/>
      </w:pPr>
    </w:p>
    <w:p w14:paraId="58676A44" w14:textId="5082B85E" w:rsidR="007D346E" w:rsidRDefault="007D346E" w:rsidP="007D346E">
      <w:pPr>
        <w:pStyle w:val="SNArticle"/>
      </w:pPr>
      <w:r>
        <w:t>Articolul 3</w:t>
      </w:r>
    </w:p>
    <w:p w14:paraId="12649071" w14:textId="77777777" w:rsidR="007D346E" w:rsidRDefault="007D346E" w:rsidP="007D346E">
      <w:pPr>
        <w:pStyle w:val="BodyText"/>
      </w:pPr>
      <w:r>
        <w:t xml:space="preserve">Prezentul Decret va fi publicat în </w:t>
      </w:r>
      <w:r>
        <w:rPr>
          <w:i/>
          <w:iCs/>
        </w:rPr>
        <w:t>Jurnalul Oficial</w:t>
      </w:r>
      <w:r>
        <w:t xml:space="preserve"> al Republicii Franceze.</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BodyText"/>
      </w:pPr>
    </w:p>
    <w:p w14:paraId="032C06DC" w14:textId="1C3B454F" w:rsidR="007E33DE" w:rsidRDefault="00B8106B" w:rsidP="007D346E">
      <w:pPr>
        <w:pStyle w:val="SNDate"/>
      </w:pPr>
      <w:r>
        <w:t>Emis la</w:t>
      </w:r>
    </w:p>
    <w:p w14:paraId="28DE9DA6" w14:textId="7F52BAC0" w:rsidR="007D346E" w:rsidRDefault="007D346E" w:rsidP="007D346E">
      <w:pPr>
        <w:rPr>
          <w:lang w:eastAsia="fr-FR"/>
        </w:rPr>
      </w:pPr>
    </w:p>
    <w:p w14:paraId="7897D665" w14:textId="77777777" w:rsidR="007D346E" w:rsidRDefault="007D346E" w:rsidP="007D346E">
      <w:pPr>
        <w:pStyle w:val="SNSignatureGauche"/>
      </w:pPr>
      <w:r>
        <w:t>Ministrul tranziției ecologice și coeziunii teritoriale,</w:t>
      </w:r>
    </w:p>
    <w:p w14:paraId="7408E310" w14:textId="77777777" w:rsidR="007D346E" w:rsidRDefault="007D346E" w:rsidP="007D346E">
      <w:pPr>
        <w:pStyle w:val="SNSignatureDroite"/>
        <w:ind w:left="539" w:firstLine="0"/>
      </w:pPr>
      <w:r>
        <w:t>Pentru și în numele ministrului:</w:t>
      </w:r>
    </w:p>
    <w:p w14:paraId="13FBDF1E" w14:textId="77777777" w:rsidR="007D346E" w:rsidRDefault="007D346E" w:rsidP="007D346E">
      <w:pPr>
        <w:pStyle w:val="SNSignatureDroite"/>
        <w:ind w:left="539" w:firstLine="0"/>
      </w:pPr>
      <w:r>
        <w:t>Directorul general pentru prevenirea riscurilor,</w:t>
      </w:r>
    </w:p>
    <w:p w14:paraId="40AB3094" w14:textId="77777777" w:rsidR="007D346E" w:rsidRDefault="007D346E" w:rsidP="007D346E">
      <w:pPr>
        <w:pStyle w:val="SNSignatureGauche"/>
      </w:pPr>
    </w:p>
    <w:p w14:paraId="02737DD4" w14:textId="77777777" w:rsidR="007D346E" w:rsidRDefault="007D346E" w:rsidP="007D346E">
      <w:pPr>
        <w:pStyle w:val="SNSignatureDroite"/>
        <w:ind w:left="539" w:firstLine="0"/>
      </w:pPr>
    </w:p>
    <w:p w14:paraId="23AEDC40" w14:textId="77777777" w:rsidR="007D346E" w:rsidRDefault="007D346E" w:rsidP="007D346E">
      <w:pPr>
        <w:pStyle w:val="SNSignatureGauche"/>
      </w:pPr>
    </w:p>
    <w:p w14:paraId="06443981" w14:textId="6033DABF" w:rsidR="007D346E" w:rsidRDefault="007D346E" w:rsidP="007D346E">
      <w:pPr>
        <w:pStyle w:val="SNSignatureDroite"/>
        <w:ind w:left="539" w:firstLine="0"/>
      </w:pPr>
      <w:r>
        <w:t>Cédric BOURILLET</w:t>
      </w:r>
    </w:p>
    <w:p w14:paraId="405BB365" w14:textId="18FDF3A6" w:rsidR="007D346E" w:rsidRDefault="007D346E" w:rsidP="007D346E">
      <w:pPr>
        <w:pStyle w:val="SNSignatureGauche"/>
        <w:rPr>
          <w:lang w:eastAsia="zh-CN"/>
        </w:rPr>
      </w:pPr>
    </w:p>
    <w:p w14:paraId="6178E57E" w14:textId="760909D5" w:rsidR="007D346E" w:rsidRDefault="007D346E" w:rsidP="007D346E">
      <w:pPr>
        <w:pStyle w:val="SNSignatureGauche"/>
        <w:rPr>
          <w:lang w:eastAsia="zh-CN"/>
        </w:rPr>
      </w:pPr>
    </w:p>
    <w:p w14:paraId="53CB2245" w14:textId="14F12444" w:rsidR="007D346E" w:rsidRDefault="007D346E" w:rsidP="007D346E">
      <w:pPr>
        <w:pStyle w:val="SNSignatureGauche"/>
        <w:rPr>
          <w:lang w:eastAsia="zh-CN"/>
        </w:rPr>
      </w:pPr>
    </w:p>
    <w:p w14:paraId="02090C7D" w14:textId="3030CB56" w:rsidR="007D346E" w:rsidRDefault="007D346E" w:rsidP="007D346E">
      <w:pPr>
        <w:pStyle w:val="SNSignatureGauche"/>
        <w:rPr>
          <w:lang w:eastAsia="zh-CN"/>
        </w:rPr>
      </w:pPr>
    </w:p>
    <w:p w14:paraId="5AF5775D" w14:textId="77777777" w:rsidR="007D346E" w:rsidRDefault="007D346E" w:rsidP="007D346E">
      <w:pPr>
        <w:pStyle w:val="SNSignatureGauche"/>
        <w:rPr>
          <w:lang w:eastAsia="zh-CN"/>
        </w:rPr>
      </w:pPr>
    </w:p>
    <w:p w14:paraId="7057BC9A" w14:textId="77777777" w:rsidR="007D346E" w:rsidRDefault="007D346E" w:rsidP="007D346E">
      <w:pPr>
        <w:pStyle w:val="SNSignatureGauche"/>
      </w:pPr>
      <w:r>
        <w:t>Ministrul Sănătății și Prevenției,</w:t>
      </w:r>
    </w:p>
    <w:p w14:paraId="70EB520F" w14:textId="77777777" w:rsidR="007D346E" w:rsidRDefault="007D346E" w:rsidP="007D346E">
      <w:pPr>
        <w:pStyle w:val="SNSignatureGauche"/>
      </w:pPr>
      <w:r>
        <w:t>Pentru și în numele ministrului:</w:t>
      </w:r>
    </w:p>
    <w:p w14:paraId="0EB7FBDE" w14:textId="77777777" w:rsidR="007D346E" w:rsidRDefault="007D346E" w:rsidP="007D346E">
      <w:pPr>
        <w:pStyle w:val="SNSignatureGauche"/>
      </w:pPr>
      <w:r>
        <w:t>Directorul general pentru sănătate,</w:t>
      </w:r>
    </w:p>
    <w:p w14:paraId="43463536" w14:textId="77A0479C" w:rsidR="007D346E" w:rsidRDefault="007D346E" w:rsidP="007D346E">
      <w:pPr>
        <w:pStyle w:val="SNSignatureGauche"/>
      </w:pPr>
    </w:p>
    <w:p w14:paraId="5AE81818" w14:textId="77777777" w:rsidR="007D346E" w:rsidRDefault="007D346E" w:rsidP="007D346E">
      <w:pPr>
        <w:pStyle w:val="SNSignatureGauche"/>
      </w:pPr>
    </w:p>
    <w:p w14:paraId="3F61A872" w14:textId="77777777" w:rsidR="007D346E" w:rsidRDefault="007D346E" w:rsidP="007D346E">
      <w:pPr>
        <w:pStyle w:val="SNSignatureGauche"/>
      </w:pPr>
    </w:p>
    <w:p w14:paraId="2087E56C" w14:textId="77777777" w:rsidR="007D346E" w:rsidRDefault="007D346E" w:rsidP="007D346E">
      <w:pPr>
        <w:pStyle w:val="SNSignatureGauche"/>
      </w:pPr>
      <w:r>
        <w:t>Jérôme SALOMON</w:t>
      </w:r>
    </w:p>
    <w:p w14:paraId="65F3433B" w14:textId="77777777" w:rsidR="008375A2" w:rsidRDefault="008375A2" w:rsidP="007D346E">
      <w:pPr>
        <w:pStyle w:val="SNSignatureGauche"/>
      </w:pPr>
    </w:p>
    <w:p w14:paraId="2DF0F575" w14:textId="10055DF4" w:rsidR="00B1037F" w:rsidRDefault="00B1037F">
      <w:pPr>
        <w:spacing w:after="0" w:line="240" w:lineRule="auto"/>
        <w:rPr>
          <w:rFonts w:ascii="Times New Roman" w:hAnsi="Times New Roman" w:cs="Times New Roman"/>
          <w:color w:val="00000A"/>
          <w:sz w:val="24"/>
          <w:szCs w:val="24"/>
        </w:rPr>
      </w:pPr>
      <w:r>
        <w:br w:type="page"/>
      </w:r>
    </w:p>
    <w:p w14:paraId="0FC1DC2D" w14:textId="528A7B94" w:rsidR="00B1037F" w:rsidRDefault="00B1037F" w:rsidP="00B1037F">
      <w:pPr>
        <w:pStyle w:val="BodyText"/>
        <w:spacing w:after="0"/>
        <w:ind w:firstLine="708"/>
      </w:pPr>
    </w:p>
    <w:p w14:paraId="2A4D75F0" w14:textId="19B54DD5" w:rsidR="00CB3012" w:rsidRPr="00726CFC" w:rsidRDefault="00CB3012" w:rsidP="004853D9">
      <w:pPr>
        <w:pStyle w:val="BodyText"/>
        <w:spacing w:after="0"/>
        <w:jc w:val="center"/>
      </w:pPr>
      <w:r>
        <w:t>Anexă</w:t>
      </w:r>
    </w:p>
    <w:p w14:paraId="5DD01E45" w14:textId="783B4322" w:rsidR="004E36CB" w:rsidRPr="00726CFC" w:rsidRDefault="004E36CB" w:rsidP="004853D9">
      <w:pPr>
        <w:pStyle w:val="BodyText"/>
        <w:spacing w:after="0"/>
        <w:jc w:val="center"/>
      </w:pPr>
    </w:p>
    <w:p w14:paraId="25B3CC30" w14:textId="24C5A24E" w:rsidR="00D81C91" w:rsidRPr="00726CFC" w:rsidRDefault="00D81C91" w:rsidP="004853D9">
      <w:pPr>
        <w:pStyle w:val="BodyText"/>
        <w:spacing w:after="0"/>
        <w:jc w:val="center"/>
      </w:pPr>
      <w:r>
        <w:t>Lista cererilor destinate punerii la dispoziția publicului a informațiilor prevăzute la articolul L. 5232-5 din Codul sănătății publice I și II, în conformitate cu articolul R. 5232-20 din codul menționat:</w:t>
      </w:r>
    </w:p>
    <w:p w14:paraId="50A015FA" w14:textId="56EFC66F" w:rsidR="00D81C91" w:rsidRPr="00726CFC" w:rsidRDefault="00D81C91" w:rsidP="00B1037F">
      <w:pPr>
        <w:pStyle w:val="BodyText"/>
        <w:spacing w:after="0"/>
        <w:ind w:firstLine="708"/>
      </w:pPr>
    </w:p>
    <w:tbl>
      <w:tblPr>
        <w:tblStyle w:val="TableGrid"/>
        <w:tblW w:w="0" w:type="auto"/>
        <w:tblLook w:val="04A0" w:firstRow="1" w:lastRow="0" w:firstColumn="1" w:lastColumn="0" w:noHBand="0" w:noVBand="1"/>
      </w:tblPr>
      <w:tblGrid>
        <w:gridCol w:w="9062"/>
      </w:tblGrid>
      <w:tr w:rsidR="00E61EFF" w:rsidRPr="00E61EFF" w14:paraId="2356862B" w14:textId="1A834148" w:rsidTr="00D81C91">
        <w:tc>
          <w:tcPr>
            <w:tcW w:w="9062" w:type="dxa"/>
          </w:tcPr>
          <w:p w14:paraId="70F93441" w14:textId="20EF61AF" w:rsidR="00D81C91" w:rsidRPr="00726CFC" w:rsidRDefault="00D81C91" w:rsidP="00B1037F">
            <w:pPr>
              <w:pStyle w:val="BodyText"/>
              <w:spacing w:after="0"/>
              <w:rPr>
                <w:b/>
              </w:rPr>
            </w:pPr>
            <w:r>
              <w:rPr>
                <w:b/>
              </w:rPr>
              <w:t>Denumirea aplicației</w:t>
            </w:r>
          </w:p>
        </w:tc>
      </w:tr>
      <w:tr w:rsidR="00E61EFF" w:rsidRPr="00E61EFF" w14:paraId="66C7050E" w14:textId="16B754B7" w:rsidTr="00D81C91">
        <w:tc>
          <w:tcPr>
            <w:tcW w:w="9062" w:type="dxa"/>
          </w:tcPr>
          <w:p w14:paraId="4965F078" w14:textId="4B0C63D0" w:rsidR="00D81C91" w:rsidRPr="00726CFC" w:rsidRDefault="00D81C91" w:rsidP="00B1037F">
            <w:pPr>
              <w:pStyle w:val="BodyText"/>
              <w:spacing w:after="0"/>
            </w:pPr>
            <w:r>
              <w:t>Scan4Chem</w:t>
            </w:r>
          </w:p>
        </w:tc>
      </w:tr>
    </w:tbl>
    <w:p w14:paraId="1FC04C90" w14:textId="19B7644C" w:rsidR="00D81C91" w:rsidRPr="00726CFC" w:rsidRDefault="00D81C91" w:rsidP="00B1037F">
      <w:pPr>
        <w:pStyle w:val="BodyText"/>
        <w:spacing w:after="0"/>
        <w:ind w:firstLine="708"/>
      </w:pPr>
    </w:p>
    <w:p w14:paraId="0D92619C" w14:textId="43B7563E" w:rsidR="00D81C91" w:rsidRDefault="00D81C91" w:rsidP="00B1037F">
      <w:pPr>
        <w:pStyle w:val="BodyText"/>
        <w:spacing w:after="0"/>
        <w:ind w:firstLine="708"/>
      </w:pPr>
    </w:p>
    <w:sectPr w:rsidR="00D81C91" w:rsidSect="004A62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9D81" w14:textId="77777777" w:rsidR="00630526" w:rsidRDefault="00630526">
      <w:pPr>
        <w:spacing w:after="0" w:line="240" w:lineRule="auto"/>
      </w:pPr>
      <w:r>
        <w:separator/>
      </w:r>
    </w:p>
  </w:endnote>
  <w:endnote w:type="continuationSeparator" w:id="0">
    <w:p w14:paraId="1A2B30B0" w14:textId="77777777" w:rsidR="00630526" w:rsidRDefault="0063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BE2E" w14:textId="77777777" w:rsidR="004853D9" w:rsidRDefault="00485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312F" w14:textId="77777777" w:rsidR="004853D9" w:rsidRDefault="00485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0123" w14:textId="77777777" w:rsidR="004853D9" w:rsidRDefault="0048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B945" w14:textId="77777777" w:rsidR="00630526" w:rsidRDefault="00630526">
      <w:pPr>
        <w:spacing w:after="0" w:line="240" w:lineRule="auto"/>
      </w:pPr>
      <w:r>
        <w:separator/>
      </w:r>
    </w:p>
  </w:footnote>
  <w:footnote w:type="continuationSeparator" w:id="0">
    <w:p w14:paraId="7EEC1730" w14:textId="77777777" w:rsidR="00630526" w:rsidRDefault="00630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3BD6" w14:textId="58DDAB8F" w:rsidR="004853D9" w:rsidRDefault="00000000">
    <w:pPr>
      <w:pStyle w:val="Header"/>
    </w:pPr>
    <w:r>
      <w:pict w14:anchorId="562B5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10" o:spid="_x0000_s1028" type="#_x0000_t136" style="position:absolute;margin-left:0;margin-top:0;width:426.35pt;height:213.15pt;rotation:315;z-index:-251654144;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979" w14:textId="0F307D94" w:rsidR="009334E2" w:rsidRDefault="00000000">
    <w:pPr>
      <w:pStyle w:val="Header"/>
    </w:pPr>
    <w:r>
      <w:pict w14:anchorId="3B358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11" o:spid="_x0000_s1029" type="#_x0000_t136" style="position:absolute;margin-left:0;margin-top:0;width:426.35pt;height:213.15pt;rotation:315;z-index:-25165209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5B289F">
      <w:rPr>
        <w:noProof/>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sidR="005B289F">
      <w:rPr>
        <w:noProof/>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sidR="005B289F">
      <w:rPr>
        <w:noProof/>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C80C" w14:textId="3A97F358" w:rsidR="004853D9" w:rsidRDefault="00000000">
    <w:pPr>
      <w:pStyle w:val="Header"/>
    </w:pPr>
    <w:r>
      <w:pict w14:anchorId="5E2E8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09" o:spid="_x0000_s1027" type="#_x0000_t136" style="position:absolute;margin-left:0;margin-top:0;width:426.35pt;height:213.15pt;rotation:315;z-index:-25165619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598321170">
    <w:abstractNumId w:val="2"/>
  </w:num>
  <w:num w:numId="2" w16cid:durableId="427971591">
    <w:abstractNumId w:val="0"/>
  </w:num>
  <w:num w:numId="3" w16cid:durableId="150585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F"/>
    <w:rsid w:val="00001828"/>
    <w:rsid w:val="00093D84"/>
    <w:rsid w:val="00097C62"/>
    <w:rsid w:val="000A7B23"/>
    <w:rsid w:val="000C4231"/>
    <w:rsid w:val="000E31B4"/>
    <w:rsid w:val="000E434B"/>
    <w:rsid w:val="000E60D5"/>
    <w:rsid w:val="000F291C"/>
    <w:rsid w:val="00115F86"/>
    <w:rsid w:val="00176A22"/>
    <w:rsid w:val="001B00EC"/>
    <w:rsid w:val="001E0F47"/>
    <w:rsid w:val="001F2CA7"/>
    <w:rsid w:val="001F42AC"/>
    <w:rsid w:val="001F4F6F"/>
    <w:rsid w:val="00213EBB"/>
    <w:rsid w:val="0025560A"/>
    <w:rsid w:val="002A2636"/>
    <w:rsid w:val="002A2F6F"/>
    <w:rsid w:val="002A6556"/>
    <w:rsid w:val="002B525C"/>
    <w:rsid w:val="002F207E"/>
    <w:rsid w:val="00395596"/>
    <w:rsid w:val="003A6706"/>
    <w:rsid w:val="003C100A"/>
    <w:rsid w:val="0042419E"/>
    <w:rsid w:val="004635A2"/>
    <w:rsid w:val="004853D9"/>
    <w:rsid w:val="00486DD2"/>
    <w:rsid w:val="004A622E"/>
    <w:rsid w:val="004E36CB"/>
    <w:rsid w:val="004F2858"/>
    <w:rsid w:val="00563C1E"/>
    <w:rsid w:val="005852D6"/>
    <w:rsid w:val="005B044B"/>
    <w:rsid w:val="005B289F"/>
    <w:rsid w:val="005C3CFF"/>
    <w:rsid w:val="005D1350"/>
    <w:rsid w:val="005F1592"/>
    <w:rsid w:val="00605C77"/>
    <w:rsid w:val="00623DE6"/>
    <w:rsid w:val="0062476C"/>
    <w:rsid w:val="00630526"/>
    <w:rsid w:val="00631556"/>
    <w:rsid w:val="00646164"/>
    <w:rsid w:val="0068723C"/>
    <w:rsid w:val="006B3944"/>
    <w:rsid w:val="006B6B73"/>
    <w:rsid w:val="006B6BF5"/>
    <w:rsid w:val="006E762D"/>
    <w:rsid w:val="00716136"/>
    <w:rsid w:val="00726CFC"/>
    <w:rsid w:val="007508FC"/>
    <w:rsid w:val="00751294"/>
    <w:rsid w:val="00756EAD"/>
    <w:rsid w:val="00761548"/>
    <w:rsid w:val="00774894"/>
    <w:rsid w:val="007C1F2F"/>
    <w:rsid w:val="007C2486"/>
    <w:rsid w:val="007C2FA5"/>
    <w:rsid w:val="007D346E"/>
    <w:rsid w:val="007E33DE"/>
    <w:rsid w:val="007E539E"/>
    <w:rsid w:val="007E7567"/>
    <w:rsid w:val="007F3B43"/>
    <w:rsid w:val="007F4495"/>
    <w:rsid w:val="00822E51"/>
    <w:rsid w:val="0082665B"/>
    <w:rsid w:val="008375A2"/>
    <w:rsid w:val="0087290D"/>
    <w:rsid w:val="008777F6"/>
    <w:rsid w:val="008932F1"/>
    <w:rsid w:val="008E0490"/>
    <w:rsid w:val="008F0D1B"/>
    <w:rsid w:val="0092595E"/>
    <w:rsid w:val="009329A3"/>
    <w:rsid w:val="009334E2"/>
    <w:rsid w:val="009761BA"/>
    <w:rsid w:val="009926D2"/>
    <w:rsid w:val="009C2695"/>
    <w:rsid w:val="009D1B93"/>
    <w:rsid w:val="009D6371"/>
    <w:rsid w:val="00A20BB0"/>
    <w:rsid w:val="00A34FEB"/>
    <w:rsid w:val="00A40310"/>
    <w:rsid w:val="00A43970"/>
    <w:rsid w:val="00A75350"/>
    <w:rsid w:val="00A85973"/>
    <w:rsid w:val="00AC201F"/>
    <w:rsid w:val="00AC7D4F"/>
    <w:rsid w:val="00B02D2F"/>
    <w:rsid w:val="00B1037F"/>
    <w:rsid w:val="00B6771C"/>
    <w:rsid w:val="00B80A07"/>
    <w:rsid w:val="00B8106B"/>
    <w:rsid w:val="00BA7F96"/>
    <w:rsid w:val="00BC0155"/>
    <w:rsid w:val="00BC4BCE"/>
    <w:rsid w:val="00C057BC"/>
    <w:rsid w:val="00C17BBA"/>
    <w:rsid w:val="00C57297"/>
    <w:rsid w:val="00C84F23"/>
    <w:rsid w:val="00CA2467"/>
    <w:rsid w:val="00CB3012"/>
    <w:rsid w:val="00CB61EF"/>
    <w:rsid w:val="00CD2D5F"/>
    <w:rsid w:val="00D21849"/>
    <w:rsid w:val="00D501FA"/>
    <w:rsid w:val="00D60460"/>
    <w:rsid w:val="00D726ED"/>
    <w:rsid w:val="00D745B3"/>
    <w:rsid w:val="00D81C91"/>
    <w:rsid w:val="00D85ECB"/>
    <w:rsid w:val="00DB044A"/>
    <w:rsid w:val="00DD0857"/>
    <w:rsid w:val="00DF00AF"/>
    <w:rsid w:val="00DF11E0"/>
    <w:rsid w:val="00E61837"/>
    <w:rsid w:val="00E61EFF"/>
    <w:rsid w:val="00E90A59"/>
    <w:rsid w:val="00E95D8C"/>
    <w:rsid w:val="00EA1CD5"/>
    <w:rsid w:val="00EB057C"/>
    <w:rsid w:val="00EB6569"/>
    <w:rsid w:val="00EB7F23"/>
    <w:rsid w:val="00ED0489"/>
    <w:rsid w:val="00ED414C"/>
    <w:rsid w:val="00F1656B"/>
    <w:rsid w:val="00F20EB5"/>
    <w:rsid w:val="00F434A3"/>
    <w:rsid w:val="00F51871"/>
    <w:rsid w:val="00F6703C"/>
    <w:rsid w:val="00F817B6"/>
    <w:rsid w:val="00F854A3"/>
    <w:rsid w:val="00F92020"/>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9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5557"/>
    <w:rPr>
      <w:rFonts w:ascii="Segoe UI" w:hAnsi="Segoe UI" w:cs="Segoe UI"/>
      <w:sz w:val="18"/>
      <w:szCs w:val="18"/>
    </w:rPr>
  </w:style>
  <w:style w:type="character" w:styleId="CommentReference">
    <w:name w:val="annotation reference"/>
    <w:basedOn w:val="DefaultParagraphFont"/>
    <w:uiPriority w:val="99"/>
    <w:semiHidden/>
    <w:unhideWhenUsed/>
    <w:qFormat/>
    <w:rsid w:val="009D549D"/>
    <w:rPr>
      <w:sz w:val="16"/>
      <w:szCs w:val="16"/>
    </w:rPr>
  </w:style>
  <w:style w:type="character" w:customStyle="1" w:styleId="CommentTextChar">
    <w:name w:val="Comment Text Char"/>
    <w:basedOn w:val="DefaultParagraphFont"/>
    <w:link w:val="CommentText"/>
    <w:uiPriority w:val="99"/>
    <w:semiHidden/>
    <w:qFormat/>
    <w:rsid w:val="009D549D"/>
    <w:rPr>
      <w:sz w:val="20"/>
      <w:szCs w:val="20"/>
    </w:rPr>
  </w:style>
  <w:style w:type="character" w:customStyle="1" w:styleId="CommentSubjectChar">
    <w:name w:val="Comment Subject Char"/>
    <w:basedOn w:val="CommentTextChar"/>
    <w:link w:val="CommentSubject"/>
    <w:uiPriority w:val="99"/>
    <w:semiHidden/>
    <w:qFormat/>
    <w:rsid w:val="009D549D"/>
    <w:rPr>
      <w:b/>
      <w:bCs/>
      <w:sz w:val="20"/>
      <w:szCs w:val="20"/>
    </w:rPr>
  </w:style>
  <w:style w:type="character" w:customStyle="1" w:styleId="LienInternet">
    <w:name w:val="Lien Internet"/>
    <w:basedOn w:val="DefaultParagraphFont"/>
    <w:uiPriority w:val="99"/>
    <w:unhideWhenUsed/>
    <w:rsid w:val="00C641CC"/>
    <w:rPr>
      <w:color w:val="0000FF"/>
      <w:u w:val="single"/>
    </w:rPr>
  </w:style>
  <w:style w:type="character" w:customStyle="1" w:styleId="BodyTextChar">
    <w:name w:val="Body Text Char"/>
    <w:basedOn w:val="DefaultParagraphFont"/>
    <w:link w:val="BodyText"/>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7D346E"/>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DefaultParagraphFont"/>
    <w:uiPriority w:val="99"/>
    <w:qFormat/>
    <w:rsid w:val="00C43AFA"/>
  </w:style>
  <w:style w:type="character" w:customStyle="1" w:styleId="FooterChar">
    <w:name w:val="Footer Char"/>
    <w:basedOn w:val="DefaultParagraphFont"/>
    <w:link w:val="Footer"/>
    <w:uiPriority w:val="99"/>
    <w:qFormat/>
    <w:rsid w:val="00C43AFA"/>
  </w:style>
  <w:style w:type="character" w:customStyle="1" w:styleId="FootnoteTextChar">
    <w:name w:val="Footnote Text Char"/>
    <w:basedOn w:val="DefaultParagraphFont"/>
    <w:link w:val="FootnoteText"/>
    <w:uiPriority w:val="99"/>
    <w:semiHidden/>
    <w:qFormat/>
    <w:rsid w:val="00C64AF7"/>
    <w:rPr>
      <w:sz w:val="20"/>
      <w:szCs w:val="20"/>
    </w:rPr>
  </w:style>
  <w:style w:type="character" w:styleId="FootnoteReference">
    <w:name w:val="footnote reference"/>
    <w:basedOn w:val="DefaultParagraphFon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le">
    <w:name w:val="Title"/>
    <w:basedOn w:val="Normal"/>
    <w:next w:val="BodyText"/>
    <w:qFormat/>
    <w:rsid w:val="004A622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paragraph" w:styleId="List">
    <w:name w:val="List"/>
    <w:basedOn w:val="BodyText"/>
    <w:rsid w:val="004A622E"/>
    <w:rPr>
      <w:rFonts w:cs="Lucida Sans"/>
    </w:rPr>
  </w:style>
  <w:style w:type="paragraph" w:styleId="Caption">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BalloonText">
    <w:name w:val="Balloon Text"/>
    <w:basedOn w:val="Normal"/>
    <w:link w:val="BalloonTextChar"/>
    <w:uiPriority w:val="99"/>
    <w:semiHidden/>
    <w:unhideWhenUsed/>
    <w:qFormat/>
    <w:rsid w:val="00B755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D549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549D"/>
    <w:rPr>
      <w:b/>
      <w:bCs/>
    </w:rPr>
  </w:style>
  <w:style w:type="paragraph" w:customStyle="1" w:styleId="SNDate">
    <w:name w:val="SNDate"/>
    <w:basedOn w:val="Normal"/>
    <w:next w:val="Normal"/>
    <w:link w:val="SNDateCar"/>
    <w:autoRedefine/>
    <w:qFormat/>
    <w:rsid w:val="007D346E"/>
    <w:pPr>
      <w:spacing w:after="0" w:line="240" w:lineRule="auto"/>
      <w:ind w:firstLine="567"/>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uiPriority w:val="99"/>
    <w:unhideWhenUsed/>
    <w:rsid w:val="00C43AFA"/>
    <w:pPr>
      <w:tabs>
        <w:tab w:val="center" w:pos="4536"/>
        <w:tab w:val="right" w:pos="9072"/>
      </w:tabs>
      <w:spacing w:after="0" w:line="240" w:lineRule="auto"/>
    </w:pPr>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D346E"/>
    <w:pPr>
      <w:spacing w:after="0" w:line="276" w:lineRule="auto"/>
      <w:ind w:left="539"/>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TableGrid">
    <w:name w:val="Table Grid"/>
    <w:basedOn w:val="Table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E539E"/>
    <w:rPr>
      <w:color w:val="0000FF"/>
      <w:u w:val="single"/>
    </w:rPr>
  </w:style>
  <w:style w:type="paragraph" w:customStyle="1" w:styleId="SNObjet">
    <w:name w:val="SNObjet"/>
    <w:basedOn w:val="Normal"/>
    <w:qFormat/>
    <w:rsid w:val="007D346E"/>
    <w:pPr>
      <w:widowControl w:val="0"/>
      <w:suppressLineNumbers/>
      <w:suppressAutoHyphens/>
      <w:spacing w:after="119" w:line="240" w:lineRule="auto"/>
      <w:jc w:val="both"/>
    </w:pPr>
    <w:rPr>
      <w:rFonts w:ascii="Times New Roman" w:eastAsia="Lucida Sans Unicode" w:hAnsi="Times New Roman" w:cs="Times New Roman"/>
      <w:b/>
      <w:color w:val="00000A"/>
      <w:sz w:val="24"/>
      <w:szCs w:val="24"/>
      <w:lang w:eastAsia="zh-CN"/>
    </w:rPr>
  </w:style>
  <w:style w:type="paragraph" w:customStyle="1" w:styleId="SNSignatureDroite">
    <w:name w:val="SNSignatureDroite"/>
    <w:basedOn w:val="Normal"/>
    <w:next w:val="SNSignatureGauche"/>
    <w:qFormat/>
    <w:rsid w:val="007D346E"/>
    <w:pPr>
      <w:suppressAutoHyphens/>
      <w:spacing w:after="0" w:line="240" w:lineRule="auto"/>
      <w:ind w:firstLine="567"/>
    </w:pPr>
    <w:rPr>
      <w:rFonts w:ascii="Times New Roman" w:eastAsia="Times New Roman" w:hAnsi="Times New Roman" w:cs="Times New 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84D7-B858-441B-97B7-1070A3BB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5926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Anastasia Stavroulaki</cp:lastModifiedBy>
  <cp:revision>5</cp:revision>
  <dcterms:created xsi:type="dcterms:W3CDTF">2023-02-28T15:40:00Z</dcterms:created>
  <dcterms:modified xsi:type="dcterms:W3CDTF">2023-03-27T15:20:00Z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