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2D7B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ze dne 4. srpna 2021 o požadavcích na energetickou a ekologickou náročnost budov v kontinentální Francii a kterou se schvaluje metoda výpočtu podle článku R. 172-6 zákoníku o výstavbě a bydlení</w:t>
      </w:r>
    </w:p>
    <w:p w14:paraId="6B6A81B7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I: OBECNÁ USTANOVENÍ (články 1 až 7)</w:t>
      </w:r>
    </w:p>
    <w:p w14:paraId="6FFF2A3F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II: SPECIFIKACE VYJÁDŘENÍ POŽADAVKŮ NA ENERGETICKOU A EKOLOGICKOU NÁROČNOST (články 8 až 18)</w:t>
      </w:r>
    </w:p>
    <w:p w14:paraId="2B04B68A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III: TEPELNÉ VLASTNOSTI A POŽADAVKY NA PROSTŘEDKY (NA JEDNOTLIVÝ PRVEK) (články 19 až 40)</w:t>
      </w:r>
    </w:p>
    <w:p w14:paraId="6EDB8527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IV: NÁVRH ZJEDNODUŠENÝCH APLIKAČNÍCH METOD V JEDNOTLIVÝCH DOMECH (články 41 až 42)</w:t>
      </w:r>
    </w:p>
    <w:p w14:paraId="76900BC5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V: ZVLÁŠTNÍ PŘÍPADY (články 43 až 44)</w:t>
      </w:r>
    </w:p>
    <w:p w14:paraId="0F208645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Hlava VI: RŮZNÁ USTANOVENÍ (články 45 až 52)</w:t>
      </w:r>
    </w:p>
    <w:p w14:paraId="6DCBC8B9" w14:textId="77777777" w:rsidR="001E2566" w:rsidRPr="001E2566" w:rsidRDefault="001E2566" w:rsidP="001E2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Příloha</w:t>
      </w:r>
    </w:p>
    <w:p w14:paraId="3DE0623C" w14:textId="519B99D1" w:rsidR="001E2566" w:rsidRPr="001E2566" w:rsidRDefault="001E2566" w:rsidP="001E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Dotčené subjekty: stavebníci, vedoucí stavby, stavitelé a developeři, architekti, projektové kanceláře pro tepelná řešení a řešení dopadu na životní prostředí, stavební ekonomové, techničtí inspektoři, stavební společnosti, výrobci stavebních materiálů a technických systémů budov, dodavatelé energie v kontinentální Francii, editoři softwaru. </w:t>
      </w:r>
      <w:r>
        <w:rPr>
          <w:rFonts w:ascii="Times New Roman" w:hAnsi="Times New Roman"/>
          <w:sz w:val="24"/>
        </w:rPr>
        <w:br/>
        <w:t xml:space="preserve">Předmět: pro nové budovy a přístavby budov v metropolitní Francii, stanovení požadavků na jejich energetické a environmentální vlastnosti; přesnosti stanovení jejich energetické a ekologické náročnosti; stanovení metody výpočtu jejich energetické a ekologické náročnosti. </w:t>
      </w:r>
      <w:r>
        <w:rPr>
          <w:rFonts w:ascii="Times New Roman" w:hAnsi="Times New Roman"/>
          <w:sz w:val="24"/>
        </w:rPr>
        <w:br/>
        <w:t xml:space="preserve">Vstup v platnost: tyto požadavky, jakož i metoda výpočtu se použijí od 1. ledna 2022 na výstavbu budov nebo částí budov určených k bydlení a od 1. července 2022 na výstavbu budov nebo částí budov určených k použití jako kanceláře nebo pro základní a střední vzdělávání. Vztahují se rovněž na dočasné stavby a přístavby, v závislosti na jejich povrchové ploše, používané pro stejné účely od 1. ledna 2023. Tyto požadavky se vztahují rovněž na stavby, včetně staveb, které nevyžadují stavební povolení nebo předchozí ohlášení. </w:t>
      </w:r>
      <w:r>
        <w:rPr>
          <w:rFonts w:ascii="Times New Roman" w:hAnsi="Times New Roman"/>
          <w:sz w:val="24"/>
        </w:rPr>
        <w:br/>
        <w:t xml:space="preserve">Upozornění: v této vyhlášce se stanoví požadavky na zdroje (nebo na jednotlivé prvky), které musí splňovat výše uvedené budovy nacházející se v kontinentální Francii. Specifikuje, jak stanovit těchto pět (nebo celkových) výsledných požadavků: (1) optimalizace energetického návrhu budovy nezávisle na zavedených energetických systémech; (2) omezení spotřeby primární energie, 3) omezení dopadu na změnu klimatu ve spojení s touto spotřebou; (4) omezení dopadu stavebních prvků na změnu klimatu; (5) omezení situací nepohodlí v budově během léta. Na závěr: tato vyhláška stanoví metodu výpočtu energetické a ekologické náročnosti bytových a kancelářských budov a budov základních nebo středních škol v kontinentální Francii, a to prostřednictvím tří příloh: </w:t>
      </w:r>
      <w:r>
        <w:rPr>
          <w:rFonts w:ascii="Times New Roman" w:hAnsi="Times New Roman"/>
          <w:sz w:val="24"/>
        </w:rPr>
        <w:br/>
      </w:r>
      <w:r w:rsidR="007D71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PŘÍLOHA II: Obecná pravidla pro výpočet energetické a ekologické náročnosti; </w:t>
      </w:r>
      <w:r>
        <w:rPr>
          <w:rFonts w:ascii="Times New Roman" w:hAnsi="Times New Roman"/>
          <w:sz w:val="24"/>
        </w:rPr>
        <w:br/>
      </w:r>
      <w:r w:rsidR="007D71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PŘÍLOHA III: Metoda výpočtu „Th-ECB 2020“, která podrobně popisuje pravidla pro výpočet energetické náročnosti; </w:t>
      </w:r>
      <w:r>
        <w:rPr>
          <w:rFonts w:ascii="Times New Roman" w:hAnsi="Times New Roman"/>
          <w:sz w:val="24"/>
        </w:rPr>
        <w:br/>
      </w:r>
      <w:r w:rsidR="007D71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PŘÍLOHA IV: Pravidla „Th-Bat 2020“ k určení vstupních údajů pro výpočty energetické náročnosti. </w:t>
      </w:r>
      <w:r>
        <w:rPr>
          <w:rFonts w:ascii="Times New Roman" w:hAnsi="Times New Roman"/>
          <w:sz w:val="24"/>
        </w:rPr>
        <w:br/>
        <w:t xml:space="preserve">Odkazy: text pozměněný touto vyhláškou je k nahlédnutí na webových stránkách Legifrance (www.legifrance.gouv.fr). </w:t>
      </w:r>
    </w:p>
    <w:p w14:paraId="6425698B" w14:textId="77777777" w:rsidR="001E2566" w:rsidRPr="001E2566" w:rsidRDefault="001E2566" w:rsidP="001E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Ministryně pro ekologickou transformaci a pověřený ministr při ministryni pro ekologickou transformaci, odpovědný za bydlení s ohledem na směrnici Evropského parlamentu a Rady 2010/31/EU ze dne 19. května 2010 o energetické náročnosti budov ve znění směrnice Evropského parlamentu a Rady (EU) 2018/844 ze dne 30. května 2018, a zejména na její článek 3;</w:t>
      </w:r>
      <w:r>
        <w:rPr>
          <w:rFonts w:ascii="Times New Roman" w:hAnsi="Times New Roman"/>
          <w:sz w:val="24"/>
        </w:rPr>
        <w:br/>
        <w:t>s ohledem na směrnici Evropského parlamentu a Rady (EU) 2015/1535 ze dne 9. září 2015 o postupu při poskytování informací v oblasti technických předpisů a předpisů pro služby informační společnosti (kodifikované znění);</w:t>
      </w:r>
      <w:r>
        <w:rPr>
          <w:rFonts w:ascii="Times New Roman" w:hAnsi="Times New Roman"/>
          <w:sz w:val="24"/>
        </w:rPr>
        <w:br/>
        <w:t>s ohledem na zákoník o výstavbě a bydlení, a zejména na jeho články L. 181-1, R. 172-1 až R. 172-9 a R. 126-16;</w:t>
      </w:r>
      <w:r>
        <w:rPr>
          <w:rFonts w:ascii="Times New Roman" w:hAnsi="Times New Roman"/>
          <w:sz w:val="24"/>
        </w:rPr>
        <w:br/>
        <w:t>s ohledem na energetický zákoník a zejména na jeho články R. 241-26 a R. 241-30;</w:t>
      </w:r>
      <w:r>
        <w:rPr>
          <w:rFonts w:ascii="Times New Roman" w:hAnsi="Times New Roman"/>
          <w:sz w:val="24"/>
        </w:rPr>
        <w:br/>
        <w:t>s ohledem na zákoník o územním plánování a zejména na jeho články L. 151-19, R*. 421-2 a R*. 421-5;</w:t>
      </w:r>
      <w:r>
        <w:rPr>
          <w:rFonts w:ascii="Times New Roman" w:hAnsi="Times New Roman"/>
          <w:sz w:val="24"/>
        </w:rPr>
        <w:br/>
        <w:t>s ohledem na vyhlášku ze dne 3. května 2007 o tepelných vlastnostech a energetické náročnosti stávajících budov, v níž jsou uvedeny všechny dotčené stavební práce a která stanoví související požadavky, ve znění vyhlášky ze dne 22. března 2017;</w:t>
      </w:r>
      <w:r>
        <w:rPr>
          <w:rFonts w:ascii="Times New Roman" w:hAnsi="Times New Roman"/>
          <w:sz w:val="24"/>
        </w:rPr>
        <w:br/>
        <w:t>s ohledem na vyhlášku ze dne 13. června 2008 o energetické náročnosti stávajících budov s povrchovou plochou přesahující 1 000 m², pokud procházejí větší renovací;</w:t>
      </w:r>
      <w:r>
        <w:rPr>
          <w:rFonts w:ascii="Times New Roman" w:hAnsi="Times New Roman"/>
          <w:sz w:val="24"/>
        </w:rPr>
        <w:br/>
        <w:t>s ohledem na vyhlášku ze dne 26. října 2010 o tepelných vlastnostech a požadavcích na energetickou náročnost nových budov a nových částí budov;</w:t>
      </w:r>
      <w:r>
        <w:rPr>
          <w:rFonts w:ascii="Times New Roman" w:hAnsi="Times New Roman"/>
          <w:sz w:val="24"/>
        </w:rPr>
        <w:br/>
        <w:t>s ohledem na vyhlášku ze dne 28. prosince 2012 o tepelných vlastnostech a požadavcích na energetickou náročnost nových budov a nových částí budov, na něž se nevztahuje článek 2 vyhlášky ze dne 26. října 2010 o tepelných vlastnostech a energetické náročnosti budov;</w:t>
      </w:r>
      <w:r>
        <w:rPr>
          <w:rFonts w:ascii="Times New Roman" w:hAnsi="Times New Roman"/>
          <w:sz w:val="24"/>
        </w:rPr>
        <w:br/>
        <w:t>s ohledem na stanovisko vrchní rady pro energetiku (CSE) ze dne 25. března 2021;</w:t>
      </w:r>
      <w:r>
        <w:rPr>
          <w:rFonts w:ascii="Times New Roman" w:hAnsi="Times New Roman"/>
          <w:sz w:val="24"/>
        </w:rPr>
        <w:br/>
        <w:t>s ohledem na stanovisko vrchní rady pro stavebnictví a energetickou účinnost ze dne 13. dubna 2021;</w:t>
      </w:r>
      <w:r>
        <w:rPr>
          <w:rFonts w:ascii="Times New Roman" w:hAnsi="Times New Roman"/>
          <w:sz w:val="24"/>
        </w:rPr>
        <w:br/>
        <w:t>s ohledem na stanoviska národní rady pro posuzování norem ze dne 1. dubna a 6. května 2021;</w:t>
      </w:r>
      <w:r>
        <w:rPr>
          <w:rFonts w:ascii="Times New Roman" w:hAnsi="Times New Roman"/>
          <w:sz w:val="24"/>
        </w:rPr>
        <w:br/>
        <w:t>s ohledem na oznámení č. 2020/791/F a č. 2020/792/F zaslaná Evropské komisi dne 14. prosince 2020 a na odpověď Komise ze dne 15. června 2021;</w:t>
      </w:r>
      <w:r>
        <w:rPr>
          <w:rFonts w:ascii="Times New Roman" w:hAnsi="Times New Roman"/>
          <w:sz w:val="24"/>
        </w:rPr>
        <w:br/>
        <w:t>s ohledem na připomínky předložené během veřejného projednávání, které se uskutečnilo ve dnech 23. března 2021 až 13. dubna 2021, při použití článku L. 123-19-1 zákoníku životního prostředí,</w:t>
      </w:r>
      <w:r>
        <w:rPr>
          <w:rFonts w:ascii="Times New Roman" w:hAnsi="Times New Roman"/>
          <w:sz w:val="24"/>
        </w:rPr>
        <w:br/>
        <w:t>nařizují:</w:t>
      </w:r>
    </w:p>
    <w:p w14:paraId="0A4ED9DC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I: OBECNÁ USTANOVENÍ (články 1 až 7)</w:t>
      </w:r>
    </w:p>
    <w:p w14:paraId="0E0870AB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 I: OBLAST PŮSOBNOSTI (články 1 až 2)</w:t>
      </w:r>
    </w:p>
    <w:p w14:paraId="74D6F5E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</w:t>
      </w:r>
    </w:p>
    <w:p w14:paraId="75A3CDEB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Ustanovení této vyhlášky se vztahují na výstavbu budov a částí budov určených k bydlení, použití jako kanceláře nebo pro základní a střední vzdělávání, které podléhají článku R. 172-1 stavebního a bytového zákoníku, jakož i na výstavbu parkovišť spojených s těmito stavbami.</w:t>
      </w:r>
      <w:r>
        <w:rPr>
          <w:rFonts w:ascii="Times New Roman" w:hAnsi="Times New Roman"/>
          <w:sz w:val="24"/>
        </w:rPr>
        <w:br/>
        <w:t>Nevztahují se na budovy nacházející se na Guadeloupe, Guyaně, Martiniku, Réunionu a Mayotte.</w:t>
      </w:r>
    </w:p>
    <w:p w14:paraId="281FA31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Článek 2</w:t>
      </w:r>
    </w:p>
    <w:p w14:paraId="60C0606D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Část budovy může být přizpůsobena hlavnímu využití budovy s uplatněním souvisejících požadavků, jsou-li splněny následující kumulativní podmínky:</w:t>
      </w:r>
    </w:p>
    <w:p w14:paraId="4F4022D8" w14:textId="1A48DC92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B67DD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referenční plocha dané části budovy je menší než 150 m² a menší než 10 % referenční plochy hlavního využití budovy;</w:t>
      </w:r>
      <w:r>
        <w:rPr>
          <w:rFonts w:ascii="Times New Roman" w:hAnsi="Times New Roman"/>
          <w:sz w:val="24"/>
        </w:rPr>
        <w:br/>
      </w:r>
      <w:r w:rsidR="00B67DD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část budovy odpovídající hlavnímu využití podléhá této vyhlášce nebo vyhlášce ze dne 26. října 2010 nebo výše uvedené vyhlášce ze dne 28. prosince 2012.</w:t>
      </w:r>
    </w:p>
    <w:p w14:paraId="6A858BDD" w14:textId="2B31EF2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Část budovy užívaná jako samostatný dům nelze přizpůsobit k jinému využití.</w:t>
      </w:r>
      <w:r>
        <w:rPr>
          <w:rFonts w:ascii="Times New Roman" w:hAnsi="Times New Roman"/>
          <w:sz w:val="24"/>
        </w:rPr>
        <w:br/>
        <w:t>Referenční plocha budovy, označená Sref, je definována v kapitole X přílohy článku R. 172</w:t>
      </w:r>
      <w:r w:rsidR="00B67DD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 zákona o výstavbě a bydlení. Není-li uvedeno jinak, jedná se o povrchovou plochu použitou v této vyhlášce.</w:t>
      </w:r>
    </w:p>
    <w:p w14:paraId="20537D7F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II: POSTUPY PRO DOČASNÉ POUŽITÍ (článek 3)</w:t>
      </w:r>
    </w:p>
    <w:p w14:paraId="3E022D4E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</w:t>
      </w:r>
    </w:p>
    <w:p w14:paraId="7490DDB4" w14:textId="532CD48F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FE52A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 souladu s čl. R. 172-1 odst. II zákona o výstavbě a bydlení se ustanovení této vyhlášky použijí až od 1. ledna 2023 na lehká rekreační obydlí ve smyslu článku R.* 421-2 zákona o územním plánování a na dočasné stavby ve smyslu článku R.* 421-5 téhož zákoníku.</w:t>
      </w:r>
      <w:r>
        <w:rPr>
          <w:rFonts w:ascii="Times New Roman" w:hAnsi="Times New Roman"/>
          <w:sz w:val="24"/>
        </w:rPr>
        <w:br/>
        <w:t xml:space="preserve">II. </w:t>
      </w:r>
      <w:r w:rsidR="00FE52A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 souladu s článkem R. 172-3 zákona o výstavbě a bydlení se ustanovení této vyhlášky použijí až od 1. ledna 2023 na:</w:t>
      </w:r>
    </w:p>
    <w:p w14:paraId="74963075" w14:textId="2C3796D6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FE52A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budovy a přístavby budov s referenční plochou menší než 50 m²;</w:t>
      </w:r>
      <w:r>
        <w:rPr>
          <w:rFonts w:ascii="Times New Roman" w:hAnsi="Times New Roman"/>
          <w:sz w:val="24"/>
        </w:rPr>
        <w:br/>
      </w:r>
      <w:r w:rsidR="00FE52A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přístavby jednotlivých nebo přilehlých domů o referenční ploše mezi 50 m² a 100 m²;</w:t>
      </w:r>
      <w:r>
        <w:rPr>
          <w:rFonts w:ascii="Times New Roman" w:hAnsi="Times New Roman"/>
          <w:sz w:val="24"/>
        </w:rPr>
        <w:br/>
      </w:r>
      <w:r w:rsidR="00FE52A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rozšíření pro jiná použití než jednotlivé domy s referenční plochou menší než 150 m² a 30 % referenční plochy stávajících prostor.</w:t>
      </w:r>
    </w:p>
    <w:p w14:paraId="40CDF243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Na tyto budovy se do 31. prosince 2022 použijí pouze ustanovení výše uvedené vyhlášky ze dne 26. října 2010.</w:t>
      </w:r>
    </w:p>
    <w:p w14:paraId="37D3D4A0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III: DEFINICE (článek 4)</w:t>
      </w:r>
    </w:p>
    <w:p w14:paraId="5490C143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</w:t>
      </w:r>
    </w:p>
    <w:p w14:paraId="5052F796" w14:textId="3C3F2534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Pojmy nezbytné pro pochopení této vyhlášky jsou definovány v příloze I. Indikátory Bbio, Cep, Cep, nr, Icenergy, Icconstruction, DH, Icbuilding, StockC, Icconstruction a Icded, jakož i maximální hodnoty Bbio_max, Cep_max, Cep, nr_max, Icenergy_max, Icconstruction_max a DH_max, uvedené v této vyhlášce, </w:t>
      </w:r>
      <w:r>
        <w:rPr>
          <w:rFonts w:ascii="Times New Roman" w:hAnsi="Times New Roman"/>
          <w:sz w:val="24"/>
        </w:rPr>
        <w:lastRenderedPageBreak/>
        <w:t>jsou definovány v příloze k článku R. 172-4, kapitole I oddílech I až IX zákoníku o výstavbě a bydlení.</w:t>
      </w:r>
    </w:p>
    <w:p w14:paraId="19F123F0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IV: POŽADAVKY NA ENERGETICKOU A EKOLOGICKOU NÁROČNOST A MINIMÁLNÍ TECHNICKÉ VLASTNOSTI (články 5 až 7)</w:t>
      </w:r>
    </w:p>
    <w:p w14:paraId="52FC7DF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5</w:t>
      </w:r>
    </w:p>
    <w:p w14:paraId="3B7A178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Budovy nebo jejich části, na které se vztahuje tato vyhláška, musí splňovat požadavky stanovené v článku R. 172-4 zákona o výstavbě a bydlení a určené v souladu s postupy stanovenými v příloze tohoto článku a v článku 8 tohoto nařízení.</w:t>
      </w:r>
    </w:p>
    <w:p w14:paraId="55E61805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6</w:t>
      </w:r>
    </w:p>
    <w:p w14:paraId="7734609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Minimální technické vlastnosti některých stavebních prvků nebo sestav součástí budov, na které se vztahuje tato vyhláška, musí splňovat požadavky stanovené v hlavě III tohoto nařízení.</w:t>
      </w:r>
    </w:p>
    <w:p w14:paraId="2F6971F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7</w:t>
      </w:r>
    </w:p>
    <w:p w14:paraId="7B46021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Budovy, jejichž vlastnosti vyhovují zjednodušeným aplikačním metodám schváleným za podmínek popsaných v hlavě IV této vyhlášky, se považují za budovy splňující požadavky této vyhlášky.</w:t>
      </w:r>
    </w:p>
    <w:p w14:paraId="47CB4C1A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II: SPECIFIKACE VYJÁDŘENÍ POŽADAVKŮ NA ENERGETICKOU A EKOLOGICKOU NÁROČNOST (články 8 až 18)</w:t>
      </w:r>
    </w:p>
    <w:p w14:paraId="5D33652C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 V: POSOUZENÍ SOULADU S POŽADAVKY (články 8 až 17)</w:t>
      </w:r>
    </w:p>
    <w:p w14:paraId="17BD402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8</w:t>
      </w:r>
    </w:p>
    <w:p w14:paraId="5251B7C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Metoda výpočtu přiložená k dodatkům II až IV této vyhlášky a stanovená v článku 172-6 zákoníku o výstavbě a bydlení se schvaluje.</w:t>
      </w:r>
      <w:r>
        <w:rPr>
          <w:rFonts w:ascii="Times New Roman" w:hAnsi="Times New Roman"/>
          <w:sz w:val="24"/>
        </w:rPr>
        <w:br/>
        <w:t>V souladu s odstavcem I téhož článku tato metoda výpočtu určuje energetickou a environmentální náročnost budovy, zejména s odkazem na ukazatele popsané v oddílech I až IX kapitoly I přílohy článku R. 172-4 téhož zákoníku, na základě vlastností budovy a jejích prvků.</w:t>
      </w:r>
      <w:r>
        <w:rPr>
          <w:rFonts w:ascii="Times New Roman" w:hAnsi="Times New Roman"/>
          <w:sz w:val="24"/>
        </w:rPr>
        <w:br/>
        <w:t>Konkrétně:</w:t>
      </w:r>
    </w:p>
    <w:p w14:paraId="240366CB" w14:textId="7049A41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28215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tyto ukazatele se vypočítají s důrazem na konvenční údaje o klimatu a intenzitě použití;</w:t>
      </w:r>
      <w:r>
        <w:rPr>
          <w:rFonts w:ascii="Times New Roman" w:hAnsi="Times New Roman"/>
          <w:sz w:val="24"/>
        </w:rPr>
        <w:br/>
      </w:r>
      <w:r w:rsidR="0028215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ukazatele Bbio, Cep, nr a Cep se vypočítají za jeden rok;</w:t>
      </w:r>
      <w:r>
        <w:rPr>
          <w:rFonts w:ascii="Times New Roman" w:hAnsi="Times New Roman"/>
          <w:sz w:val="24"/>
        </w:rPr>
        <w:br/>
      </w:r>
      <w:r w:rsidR="0028215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ukazatele dopadu na změnu klimatu Icenergie, Icconstruction a Icbuilding se vypočítají pomocí koeficientů uvedených v článku 11, přičemž se má dle konvence </w:t>
      </w:r>
      <w:r>
        <w:rPr>
          <w:rFonts w:ascii="Times New Roman" w:hAnsi="Times New Roman"/>
          <w:sz w:val="24"/>
        </w:rPr>
        <w:lastRenderedPageBreak/>
        <w:t>za to, že životnost budovy je 50 let;</w:t>
      </w:r>
      <w:r>
        <w:rPr>
          <w:rFonts w:ascii="Times New Roman" w:hAnsi="Times New Roman"/>
          <w:sz w:val="24"/>
        </w:rPr>
        <w:br/>
      </w:r>
      <w:r w:rsidR="0028215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výpočet ukazatele Cep, nr zohlední koeficienty definované v bodu I článku 9;</w:t>
      </w:r>
      <w:r>
        <w:rPr>
          <w:rFonts w:ascii="Times New Roman" w:hAnsi="Times New Roman"/>
          <w:sz w:val="24"/>
        </w:rPr>
        <w:br/>
      </w:r>
      <w:r w:rsidR="0028215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výpočet ukazatele Cep zohlední koeficienty definované v bodu II článku 9;</w:t>
      </w:r>
      <w:r>
        <w:rPr>
          <w:rFonts w:ascii="Times New Roman" w:hAnsi="Times New Roman"/>
          <w:sz w:val="24"/>
        </w:rPr>
        <w:br/>
      </w:r>
      <w:r w:rsidR="0028215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výpočet ukazatele Icenergie zohlední koeficienty definované v článku 10.</w:t>
      </w:r>
    </w:p>
    <w:p w14:paraId="318B4101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9</w:t>
      </w:r>
    </w:p>
    <w:p w14:paraId="4649933D" w14:textId="08CA00E1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6A192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stanovení ukazatele Cep, nr popsaného v této vyhlášce se použijí transformační koeficienty energie vstupující do budovy jako neobnovitelná primární energie a jsou dle konvence považovány za rovnocenné: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5614"/>
      </w:tblGrid>
      <w:tr w:rsidR="001E2566" w:rsidRPr="001E2566" w14:paraId="03A442A7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256C4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Druh energie dodávané budovou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75B3E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Transformační koeficienty energie vstupující do budovy jako neobnovitelná primární energie</w:t>
            </w:r>
          </w:p>
        </w:tc>
      </w:tr>
      <w:tr w:rsidR="001E2566" w:rsidRPr="001E2566" w14:paraId="02F9CDC9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AE13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Dřevo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BEB96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</w:t>
            </w:r>
          </w:p>
        </w:tc>
      </w:tr>
      <w:tr w:rsidR="001E2566" w:rsidRPr="001E2566" w14:paraId="5071D2D7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847E6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1F06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2,3</w:t>
            </w:r>
          </w:p>
        </w:tc>
      </w:tr>
      <w:tr w:rsidR="001E2566" w:rsidRPr="001E2566" w14:paraId="6B34C051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5BA5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Síť dálkového vytápění (teplo)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A51B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 – Poměr sítě obnovitelné energie nebo rekuperace (teplo)</w:t>
            </w:r>
          </w:p>
        </w:tc>
      </w:tr>
      <w:tr w:rsidR="001E2566" w:rsidRPr="001E2566" w14:paraId="11E3C06C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D684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Síť dálkového vytápění (chlad)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5FCC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  <w:tr w:rsidR="001E2566" w:rsidRPr="001E2566" w14:paraId="1879306E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9A242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Metanový plyn (přírodní) ze sítí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2B291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  <w:tr w:rsidR="001E2566" w:rsidRPr="001E2566" w14:paraId="5423AE22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3B7EF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Obnovitelná energie zachycená na budově nebo pozemku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5312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</w:t>
            </w:r>
          </w:p>
        </w:tc>
      </w:tr>
      <w:tr w:rsidR="001E2566" w:rsidRPr="001E2566" w14:paraId="5D189660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2AF6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Ostatní energie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0CB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</w:tbl>
    <w:p w14:paraId="134DC3EF" w14:textId="4F08AF8F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Poměr využití energie z obnovitelných zdrojů nebo městské sítě vytápění se stanoví pořadím pro každou existující infrastrukturu.</w:t>
      </w:r>
      <w:r>
        <w:rPr>
          <w:rFonts w:ascii="Times New Roman" w:hAnsi="Times New Roman"/>
          <w:sz w:val="24"/>
        </w:rPr>
        <w:br/>
        <w:t xml:space="preserve">II. </w:t>
      </w:r>
      <w:r w:rsidR="0014336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Transformační koeficienty energie vstupující do budovy jako primární energie se použijí při stanovení indikátoru Cep a jsou konvenčně přijaty tak, aby se rovnaly: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5317"/>
      </w:tblGrid>
      <w:tr w:rsidR="001E2566" w:rsidRPr="001E2566" w14:paraId="7F10621C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2603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Druh energie dodávané budovou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3221C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Transformační koeficienty energie vstupující do budovy jako primární energie</w:t>
            </w:r>
          </w:p>
        </w:tc>
      </w:tr>
      <w:tr w:rsidR="001E2566" w:rsidRPr="001E2566" w14:paraId="2E3006DC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D97D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Dřevo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45A1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  <w:tr w:rsidR="001E2566" w:rsidRPr="001E2566" w14:paraId="3475E907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3E0E5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762CA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2,3</w:t>
            </w:r>
          </w:p>
        </w:tc>
      </w:tr>
      <w:tr w:rsidR="001E2566" w:rsidRPr="001E2566" w14:paraId="519FACF8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7EF2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Dálková síť (vytápění)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D5B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  <w:tr w:rsidR="001E2566" w:rsidRPr="001E2566" w14:paraId="1E8A9457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82DA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Dálková síť (chlazení)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E074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  <w:tr w:rsidR="001E2566" w:rsidRPr="001E2566" w14:paraId="3C376AD2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98B0C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Metanový plyn (přírodní) ze sítí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82319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  <w:tr w:rsidR="001E2566" w:rsidRPr="001E2566" w14:paraId="25C777C9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9D421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Obnovitelná energie zachycená na budově nebo pozemku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C7A9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</w:t>
            </w:r>
          </w:p>
        </w:tc>
      </w:tr>
      <w:tr w:rsidR="001E2566" w:rsidRPr="001E2566" w14:paraId="3EAB93A1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283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Ostatní energie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C4A5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</w:t>
            </w:r>
          </w:p>
        </w:tc>
      </w:tr>
    </w:tbl>
    <w:p w14:paraId="574B6F56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Energie vyprodukovaná budovou jménem sítě, jakož i případné množství energie dovezené budovou k výrobě této energie, nemají podle konvence vliv na ukazatele Cep, nr, Cep a Icenergy budovy.</w:t>
      </w:r>
    </w:p>
    <w:p w14:paraId="03FB2D0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10</w:t>
      </w:r>
    </w:p>
    <w:p w14:paraId="55FA5561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Transformační koeficienty energie vstupující do budovy jako množství emitovaných skleníkových plynů se použijí při stanovení ukazatele Icenergie a jsou přijímány konvenčně tak, aby se rovnaly: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5"/>
        <w:gridCol w:w="5311"/>
      </w:tblGrid>
      <w:tr w:rsidR="001E2566" w:rsidRPr="001E2566" w14:paraId="67699F6C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A5828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Druh energie na kWh EF LCV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E247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kg ekvivalentu CO2 na kilowatthodinu konečné energie v LCV</w:t>
            </w:r>
          </w:p>
        </w:tc>
      </w:tr>
      <w:tr w:rsidR="001E2566" w:rsidRPr="001E2566" w14:paraId="433A56DA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E612" w14:textId="0F1AC288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Dřevo, biomasa </w:t>
            </w:r>
            <w:r w:rsidR="005835C4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dřevní štěpky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39B3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0,024</w:t>
            </w:r>
          </w:p>
        </w:tc>
      </w:tr>
      <w:tr w:rsidR="001E2566" w:rsidRPr="001E2566" w14:paraId="6FEE8720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C655" w14:textId="3AF13F91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Dřevo, biomasa </w:t>
            </w:r>
            <w:r w:rsidR="005835C4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granule (pelety) nebo brikety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F7C4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0,03</w:t>
            </w:r>
          </w:p>
        </w:tc>
      </w:tr>
      <w:tr w:rsidR="001E2566" w:rsidRPr="001E2566" w14:paraId="3F76A038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DBB3" w14:textId="7B9E9FBE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Dřevo, biomasa </w:t>
            </w:r>
            <w:r w:rsidR="005835C4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kulatina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32C48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0,03</w:t>
            </w:r>
          </w:p>
        </w:tc>
      </w:tr>
      <w:tr w:rsidR="001E2566" w:rsidRPr="001E2566" w14:paraId="1D8F8431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6AEC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 pro vytápění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ACC2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0,079</w:t>
            </w:r>
          </w:p>
        </w:tc>
      </w:tr>
      <w:tr w:rsidR="001E2566" w:rsidRPr="001E2566" w14:paraId="0521189D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0CF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 pro chlazení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220CD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0,064</w:t>
            </w:r>
          </w:p>
        </w:tc>
      </w:tr>
      <w:tr w:rsidR="001E2566" w:rsidRPr="001E2566" w14:paraId="2BD2419E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0517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 pro teplou užitkovou vodu (DHW)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23D31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0,065</w:t>
            </w:r>
          </w:p>
        </w:tc>
      </w:tr>
      <w:tr w:rsidR="001E2566" w:rsidRPr="001E2566" w14:paraId="1FB47D15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C0272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 pro terciární osvětlení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6A428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0,064</w:t>
            </w:r>
          </w:p>
        </w:tc>
      </w:tr>
      <w:tr w:rsidR="001E2566" w:rsidRPr="001E2566" w14:paraId="6BB14274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4D7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Elektřina pro bytové osvětlení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CC3D3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0,069</w:t>
            </w:r>
          </w:p>
        </w:tc>
      </w:tr>
      <w:tr w:rsidR="001E2566" w:rsidRPr="001E2566" w14:paraId="25B9B5C8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3CF4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Elektřina pro jiné účely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203D5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0,064</w:t>
            </w:r>
          </w:p>
        </w:tc>
      </w:tr>
      <w:tr w:rsidR="001E2566" w:rsidRPr="001E2566" w14:paraId="4D1590AD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845C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Metanový plyn (přírodní) ze sítí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59AE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0,227</w:t>
            </w:r>
          </w:p>
        </w:tc>
      </w:tr>
      <w:tr w:rsidR="001E2566" w:rsidRPr="001E2566" w14:paraId="4269FA7A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C0C1F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Butanový plyn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E1D9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0,272</w:t>
            </w:r>
          </w:p>
        </w:tc>
      </w:tr>
      <w:tr w:rsidR="001E2566" w:rsidRPr="001E2566" w14:paraId="31935C49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0072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Propanový plyn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D055A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0,272</w:t>
            </w:r>
          </w:p>
        </w:tc>
      </w:tr>
      <w:tr w:rsidR="001E2566" w:rsidRPr="001E2566" w14:paraId="46FE0210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2978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Ostatní fosilní paliva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CF56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0,324</w:t>
            </w:r>
          </w:p>
        </w:tc>
      </w:tr>
    </w:tbl>
    <w:p w14:paraId="19A20844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Emisní faktor pro městské sítě vytápění nebo chlazení je definován pořadím pro každou existující infrastrukturu.</w:t>
      </w:r>
    </w:p>
    <w:p w14:paraId="7823D41E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11</w:t>
      </w:r>
    </w:p>
    <w:p w14:paraId="118D84AD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Váhové koeficienty použité pro výpočet ukazatelů dopadu na změnu klimatu Icenergy, Icconstruction a Icbuilding v závislosti na roce emisí a druhu emitovaného plynu se považují za koeficienty rovnající se:</w:t>
      </w:r>
    </w:p>
    <w:p w14:paraId="7D27AB66" w14:textId="77777777" w:rsidR="001E2566" w:rsidRPr="001E2566" w:rsidRDefault="001E2566" w:rsidP="001E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E75DFD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Celý text s obrázky si můžete prohlédnout ve výtahu z ověřeného elektronického Úředního věstníku, který je k dispozici v dolní části stránky</w:t>
      </w:r>
    </w:p>
    <w:p w14:paraId="480DAF84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12</w:t>
      </w:r>
    </w:p>
    <w:p w14:paraId="5013377D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Software umožňující zcela nebo částečně výpočet ukazatelů popsaných v I až IX kapitoly I přílohy článku R. 172-4 zákona o výstavbě a bydlení za účelem ověření souladu s výše uvedeným článkem a tato vyhláška musí dodržovat metodu výpočtu uvedenou v článku 8.</w:t>
      </w:r>
      <w:r>
        <w:rPr>
          <w:rFonts w:ascii="Times New Roman" w:hAnsi="Times New Roman"/>
          <w:sz w:val="24"/>
        </w:rPr>
        <w:br/>
        <w:t>Za tímto účelem musí vycházet z výpočetního nástroje pro ukazatele Bbio, Cep, nr, Cep a DH, který je k dispozici na požádání v souladu s článkem L. 121-2 zákoníku o výstavbě a bydlení. Aktualizace tohoto nástroje se začlení do jednoho měsíce od jejich uvolnění do příslušného softwaru.</w:t>
      </w:r>
      <w:r>
        <w:rPr>
          <w:rFonts w:ascii="Times New Roman" w:hAnsi="Times New Roman"/>
          <w:sz w:val="24"/>
        </w:rPr>
        <w:br/>
        <w:t>Veškeré regulační použití tohoto softwaru musí být nejprve schváleno ministrem energetiky a ministrem odpovědným za stavebnictví, zejména za účelem ověření, zda jsou získané výsledky v souladu s metodou výpočtu a zda vstupní rozhraní minimalizuje riziko chyb při zadávání modelářů.</w:t>
      </w:r>
      <w:r>
        <w:rPr>
          <w:rFonts w:ascii="Times New Roman" w:hAnsi="Times New Roman"/>
          <w:sz w:val="24"/>
        </w:rPr>
        <w:br/>
        <w:t>Jako přechodné opatření lze software, který provedl vlastní kontrolu, používat pro regulační účely pro simulace prováděné do 30. června 2022.</w:t>
      </w:r>
      <w:r>
        <w:rPr>
          <w:rFonts w:ascii="Times New Roman" w:hAnsi="Times New Roman"/>
          <w:sz w:val="24"/>
        </w:rPr>
        <w:br/>
        <w:t>Příloha V popisuje postupy pro vlastní kontroly a schvalovací postup pro tento software.</w:t>
      </w:r>
      <w:r>
        <w:rPr>
          <w:rFonts w:ascii="Times New Roman" w:hAnsi="Times New Roman"/>
          <w:sz w:val="24"/>
        </w:rPr>
        <w:br/>
        <w:t>Schválení se obnovuje po pravidelném přezkumu za těchto podmínek:</w:t>
      </w:r>
    </w:p>
    <w:p w14:paraId="0C449CC4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- doba platnosti první inspekce je dva roky;</w:t>
      </w:r>
      <w:r>
        <w:rPr>
          <w:rFonts w:ascii="Times New Roman" w:hAnsi="Times New Roman"/>
          <w:sz w:val="24"/>
        </w:rPr>
        <w:br/>
        <w:t>- doba platnosti schválení se prodlouží o pět let po přezkumu, který neidentifikuje žádné významné odchylky od metody výpočtu platné v době předložení přezkumného souboru;</w:t>
      </w:r>
      <w:r>
        <w:rPr>
          <w:rFonts w:ascii="Times New Roman" w:hAnsi="Times New Roman"/>
          <w:sz w:val="24"/>
        </w:rPr>
        <w:br/>
        <w:t>- doba platnosti schválení se prodlouží o 2 roky až 5 let po přezkoumání, které vedlo k nápravě významných odchylek od metody výpočtu platné v době předložení přezkumné dokumentace.</w:t>
      </w:r>
    </w:p>
    <w:p w14:paraId="3F3EC353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Schválení lze kdykoli odejmout, zejména poté, co byla zjištěna významná odchylka od metody výpočtu platné v době pozorování, nebo po zjištění nejméně tří případů, kdy nedošlo k integraci určitých systémů přítomných v metodě výpočtu platné v době uvedeného zjištění.</w:t>
      </w:r>
    </w:p>
    <w:p w14:paraId="65D822DD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13</w:t>
      </w:r>
    </w:p>
    <w:p w14:paraId="2FBE5EB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Hodnoty použité jako vstupní údaje pro výpočet uvedený v článku 8 a popisující geometrické vlastnosti budovy musí odpovídat plánům stavby, pokud budova nebyla dokončena, nebo skutečně využitým množstvím po dokončení stavby.</w:t>
      </w:r>
      <w:r>
        <w:rPr>
          <w:rFonts w:ascii="Times New Roman" w:hAnsi="Times New Roman"/>
          <w:sz w:val="24"/>
        </w:rPr>
        <w:br/>
        <w:t>Délky, plochy nebo orientace budovy a jejích součástí jsou součástí dat popisujících geometrické vlastnosti budovy.</w:t>
      </w:r>
    </w:p>
    <w:p w14:paraId="3544519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14</w:t>
      </w:r>
    </w:p>
    <w:p w14:paraId="18FA25A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Hodnoty použité jako vstupní údaje pro výpočet uvedený v článku 8 a popisující množství stavebních výrobků nebo zařízení použitých v budově musí odpovídat odhadovanému množství potřebnému pro stavbu budovy, pokud nebyla dokončena, nebo množství skutečně použitých po dokončení stavby.</w:t>
      </w:r>
    </w:p>
    <w:p w14:paraId="4F82784A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15</w:t>
      </w:r>
    </w:p>
    <w:p w14:paraId="5B4D90D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– Hodnoty použité jako vstupní údaje pro výpočet uvedený v článku 8 a popisující tepelné vlastnosti stavebních prvků musí odpovídat charakteristikám konstrukčních částí předpokládaných pro stavbu budovy, pokud nebyla dokončena, nebo charakteristikám skutečně použitých komponentů po dokončení stavby.</w:t>
      </w:r>
      <w:r>
        <w:rPr>
          <w:rFonts w:ascii="Times New Roman" w:hAnsi="Times New Roman"/>
          <w:sz w:val="24"/>
        </w:rPr>
        <w:br/>
        <w:t>Tyto tepelné vlastnosti se získají pro každou složku takto:</w:t>
      </w:r>
    </w:p>
    <w:p w14:paraId="49B964E9" w14:textId="0BA7A1EC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6672D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vztahuje-li se na tuto konstrukční část harmonizované technické specifikace nařízení č. 305/2001 ze dne 9. března 2011, harmonizované normy nebo evropské dokumenty pro posuzování, přičemž v takovém případě budou výrobky opatřeny označením CE, a pokud je v těchto specifikacích stanovena hodnota tepelných vlastností, použije se tato hodnota v souladu s postupy stanovenými v článku 8;</w:t>
      </w:r>
      <w:r>
        <w:rPr>
          <w:rFonts w:ascii="Times New Roman" w:hAnsi="Times New Roman"/>
          <w:sz w:val="24"/>
        </w:rPr>
        <w:br/>
      </w:r>
      <w:r w:rsidR="006672D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pokud tomu tak není a pokud je tepelná charakteristika získána odkazem na francouzské normy nebo technická stanoviska nebo rovnocenné vnitrostátní normy přijaté členským státem Evropské unie nebo stranou Dohody o EHP nebo </w:t>
      </w:r>
      <w:r>
        <w:rPr>
          <w:rFonts w:ascii="Times New Roman" w:hAnsi="Times New Roman"/>
          <w:sz w:val="24"/>
        </w:rPr>
        <w:lastRenderedPageBreak/>
        <w:t>Tureckem a jsou vydány nezávislým třetím subjektem oznámeným podle směrnice 305/2011, který je uznán členským státem Evropské unie nebo státem, který je stranou Dohody o založení Evropského hospodářského prostoru, použije se tato hodnota v souladu s postupy stanovenými v článku 8. Výhoda tohoto ustanovení se použije pouze v období předcházejícím použití harmonizované evropské normy nebo evropského technického schválení. Bez ohledu na pravidla pro zaokrouhlování stanovená těmito různými normami nebo technickými posudky nemůže být hodnota použitá jako vstupní údaje v případě potřeby příznivější než hodnota získaná z provedeného měření.</w:t>
      </w:r>
    </w:p>
    <w:p w14:paraId="68612751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Není-li možné získat charakteristickou hodnotu podle výše uvedených postupů, použije se standardní hodnota definovaná výpočtovou metodou uvedenou v článku 8, s výjimkou standardní hodnoty užitečné tepelné vodivosti pro biologickou izolaci, jak je definována v příloze XII této vyhlášky.</w:t>
      </w:r>
      <w:r>
        <w:rPr>
          <w:rFonts w:ascii="Times New Roman" w:hAnsi="Times New Roman"/>
          <w:sz w:val="24"/>
        </w:rPr>
        <w:br/>
        <w:t>II. V budovách určených k bydlení v případě, že při dodání budovy zbývá provést určité práce na instalaci energetického systému, musí být použity standardní údaje v souladu s metodou uvedenou v článku 8.</w:t>
      </w:r>
    </w:p>
    <w:p w14:paraId="722E451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16</w:t>
      </w:r>
    </w:p>
    <w:p w14:paraId="741E3895" w14:textId="50B62A74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FD415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Hodnoty použité jako vstupní údaje pro výpočet indikátorů Icconstruction a Icbuilding musí odpovídat charakteristikám konstrukčních částí plánovaných pro stavbu v době, kdy budova nebyla dokončena, nebo charakteristikám prvků skutečně použitých po dokončení prací. Odchylně od tohoto ustanovení je možné použít vstupní údaj odpovídající konstrukční části s vlastnostmi, které jsou vyšší než vlastnosti předpokládané nebo použité součásti, za předpokladu, že jsou součástí stejného rozsahu od stejného výrobce.</w:t>
      </w:r>
      <w:r>
        <w:rPr>
          <w:rFonts w:ascii="Times New Roman" w:hAnsi="Times New Roman"/>
          <w:sz w:val="24"/>
        </w:rPr>
        <w:br/>
        <w:t>Tyto hodnoty se získají pro každou složku na základě environmentálních prohlášení poskytnutých výrobci v souladu s pravidly stanovenými vyhláškou, nebo pokud takové údaje nejsou k dispozici, prostřednictvím standardních environmentálních údajů poskytnutých ministrem odpovědným za výstavbu.</w:t>
      </w:r>
      <w:r>
        <w:rPr>
          <w:rFonts w:ascii="Times New Roman" w:hAnsi="Times New Roman"/>
          <w:sz w:val="24"/>
        </w:rPr>
        <w:br/>
        <w:t>Pokud u konstrukční části budovy nejsou k dispozici žádné informace splňující vlastnosti uvedené v předchozím odstavci, musí být složka popsána ve výpočtu a informace o životním prostředí definované jako „prázdná“ s ní musí být spojeny; žádost o vytvoření výchozího environmentálního data odpovídajícího komponentu se dále podává prostřednictvím internetových stránek uvedených na internetových stránkách ministerstva odpovědného za výstavbu.</w:t>
      </w:r>
      <w:r>
        <w:rPr>
          <w:rFonts w:ascii="Times New Roman" w:hAnsi="Times New Roman"/>
          <w:sz w:val="24"/>
        </w:rPr>
        <w:br/>
        <w:t xml:space="preserve">II. </w:t>
      </w:r>
      <w:r w:rsidR="00FD415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 případě, že po dodání budovy zbývá provést určité práce, použijí se k popisu těchto prací standardní údaje v souladu s metodou uvedenou v článku 8.</w:t>
      </w:r>
      <w:r>
        <w:rPr>
          <w:rFonts w:ascii="Times New Roman" w:hAnsi="Times New Roman"/>
          <w:sz w:val="24"/>
        </w:rPr>
        <w:br/>
        <w:t xml:space="preserve">III. </w:t>
      </w:r>
      <w:r w:rsidR="00FD415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 některých souborů stavebních prvků a v závislosti na využití budovy je možné nahradit požadavky uvedené v I a II tohoto článku a popsat jejich dopad na změnu klimatu prostřednictvím pevně stanovených hodnot. Soubory dotčených součástí a odpovídající hodnoty jsou uvedeny v příloze XI.</w:t>
      </w:r>
      <w:r>
        <w:rPr>
          <w:rFonts w:ascii="Times New Roman" w:hAnsi="Times New Roman"/>
          <w:sz w:val="24"/>
        </w:rPr>
        <w:br/>
        <w:t xml:space="preserve">IV. </w:t>
      </w:r>
      <w:r w:rsidR="00FD415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Údaje, které mohou být použity v souladu s bodem I tohoto článku, jsou údaje dostupné v den dokončení výpočtu ukazatelů Icconstruction, Icded a Icbuilding. Pokud však byly údaje použity při předchozím výpočtu těchto ukazatelů, poté aktualizovány nebo vymazány, zůstávají použitelné za podmínek stanovených v bodu I tohoto článku.</w:t>
      </w:r>
    </w:p>
    <w:p w14:paraId="466D9E3F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Článek 17</w:t>
      </w:r>
    </w:p>
    <w:p w14:paraId="765CA2F0" w14:textId="72344FC8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2C3F1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Hodnota propustnosti vzduchu v budově se získá:</w:t>
      </w:r>
    </w:p>
    <w:p w14:paraId="5AE3B909" w14:textId="381505FC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2C3F1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 budov určených k bydlení buď měřením, nebo přijetím kvalitativního přístupu pro vzduchotěsnost budovy v souladu s postupy stanovenými v příloze VII této vyhlášky;</w:t>
      </w:r>
      <w:r>
        <w:rPr>
          <w:rFonts w:ascii="Times New Roman" w:hAnsi="Times New Roman"/>
          <w:sz w:val="24"/>
        </w:rPr>
        <w:br/>
      </w:r>
      <w:r w:rsidR="002C3F1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 jiných typů budov lze hodnotu propustnosti budovy odůvodnit měřením v souladu s metodami definovanými v příloze VII této vyhlášky. Při neexistenci měření podle těchto metod se použije standardní hodnota definovaná výpočtovou metodou uvedenou v článku 8;</w:t>
      </w:r>
    </w:p>
    <w:p w14:paraId="6D3E852E" w14:textId="4982AC2D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případě měření propustnosti odběrem vzorků se získané hodnoty naměřených hodnot vynásobí číslem 1.2.</w:t>
      </w:r>
      <w:r>
        <w:rPr>
          <w:rFonts w:ascii="Times New Roman" w:hAnsi="Times New Roman"/>
          <w:sz w:val="24"/>
        </w:rPr>
        <w:br/>
        <w:t>V případě, že práce, která by mohla ovlivnit propustnost obydlí, zůstává po dodání provedena, a pokud není k dispozici rezervace, která by zabránila vzniku úniku během této práce, zvýší se získané hodnoty propustnosti o 0,3 m³/(h.m²).</w:t>
      </w:r>
      <w:r>
        <w:rPr>
          <w:rFonts w:ascii="Times New Roman" w:hAnsi="Times New Roman"/>
          <w:sz w:val="24"/>
        </w:rPr>
        <w:br/>
        <w:t>Tato dvě zvýšení musí být v tomto pořadí kumulativní.</w:t>
      </w:r>
      <w:r>
        <w:rPr>
          <w:rFonts w:ascii="Times New Roman" w:hAnsi="Times New Roman"/>
          <w:sz w:val="24"/>
        </w:rPr>
        <w:br/>
        <w:t xml:space="preserve">II. </w:t>
      </w:r>
      <w:r w:rsidR="002C3F1B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všechny budovy se hodnota propustnosti pro ventilační sítě získá buď měřením, nebo přijetím kvalitativního přístupu pro vzduchotěsnost ventilačních sítí v souladu s postupy stanovenými v příloze VII tohoto nařízení. V případě neexistence měření a přístupu ke kvalitě podle těchto metod se použije standardní hodnota definovaná výpočtovou metodou uvedenou v článku 8.</w:t>
      </w:r>
      <w:r>
        <w:rPr>
          <w:rFonts w:ascii="Times New Roman" w:hAnsi="Times New Roman"/>
          <w:sz w:val="24"/>
        </w:rPr>
        <w:br/>
        <w:t>Je-li měření odůvodněno propustností budovy nebo propustností leteckých sítí, musí být osobou provádějící měření osoba uznaná ministrem odpovědným za výstavbu za způsobilou, a to nezávisle na žadateli a na subjektech podílejících se na realizaci nebo projektovém řízení dotčených budov.</w:t>
      </w:r>
    </w:p>
    <w:p w14:paraId="128819AB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VI: ODŮVODNĚNÍ UPLATNĚNÍ POŽADAVKŮ (článek 18)</w:t>
      </w:r>
    </w:p>
    <w:p w14:paraId="0A4D749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18</w:t>
      </w:r>
    </w:p>
    <w:p w14:paraId="587E729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Nejpozději po dokončení prací vypracuje vlastník budovy standardizovaný digitální souhrn energetické a environmentální studie ze softwaru, který splňuje požadavky článku 12.</w:t>
      </w:r>
      <w:r>
        <w:rPr>
          <w:rFonts w:ascii="Times New Roman" w:hAnsi="Times New Roman"/>
          <w:sz w:val="24"/>
        </w:rPr>
        <w:br/>
        <w:t>Obsah a formát standardizovaného shrnutí energetické a environmentální studie, která má být vypracována, jsou popsány v příloze VI. V případě, že požadavky této vyhlášky, na které se vztahuje hlava IV této vyhlášky, jsou uplatňovány v souladu se schváleným zjednodušeným postupem nebo způsobem použití, specifikuje zjednodušený postup nebo způsob použití obsah a formát standardizovaného shrnutí energetické a environmentální studie, která má být vypracována.</w:t>
      </w:r>
      <w:r>
        <w:rPr>
          <w:rFonts w:ascii="Times New Roman" w:hAnsi="Times New Roman"/>
          <w:sz w:val="24"/>
        </w:rPr>
        <w:br/>
        <w:t>Tyto údaje uchovává a předává vlastník budovy v souladu s článkem R. 172-8 zákona o výstavbě a bydlení.</w:t>
      </w:r>
    </w:p>
    <w:p w14:paraId="05FDD083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III: TEPELNÉ VLASTNOSTI A POŽADAVKY NA PROSTŘEDKY (NA JEDNOTLIVÝ PRVEK) (články 19 až 40)</w:t>
      </w:r>
    </w:p>
    <w:p w14:paraId="7534EF07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Kapitola VII: OVĚŘENÍ VÝKONNOSTI PO STAVBĚ (články 19 až 20)</w:t>
      </w:r>
    </w:p>
    <w:p w14:paraId="0AC2DDA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19</w:t>
      </w:r>
    </w:p>
    <w:p w14:paraId="70BDF7C1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 jednotlivých nebo přilehlých domů a společných obytných budov je propustnost pláště budovy podle 4 Pa, Q4Pa-surf stanovená v souladu s článkem 17 menší nebo rovna:</w:t>
      </w:r>
      <w:r>
        <w:rPr>
          <w:rFonts w:ascii="Times New Roman" w:hAnsi="Times New Roman"/>
          <w:sz w:val="24"/>
        </w:rPr>
        <w:br/>
        <w:t>0,60 m³/(h.m²) využitých stěn, s výjimkou nízkých podlah, v samostatném nebo sousedním domě.</w:t>
      </w:r>
      <w:r>
        <w:rPr>
          <w:rFonts w:ascii="Times New Roman" w:hAnsi="Times New Roman"/>
          <w:sz w:val="24"/>
        </w:rPr>
        <w:br/>
        <w:t>1,00 m³/(h.m²) stěn odolných vůči ztrátám, s výjimkou nízkých podlah, ve společné obytné budově.</w:t>
      </w:r>
    </w:p>
    <w:p w14:paraId="42D687C5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20</w:t>
      </w:r>
    </w:p>
    <w:p w14:paraId="3B2376B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budovách a částech budov určených k bydlení, aby bylo zajištěno jeho řádné fungování, musí být každý ventilační systém v budově kontrolován a jeho výkonnost měřena osobou uznanou ministrem odpovědným za výstavbu za způsobilou v souladu s ustanoveními přílohy VIII. Musí být v souladu s protokolem o ověřování větracího systému uvedeným v téže příloze.</w:t>
      </w:r>
    </w:p>
    <w:p w14:paraId="5A8D543E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VIII: TEPELNÁ IZOLACE (články 21 až 22)</w:t>
      </w:r>
    </w:p>
    <w:p w14:paraId="7AE5B69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21</w:t>
      </w:r>
    </w:p>
    <w:p w14:paraId="599AF0E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Příčky oddělující nepřetržitě obsazené části budovy od nespojitě obsazených částí budovy musí mít koeficient prostupu tepla U, jak je definován ve výpočetní metodě uvedené v článku 8, který nesmí překročit průměrnou hodnotu 0,36 W/(m².K). Uvažovaným povrchem je plocha výše uvedených přepážek.</w:t>
      </w:r>
    </w:p>
    <w:p w14:paraId="2817FE1F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22</w:t>
      </w:r>
    </w:p>
    <w:p w14:paraId="3B7CB3F1" w14:textId="310FD733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Aby se zabránilo jakémukoli riziku fyzického nebo mikrobiologického poškození materiálů, jako je zhutnění izolace nebo vývoj formy, musí být jakákoli budova nebo část budovy navržena a postavena tak, aby se za běžných podmínek obsazenosti zabránilo jakékoli situaci, která by mohla vést ke vzniku kondenzace na povrchu nebo uvnitř stěn, a to buď v jediném případě, nebo rozloženém způsobem, není-li taková kondenzace pouze dočasná.</w:t>
      </w:r>
      <w:r>
        <w:rPr>
          <w:rFonts w:ascii="Times New Roman" w:hAnsi="Times New Roman"/>
          <w:sz w:val="24"/>
        </w:rPr>
        <w:br/>
        <w:t>Za tímto účelem musí splňovat jeden z požadavků I nebo II tohoto článku:</w:t>
      </w:r>
      <w:r>
        <w:rPr>
          <w:rFonts w:ascii="Times New Roman" w:hAnsi="Times New Roman"/>
          <w:sz w:val="24"/>
        </w:rPr>
        <w:br/>
        <w:t xml:space="preserve">I. </w:t>
      </w:r>
      <w:r w:rsidR="00CC28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musí mít povrchovou teplotu nižší než 15 °C, v zimních podmínkách, na holém vnitřku izolace a na holém vnitřku izolace, a to v jakémkoli místě na těchto plochách.</w:t>
      </w:r>
      <w:r>
        <w:rPr>
          <w:rFonts w:ascii="Times New Roman" w:hAnsi="Times New Roman"/>
          <w:sz w:val="24"/>
        </w:rPr>
        <w:br/>
        <w:t xml:space="preserve">II. </w:t>
      </w:r>
      <w:r w:rsidR="00CC28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Současně splňuje následující požadavky:</w:t>
      </w:r>
    </w:p>
    <w:p w14:paraId="3A1005BC" w14:textId="1E7AB50E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CC2820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celkový průměrný poměr lineárního přenosu tepla v tepelných mostech budovy by neměl překročit 0,33 W/(m²Sref. K).</w:t>
      </w:r>
    </w:p>
    <w:p w14:paraId="13B8C754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Tento poměr představuje tepelné ztráty všech tepelných mostů budov vzhledem k referenční ploše budovy. Stanoví se v souladu s metodou výpočtu uvedenou v článku 8.</w:t>
      </w:r>
    </w:p>
    <w:p w14:paraId="32C3A6AD" w14:textId="6C070271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7B695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průměrný lineární součinitel prostupu tepla spojů mezi středními podlahami a vnějšími stěnami nebo stěnami dodávajícími nevytápěné místnosti ↑ 9 nesmí překročit 0,6 W/(lineární m. K).</w:t>
      </w:r>
    </w:p>
    <w:p w14:paraId="16DE076D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IX: PŘÍSTUP K PŘÍRODNÍMU OSVĚTLENÍ (článek 23)</w:t>
      </w:r>
    </w:p>
    <w:p w14:paraId="5ECFAC8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23</w:t>
      </w:r>
    </w:p>
    <w:p w14:paraId="6019846A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Aby bylo zajištěno dostatečné přirozené osvětlení a výhled zvenčí, musí obytné budovy splňovat jeden z požadavků uvedených v I nebo II tohoto článku.</w:t>
      </w:r>
      <w:r>
        <w:rPr>
          <w:rFonts w:ascii="Times New Roman" w:hAnsi="Times New Roman"/>
          <w:sz w:val="24"/>
        </w:rPr>
        <w:br/>
        <w:t>I. – Každé bydliště má všechny tyto vlastnosti:</w:t>
      </w:r>
    </w:p>
    <w:p w14:paraId="4DF9AF26" w14:textId="3463CBF0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280DB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úroveň osvětlení nejméně 300 lx v 50 % obytných prostor, s výjimkou prostor s dočasnou obsazeností, po dobu delší než polovinu denního světla v roce;</w:t>
      </w:r>
      <w:r>
        <w:rPr>
          <w:rFonts w:ascii="Times New Roman" w:hAnsi="Times New Roman"/>
          <w:sz w:val="24"/>
        </w:rPr>
        <w:br/>
      </w:r>
      <w:r w:rsidR="00280DB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úroveň osvětlení nejméně 100 lx v 95 % obytných prostor, s výjimkou prostor s dočasnou obsazeností, po dobu delší než polovinu denního světla v roce;</w:t>
      </w:r>
      <w:r>
        <w:rPr>
          <w:rFonts w:ascii="Times New Roman" w:hAnsi="Times New Roman"/>
          <w:sz w:val="24"/>
        </w:rPr>
        <w:br/>
      </w:r>
      <w:r w:rsidR="00280DB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 nejméně jednom obytném prostoru ve smyslu R. 111-1 zákona o výstavbě a bydlení má uživatel ve vzdálenosti nejméně 1 metr od fasády výhled ven, včetně oblohy i horizontu.</w:t>
      </w:r>
    </w:p>
    <w:p w14:paraId="7EC11A1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II. – Celková plocha otvorů měřená v tabulce je větší nebo rovna 1/6 vztažné plochy.</w:t>
      </w:r>
      <w:r>
        <w:rPr>
          <w:rFonts w:ascii="Times New Roman" w:hAnsi="Times New Roman"/>
          <w:sz w:val="24"/>
        </w:rPr>
        <w:br/>
        <w:t>Pokud je dostupná plocha fasády budovy menší než polovina obytné plochy budovy nebo je-li průměrná obytná plocha obytných prostor v budově menší než 25 m², může mít místo předchozích požadavků celkovou otevírací plochu, měřenou v tabulce, větší nebo rovnou jedné třetině dostupné plochy fasády.</w:t>
      </w:r>
      <w:r>
        <w:rPr>
          <w:rFonts w:ascii="Times New Roman" w:hAnsi="Times New Roman"/>
          <w:sz w:val="24"/>
        </w:rPr>
        <w:br/>
        <w:t>Tento článek se nepoužije v případech, kdy by jeho dodržování bylo v rozporu s plánovacími povoleními v chráněných oblastech, v oblastech chráněných architektonickým, městským a krajinným dědictvím nebo v podporovaných oblastech architektury a kulturního dědictví, v okolí historických památek, registrovaných a klasifikovaných lokalitách, na místech na seznamu světového dědictví UNESCO nebo v rámci jakékoli jiné ochrany nařízené místními orgány, jakož i na místech a v oblastech uvedených v článku L. 151-19 zákoníku o územním plánování.</w:t>
      </w:r>
    </w:p>
    <w:p w14:paraId="51121980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 X: KOMFORT V LÉTĚ (články 24 až 25)</w:t>
      </w:r>
    </w:p>
    <w:p w14:paraId="3E69322B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24</w:t>
      </w:r>
    </w:p>
    <w:p w14:paraId="64B68053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S výjimkou otvorů v místnostech s dočasnou obsazeností mají otvory solární faktor </w:t>
      </w:r>
      <w:r>
        <w:rPr>
          <w:rFonts w:ascii="Times New Roman" w:hAnsi="Times New Roman"/>
          <w:sz w:val="24"/>
        </w:rPr>
        <w:lastRenderedPageBreak/>
        <w:t>menší nebo roven slunečnímu faktoru definovanému v tabulce níže, přičemž solární stínicí zařízení, pokud existuje, je zvažováno v plně vysunuté poloze: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851"/>
        <w:gridCol w:w="2170"/>
        <w:gridCol w:w="2185"/>
      </w:tblGrid>
      <w:tr w:rsidR="001E2566" w:rsidRPr="001E2566" w14:paraId="66A940AE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865CEC9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Zóny H2a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4BADEAC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Všechny nadmořské výšky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FD244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D66AA89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E2566" w:rsidRPr="001E2566" w14:paraId="2FBEBB7F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3373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Zóny H1a, H1b a H2b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0BC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Nadmořská výška &gt; 400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C637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Nadmořská výška &lt; nebo = 400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E06E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2566" w:rsidRPr="001E2566" w14:paraId="41BF8F8D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BC164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Zóny H1c a H2c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6F365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Nadmořská výška &gt; 800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429E8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Nadmořská výška &lt; nebo = 800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8764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E2566" w:rsidRPr="001E2566" w14:paraId="407775AE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2E40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Zóny H2d a H3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EEB6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9F4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Nadmořská výška &gt; 400 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19A5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Nadmořská výška &lt; nebo = 400 m</w:t>
            </w:r>
          </w:p>
        </w:tc>
      </w:tr>
      <w:tr w:rsidR="001E2566" w:rsidRPr="001E2566" w14:paraId="5905A079" w14:textId="77777777" w:rsidTr="001E25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A6A87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1. BR1 exponované otvory – ložnice</w:t>
            </w:r>
          </w:p>
        </w:tc>
      </w:tr>
      <w:tr w:rsidR="001E2566" w:rsidRPr="001E2566" w14:paraId="05141042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A1D38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Vertikální otvor orientovaný na 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FD052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7D7F9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1A7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</w:tr>
      <w:tr w:rsidR="001E2566" w:rsidRPr="001E2566" w14:paraId="6C033451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7815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Vertikální otvor, který není orientovaný na 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C21B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23EAE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B6DE1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</w:tr>
      <w:tr w:rsidR="001E2566" w:rsidRPr="001E2566" w14:paraId="781509DB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AF0A0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Horizontální otvor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E04DE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D6ADA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FB7E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0,10</w:t>
            </w:r>
          </w:p>
        </w:tc>
      </w:tr>
      <w:tr w:rsidR="001E2566" w:rsidRPr="001E2566" w14:paraId="4C4C27A0" w14:textId="77777777" w:rsidTr="001E25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804C7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2. BR2 nebo BR3 exponované otvory – ložnice</w:t>
            </w:r>
          </w:p>
        </w:tc>
      </w:tr>
      <w:tr w:rsidR="001E2566" w:rsidRPr="001E2566" w14:paraId="287CCF21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8FD18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Vertikální otvor orientovaný na 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3EA3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9C08B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C595A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</w:tr>
      <w:tr w:rsidR="001E2566" w:rsidRPr="001E2566" w14:paraId="1C9E6358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2DB03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Vertikální otvor, který není orientovaný na 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DA81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6D96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14E5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</w:tr>
      <w:tr w:rsidR="001E2566" w:rsidRPr="001E2566" w14:paraId="16B1DA02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EBC2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Horizontální otvor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1B37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C721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5EEAA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0,10</w:t>
            </w:r>
          </w:p>
        </w:tc>
      </w:tr>
      <w:tr w:rsidR="001E2566" w:rsidRPr="001E2566" w14:paraId="25A5610F" w14:textId="77777777" w:rsidTr="001E25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47E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3. BR1 exponované otvory – jiné než v ložnicích</w:t>
            </w:r>
          </w:p>
        </w:tc>
      </w:tr>
      <w:tr w:rsidR="001E2566" w:rsidRPr="001E2566" w14:paraId="17A4DC1E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4FF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Vertikální otvor, který není orientovaný na 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B16B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93029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6A03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</w:tr>
      <w:tr w:rsidR="001E2566" w:rsidRPr="001E2566" w14:paraId="22F84EE0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D3B60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Horizontální otvor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B887F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59F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11F1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</w:tr>
      <w:tr w:rsidR="001E2566" w:rsidRPr="001E2566" w14:paraId="561D3B23" w14:textId="77777777" w:rsidTr="001E256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B8D3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4. Exponované otvory – BR2 nebo BR3 jiné než v ložnicích</w:t>
            </w:r>
          </w:p>
        </w:tc>
      </w:tr>
      <w:tr w:rsidR="001E2566" w:rsidRPr="001E2566" w14:paraId="37678578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884E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Vertikální otvor, který není orientovaný na sever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E2F7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6F445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F366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</w:tr>
      <w:tr w:rsidR="001E2566" w:rsidRPr="001E2566" w14:paraId="52242EF2" w14:textId="77777777" w:rsidTr="001E25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1859" w14:textId="77777777" w:rsidR="001E2566" w:rsidRPr="001E2566" w:rsidRDefault="001E2566" w:rsidP="001E2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Horizontální otvor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ADA50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5E994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CDA6" w14:textId="77777777" w:rsidR="001E2566" w:rsidRPr="001E2566" w:rsidRDefault="001E2566" w:rsidP="001E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0,15</w:t>
            </w:r>
          </w:p>
        </w:tc>
      </w:tr>
    </w:tbl>
    <w:p w14:paraId="5129EB5B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Pro otvory, které nejsou vystaveny přímému slunečnímu záření od dubna do října v důsledku vzdáleného slunečního zastínění, se mohou uplatňovat pouze požadavky na otvory orientované na sever.</w:t>
      </w:r>
    </w:p>
    <w:p w14:paraId="5036DC0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25</w:t>
      </w:r>
    </w:p>
    <w:p w14:paraId="63A497F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Otvory v téže místnosti, kromě místností s dočasným obsazením, by měly být otevřeny alespoň 30 % jejich plochy, pokud to hygienická nebo bezpečnostní pravidla nezakazují.</w:t>
      </w:r>
      <w:r>
        <w:rPr>
          <w:rFonts w:ascii="Times New Roman" w:hAnsi="Times New Roman"/>
          <w:sz w:val="24"/>
        </w:rPr>
        <w:br/>
        <w:t>Tato mezní hodnota se sníží na 10 % pro místnosti, v nichž je výškový rozdíl mezi nejnižším bodem nejnižšího otvoru a nejvyšším bodem jeho největšího otvoru nejméně 4 m.</w:t>
      </w:r>
    </w:p>
    <w:p w14:paraId="3C66D63E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XI: SPOTŘEBA ENERGIE (články 26 až 28)</w:t>
      </w:r>
    </w:p>
    <w:p w14:paraId="5035D77F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26</w:t>
      </w:r>
    </w:p>
    <w:p w14:paraId="3C990E36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Jakákoli automatizace vedoucí ke zvýšení spotřeby energie:</w:t>
      </w:r>
    </w:p>
    <w:p w14:paraId="56C2F6BF" w14:textId="0A9E05A9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6C617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musí být navržena a prováděna tak, aby automatizace byla spuštěna pouze v případě potřeby;</w:t>
      </w:r>
      <w:r>
        <w:rPr>
          <w:rFonts w:ascii="Times New Roman" w:hAnsi="Times New Roman"/>
          <w:sz w:val="24"/>
        </w:rPr>
        <w:br/>
      </w:r>
      <w:r w:rsidR="006C617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musí být načasována nebo naprogramována tak, aby se automaticky zastavilo zvyšování spotřeby energie, jakmile to již není nutné;</w:t>
      </w:r>
      <w:r>
        <w:rPr>
          <w:rFonts w:ascii="Times New Roman" w:hAnsi="Times New Roman"/>
          <w:sz w:val="24"/>
        </w:rPr>
        <w:br/>
      </w:r>
      <w:r w:rsidR="006C617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budoucí správce budovy ji může upravit podle podmínek obsazenosti budovy.</w:t>
      </w:r>
    </w:p>
    <w:p w14:paraId="1080E205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Automatizace umožňuje automatické spouštění umělého osvětlení v domácnostech, kancelářích, zasedacích místnostech, učebnách a víceúčelových místnostech pouze po manuálním zásahu uživatele v dotyčné místnosti nebo v její bezprostřední blízkosti, a to méně než 6 hodin dříve.</w:t>
      </w:r>
    </w:p>
    <w:p w14:paraId="3B6B8B1F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27</w:t>
      </w:r>
    </w:p>
    <w:p w14:paraId="27C4EBA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Obytné budovy nebo jejich části musí být vybaveny systémy umožňujícími měřit nebo odhadnout spotřebu energie každého bytu, s výjimkou spotřeby jednotlivých systémů spalování dřeva v jednotlivých nebo přilehlých domech.</w:t>
      </w:r>
      <w:r>
        <w:rPr>
          <w:rFonts w:ascii="Times New Roman" w:hAnsi="Times New Roman"/>
          <w:sz w:val="24"/>
        </w:rPr>
        <w:br/>
        <w:t xml:space="preserve">V případě kolektivní výroby energie se „energií spotřebovanou obydlím“ rozumí podíl celkové spotřeby energie určené pro toto obydlí podle distribučního klíče, </w:t>
      </w:r>
      <w:r>
        <w:rPr>
          <w:rFonts w:ascii="Times New Roman" w:hAnsi="Times New Roman"/>
          <w:sz w:val="24"/>
        </w:rPr>
        <w:lastRenderedPageBreak/>
        <w:t>který určí vlastník budovy během výstavby budovy.</w:t>
      </w:r>
      <w:r>
        <w:rPr>
          <w:rFonts w:ascii="Times New Roman" w:hAnsi="Times New Roman"/>
          <w:sz w:val="24"/>
        </w:rPr>
        <w:br/>
        <w:t>Tyto systémy musí uživatelům umožnit, aby byli alespoň jednou měsíčně informováni o své spotřebě energie.</w:t>
      </w:r>
      <w:r>
        <w:rPr>
          <w:rFonts w:ascii="Times New Roman" w:hAnsi="Times New Roman"/>
          <w:sz w:val="24"/>
        </w:rPr>
        <w:br/>
        <w:t>Tyto informace musí být dodány v obytném prostoru podle druhu energie a rozčleněny alespoň na:</w:t>
      </w:r>
    </w:p>
    <w:p w14:paraId="4891DCEE" w14:textId="54AA93D8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144B7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vytápění;</w:t>
      </w:r>
      <w:r>
        <w:rPr>
          <w:rFonts w:ascii="Times New Roman" w:hAnsi="Times New Roman"/>
          <w:sz w:val="24"/>
        </w:rPr>
        <w:br/>
      </w:r>
      <w:r w:rsidR="00144B7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chlazení;</w:t>
      </w:r>
      <w:r>
        <w:rPr>
          <w:rFonts w:ascii="Times New Roman" w:hAnsi="Times New Roman"/>
          <w:sz w:val="24"/>
        </w:rPr>
        <w:br/>
      </w:r>
      <w:r w:rsidR="00144B7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výroba teplé užitkové vody;</w:t>
      </w:r>
      <w:r>
        <w:rPr>
          <w:rFonts w:ascii="Times New Roman" w:hAnsi="Times New Roman"/>
          <w:sz w:val="24"/>
        </w:rPr>
        <w:br/>
      </w:r>
      <w:r w:rsidR="00144B7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síťové zásuvky;</w:t>
      </w:r>
      <w:r>
        <w:rPr>
          <w:rFonts w:ascii="Times New Roman" w:hAnsi="Times New Roman"/>
          <w:sz w:val="24"/>
        </w:rPr>
        <w:br/>
      </w:r>
      <w:r w:rsidR="00144B78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jiné.</w:t>
      </w:r>
    </w:p>
    <w:p w14:paraId="1ED5803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Toto členění může vycházet buď na naměřených údajů, nebo z odhadovaných údajů na základě předem definovaných nastavení.</w:t>
      </w:r>
      <w:r>
        <w:rPr>
          <w:rFonts w:ascii="Times New Roman" w:hAnsi="Times New Roman"/>
          <w:sz w:val="24"/>
        </w:rPr>
        <w:br/>
        <w:t>V případě vlastníka projektu, který je zároveň budoucím majitelem a pronajímatelem stavěné budovy; zejména, v případě majitelů sociálního nájemního bydlení, tyto informace mohou být doručovány uživatelům alespoň jednou měsíčně elektronicky nebo poštou, a nikoli přímo v obytném prostoru.</w:t>
      </w:r>
      <w:r>
        <w:rPr>
          <w:rFonts w:ascii="Times New Roman" w:hAnsi="Times New Roman"/>
          <w:sz w:val="24"/>
        </w:rPr>
        <w:br/>
        <w:t>Důkaz o tom, že tento článek byl vzat v úvahu, musí být předložen v souladu s pokyny nazvanými Systémy pro měření nebo odhad spotřeby bydlení, které stanoví postupy pro jeho uplatňování.</w:t>
      </w:r>
    </w:p>
    <w:p w14:paraId="7FA37039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28</w:t>
      </w:r>
    </w:p>
    <w:p w14:paraId="3C15432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Nebytové budovy nebo jejich části musí být vybaveny systémy umožňujícími měření nebo výpočet spotřeby energie:</w:t>
      </w:r>
    </w:p>
    <w:p w14:paraId="16BE002B" w14:textId="7C1E8079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vytápění: pro každý 500 m² příslušné plochy nebo pro každý elektrický panel nebo pro každé patro nebo pro každý kabel s přímým výstupem;</w:t>
      </w: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chlazení: pro každý 500 m² příslušné plochy nebo pro každý elektrický panel nebo pro každé patro nebo pro každý kabel s přímým výstupem;</w:t>
      </w: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v případě výroby teplé užitkové vody;</w:t>
      </w: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osvětlení: pro každých 500 m² příslušné plochy nebo pro každý elektrický panel nebo pro každé patro;</w:t>
      </w: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síť elektrických zásuvek: pro každý úsek příslušné plochy o rozloze 500 m² nebo pro každý elektrický panel nebo pro každé patro;</w:t>
      </w: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větrací jednotky: pro každou jednotku;</w:t>
      </w:r>
      <w:r>
        <w:rPr>
          <w:rFonts w:ascii="Times New Roman" w:hAnsi="Times New Roman"/>
          <w:sz w:val="24"/>
        </w:rPr>
        <w:br/>
      </w:r>
      <w:r w:rsidR="009B2E0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pro každý přímý výstup více než 80 ampérů.</w:t>
      </w:r>
    </w:p>
    <w:p w14:paraId="121932A9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XII: VYTÁPĚNÍ A CHLAZENÍ (články 29 až 34)</w:t>
      </w:r>
    </w:p>
    <w:p w14:paraId="6BB94A5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29</w:t>
      </w:r>
    </w:p>
    <w:p w14:paraId="3E6600B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Topné jednotky musí pro každou dodanou místnost obsahovat jedno nebo více zařízení, která mohou být ručně zastavena nebo automaticky nastavena podle </w:t>
      </w:r>
      <w:r>
        <w:rPr>
          <w:rFonts w:ascii="Times New Roman" w:hAnsi="Times New Roman"/>
          <w:sz w:val="24"/>
        </w:rPr>
        <w:lastRenderedPageBreak/>
        <w:t>teploty uvnitř místnosti.</w:t>
      </w:r>
      <w:r>
        <w:rPr>
          <w:rFonts w:ascii="Times New Roman" w:hAnsi="Times New Roman"/>
          <w:sz w:val="24"/>
        </w:rPr>
        <w:br/>
        <w:t>Je-li však vytápění zajišťováno podlahovým vytápěním za použití nízkoteplotní teplé vody nebo vháněného vzduchu nebo nezávislým zařízením na spalování dřeva, může být toto zařízení sdíleno místnostmi s maximální celkovou plochou 100 m².</w:t>
      </w:r>
      <w:r>
        <w:rPr>
          <w:rFonts w:ascii="Times New Roman" w:hAnsi="Times New Roman"/>
          <w:sz w:val="24"/>
        </w:rPr>
        <w:br/>
        <w:t>Automatická úprava se naprogramuje tak, aby splňovala požadavky článku R. 241-26 energetického zákoníku.</w:t>
      </w:r>
    </w:p>
    <w:p w14:paraId="6A3631F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30</w:t>
      </w:r>
    </w:p>
    <w:p w14:paraId="3C26ACA3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případě nebytových budov nebo jejich částí musí každá topná jednotka zásobující nespojitě obývané místnosti obsahovat zařízení, které lze ručně ovládat a automaticky naprogramovat alespoň za použití hodin, které umožňují:</w:t>
      </w:r>
    </w:p>
    <w:p w14:paraId="32B9CAFF" w14:textId="517B672E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0E731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teplo dodávané podle těchto čtyř úrovní: komfortní, redukovaná, ochrana proti promrznutí a zastavení;</w:t>
      </w:r>
      <w:r>
        <w:rPr>
          <w:rFonts w:ascii="Times New Roman" w:hAnsi="Times New Roman"/>
          <w:sz w:val="24"/>
        </w:rPr>
        <w:br/>
      </w:r>
      <w:r w:rsidR="000E731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automatické přepínání mezi těmito úrovněmi.</w:t>
      </w:r>
    </w:p>
    <w:p w14:paraId="1CAD740D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Při přepínání mezi dvěma úrovněmi musí být topný výkon nulový nebo maximální, aby se minimalizovala doba trvání přechodových fází.</w:t>
      </w:r>
      <w:r>
        <w:rPr>
          <w:rFonts w:ascii="Times New Roman" w:hAnsi="Times New Roman"/>
          <w:sz w:val="24"/>
        </w:rPr>
        <w:br/>
        <w:t>Takové zařízení mohou sdílet pouze pokoje s podobnou dobou obsazenosti. Stejné zařízení může obsluhovat plochu o velikosti nejvýše 5 000 m².</w:t>
      </w:r>
    </w:p>
    <w:p w14:paraId="4549E14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31</w:t>
      </w:r>
    </w:p>
    <w:p w14:paraId="3E54305E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Kolektivní sítě distribuující vodu k vytápění nebo chlazení musí být vybaveny vyrovnávací jednotkou na úpatí každého sloupce.</w:t>
      </w:r>
      <w:r>
        <w:rPr>
          <w:rFonts w:ascii="Times New Roman" w:hAnsi="Times New Roman"/>
          <w:sz w:val="24"/>
        </w:rPr>
        <w:br/>
        <w:t>Čerpadla zařízení pro vytápění a chlazení jsou vybavena prostředky k jejich zastavení.</w:t>
      </w:r>
    </w:p>
    <w:p w14:paraId="3ED05C3E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32</w:t>
      </w:r>
    </w:p>
    <w:p w14:paraId="5A6F850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Chladicí jednotky musí pro každou dodanou místnost obsahovat jedno nebo více zařízení, která mohou být ručně zastavena a která automaticky upravují přívod chladu podle teploty uvnitř místnosti.</w:t>
      </w:r>
      <w:r>
        <w:rPr>
          <w:rFonts w:ascii="Times New Roman" w:hAnsi="Times New Roman"/>
          <w:sz w:val="24"/>
        </w:rPr>
        <w:br/>
        <w:t>Nicméně:</w:t>
      </w:r>
    </w:p>
    <w:p w14:paraId="035004FD" w14:textId="30B2FA89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BC10B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je-li chlazení zajišťováno systémem s proměnným prouděním vzduchu, může být toto zařízení sdíleno v místnostech o maximální celkové ploše 100 m² za předpokladu, že celkový průtok vháněného vzduchu je regulován bez zvýšení tlakové ztráty;</w:t>
      </w:r>
      <w:r>
        <w:rPr>
          <w:rFonts w:ascii="Times New Roman" w:hAnsi="Times New Roman"/>
          <w:sz w:val="24"/>
        </w:rPr>
        <w:br/>
      </w:r>
      <w:r w:rsidR="00BC10B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je-li chlazení zajišťováno chlazením podlahy, může být toto zařízení sdíleno v místnostech o maximální celkové ploše 100 m².</w:t>
      </w:r>
      <w:r>
        <w:rPr>
          <w:rFonts w:ascii="Times New Roman" w:hAnsi="Times New Roman"/>
          <w:sz w:val="24"/>
        </w:rPr>
        <w:br/>
      </w:r>
      <w:r w:rsidR="00BC10B2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 „dvoutrubkových ventilátorových jednotek pouze pro chlazení“ se požadavek </w:t>
      </w:r>
      <w:r>
        <w:rPr>
          <w:rFonts w:ascii="Times New Roman" w:hAnsi="Times New Roman"/>
          <w:sz w:val="24"/>
        </w:rPr>
        <w:lastRenderedPageBreak/>
        <w:t>uvedený v odstavci 1 považuje za splněný, pokud je každý ventilátor řízen vnitřní teplotou a zařízení pro výrobu a distribuci studené vody jsou vybavena zařízením umožňujícím jejich programování;</w:t>
      </w:r>
      <w:r>
        <w:rPr>
          <w:rFonts w:ascii="Times New Roman" w:hAnsi="Times New Roman"/>
          <w:sz w:val="24"/>
        </w:rPr>
        <w:br/>
      </w:r>
      <w:r w:rsidR="00180FAA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 budov nebo jejich částí chlazených prostřednictvím čerstvého vzduchu, aniž by došlo ke zvýšení průtoku zpracovávaného vzduchu nad dvojnásobek rychlosti odpovídající hygienickým potřebám, se požadavek uvedený v odstavci 1 považuje za splněný, pokud je dodávání chlazení zaprvé upraveno podle alespoň teploty přicházejícího vzduchu a teploty vně a za druhé je zakázáno v otopných dobách.</w:t>
      </w:r>
    </w:p>
    <w:p w14:paraId="2FDC196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Automatická úprava se naprogramuje tak, aby splňovala požadavky článku R. 241-30 energetického zákoníku.</w:t>
      </w:r>
    </w:p>
    <w:p w14:paraId="29C766CE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33</w:t>
      </w:r>
    </w:p>
    <w:p w14:paraId="61BFA3E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Přístupové dveře do chlazených zón musí být vybaveny samouzavíracím zařízením.</w:t>
      </w:r>
    </w:p>
    <w:p w14:paraId="0FFFE88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34</w:t>
      </w:r>
    </w:p>
    <w:p w14:paraId="67885670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Před konečným výstupem do místnosti, s výjimkou případů, kdy je vytápění získáno rekuperací z výroby za studena, by neměl být vzduch ohříván a poté chlazen nebo naopak zařízeními spotřebovávajícími energii určenými k vytápění nebo chlazení vzduchu.</w:t>
      </w:r>
    </w:p>
    <w:p w14:paraId="7468E6E4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XIII: OSVĚTLENÍ (články 35 až 38)</w:t>
      </w:r>
    </w:p>
    <w:p w14:paraId="776EC1B8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35</w:t>
      </w:r>
    </w:p>
    <w:p w14:paraId="6F0AAAA6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prostorách chodníků, vertikálních a horizontálních společných vnitřních prostorech a parkovištích musí všechna osvětlovací zařízení pro každou místnost obsahovat automatické zařízení umožňující, aby v případě neobsazenosti místnosti nebo parkoviště bylo možné:</w:t>
      </w:r>
    </w:p>
    <w:p w14:paraId="0741976C" w14:textId="5F77CE7A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597EF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buď ztlumit osvětlení na minimální regulační úroveň;</w:t>
      </w:r>
      <w:r>
        <w:rPr>
          <w:rFonts w:ascii="Times New Roman" w:hAnsi="Times New Roman"/>
          <w:sz w:val="24"/>
        </w:rPr>
        <w:br/>
      </w:r>
      <w:r w:rsidR="00597EF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nebo zhasnout umělé zdroje světla, pokud žádný předpis nestanoví minimální úroveň.</w:t>
      </w:r>
    </w:p>
    <w:p w14:paraId="7A5ABA1C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Kromě toho, má-li místnost přístup k přirozenému světlu, měla by obsahovat zařízení umožňující automatické vypnutí světelného systému, jakmile je přirozené světlo dostatečné.</w:t>
      </w:r>
      <w:r>
        <w:rPr>
          <w:rFonts w:ascii="Times New Roman" w:hAnsi="Times New Roman"/>
          <w:sz w:val="24"/>
        </w:rPr>
        <w:br/>
        <w:t>Jediné zařízení musí sloužit nanejvýš pro:</w:t>
      </w:r>
    </w:p>
    <w:p w14:paraId="05A2C700" w14:textId="54DA2C4C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597EFF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maximální rozlohu 100 m² a jednu úroveň pro horizontální chodby a vnitřní </w:t>
      </w:r>
      <w:r>
        <w:rPr>
          <w:rFonts w:ascii="Times New Roman" w:hAnsi="Times New Roman"/>
          <w:sz w:val="24"/>
        </w:rPr>
        <w:lastRenderedPageBreak/>
        <w:t>společné prostory;</w:t>
      </w:r>
      <w:r>
        <w:rPr>
          <w:rFonts w:ascii="Times New Roman" w:hAnsi="Times New Roman"/>
          <w:sz w:val="24"/>
        </w:rPr>
        <w:br/>
      </w:r>
      <w:r w:rsidR="00967057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tři úrovně pro vertikální průchody;</w:t>
      </w:r>
      <w:r>
        <w:rPr>
          <w:rFonts w:ascii="Times New Roman" w:hAnsi="Times New Roman"/>
          <w:sz w:val="24"/>
        </w:rPr>
        <w:br/>
      </w:r>
      <w:r w:rsidR="0096705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jednu úroveň a maximálně plochu 500 m² pro parkovací prostory.</w:t>
      </w:r>
    </w:p>
    <w:p w14:paraId="50B9042B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36</w:t>
      </w:r>
    </w:p>
    <w:p w14:paraId="64E1D629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nebytových budovách nebo jejich částech musí být každá místnost vybavena ručním zařízením pro zapínání a vypínání nebo automatickým zařízením podle míry obsazenosti.</w:t>
      </w:r>
    </w:p>
    <w:p w14:paraId="46E1DC5A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37</w:t>
      </w:r>
    </w:p>
    <w:p w14:paraId="61CF5364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nebytových budovách nebo jejich částech musí každá místnost, v níž je řízení osvětlení v pravomoci řídících pracovníků, obsahovat zařízení umožňující zapnutí a vypnutí osvětlení, a to i po dobu užívání. Není-li toto zařízení umístěno v dané místnosti, musí umožnit zobrazení stavu osvětlení v této místnosti z ovládacího bodu.</w:t>
      </w:r>
    </w:p>
    <w:p w14:paraId="69BF1657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38</w:t>
      </w:r>
    </w:p>
    <w:p w14:paraId="62C900D6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budovách nebo jejich částech pro nebytové účely musí být v téže místnosti uměle osvětlené body, které jsou umístěny méně než 5 m od otvoru, řízeny odděleně od ostatních bodů osvětlení, pokud celkový instalovaný výkon v každé z těchto poloh přesahuje 200 W.</w:t>
      </w:r>
    </w:p>
    <w:p w14:paraId="54320DE6" w14:textId="77777777" w:rsidR="001E2566" w:rsidRPr="001E2566" w:rsidRDefault="001E2566" w:rsidP="001E2566">
      <w:pPr>
        <w:spacing w:before="100" w:beforeAutospacing="1" w:after="100" w:afterAutospacing="1" w:line="240" w:lineRule="auto"/>
        <w:ind w:left="60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Kapitola XIV: VĚTRÁNÍ (články 39 až 40)</w:t>
      </w:r>
    </w:p>
    <w:p w14:paraId="1F4C099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39</w:t>
      </w:r>
    </w:p>
    <w:p w14:paraId="4317F7C9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případě nebytových budov nebo jejich částí musí být místnosti nebo skupiny místností, jejichž obydlí nebo využití je velmi odlišné, obsluhovány nezávislými větracími systémy.</w:t>
      </w:r>
    </w:p>
    <w:p w14:paraId="0989BA62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40</w:t>
      </w:r>
    </w:p>
    <w:p w14:paraId="03BFE559" w14:textId="77777777" w:rsidR="001E2566" w:rsidRPr="001E2566" w:rsidRDefault="001E2566" w:rsidP="001E2566">
      <w:pPr>
        <w:spacing w:before="100" w:beforeAutospacing="1" w:after="100" w:afterAutospacing="1" w:line="240" w:lineRule="auto"/>
        <w:ind w:left="10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případě nebytových budov nebo jejich částí, které jsou vybaveny specifickými mechanizovanými ventilačními systémy, musí být každé ruční zařízení pro úpravu průtoku vzduchu v místnosti provozováno s časovačem.</w:t>
      </w:r>
    </w:p>
    <w:p w14:paraId="73CE2D18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IV: NÁVRH ZJEDNODUŠENÝCH APLIKAČNÍCH METOD V JEDNOTLIVÝCH DOMECH (články 41 až 42)</w:t>
      </w:r>
    </w:p>
    <w:p w14:paraId="47A4E08A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41</w:t>
      </w:r>
    </w:p>
    <w:p w14:paraId="1B46DA7D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Zjednodušená aplikační metoda je kombinace architektonických vlastností, energetického a environmentálního profilu prací a zařízení spojených s vymezenou rodinou jednotlivých domů, považovaných za vyhovující ustanovením hlav I až III této vyhlášky pro všechny budovy v této skupině.</w:t>
      </w:r>
      <w:r>
        <w:rPr>
          <w:rFonts w:ascii="Times New Roman" w:hAnsi="Times New Roman"/>
          <w:sz w:val="24"/>
        </w:rPr>
        <w:br/>
        <w:t>Zjednodušenou aplikační metodu lze použít pouze v její integrální podobě.</w:t>
      </w:r>
    </w:p>
    <w:p w14:paraId="0838A469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42</w:t>
      </w:r>
    </w:p>
    <w:p w14:paraId="00081010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Návrh zjednodušeného způsobu podávání žádostí se zasílá ministrovi energetiky a ministrovi odpovědnému za stavebnictví spolu s dokumentem studie sestaveným dle uvedení v příloze IX.</w:t>
      </w:r>
    </w:p>
    <w:p w14:paraId="505CE6F7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V: ZVLÁŠTNÍ PŘÍPADY (články 43 až 44)</w:t>
      </w:r>
    </w:p>
    <w:p w14:paraId="17157191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43</w:t>
      </w:r>
    </w:p>
    <w:p w14:paraId="2CB29501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případě, že metoda výpočtu uvedená v článku 8 nezohledňuje specifika stavebního záměru, zašle se žádost o schválení projektu ministru energetiky a ministrovi odpovědnému za stavebnictví.</w:t>
      </w:r>
      <w:r>
        <w:rPr>
          <w:rFonts w:ascii="Times New Roman" w:hAnsi="Times New Roman"/>
          <w:sz w:val="24"/>
        </w:rPr>
        <w:br/>
        <w:t>V následujících případech může být ministrovi odpovědnému za energetiku a ministrovi odpovědnému za stavebnictví zaslána žádost o schválení projektu nebo způsobu použitého k výpočtu výkonu systému nebo sítě vytápění nebo chlazení:</w:t>
      </w:r>
    </w:p>
    <w:p w14:paraId="5A0B0C39" w14:textId="66A1209C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F4040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pokud metoda výpočtu uvedená v článku 8 nezohledňuje zvláštnosti systému;</w:t>
      </w:r>
      <w:r>
        <w:rPr>
          <w:rFonts w:ascii="Times New Roman" w:hAnsi="Times New Roman"/>
          <w:sz w:val="24"/>
        </w:rPr>
        <w:br/>
      </w:r>
      <w:r w:rsidR="00F4040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je-li vytvořena městská síť vytápění nebo chlazení;</w:t>
      </w:r>
      <w:r>
        <w:rPr>
          <w:rFonts w:ascii="Times New Roman" w:hAnsi="Times New Roman"/>
          <w:sz w:val="24"/>
        </w:rPr>
        <w:br/>
      </w:r>
      <w:r w:rsidR="00F4040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je-li pravděpodobné, že práce na změně sítě vytápění nebo chlazení způsobí významnou změnu jejího emisního faktoru, jak je stanoveno v článku 10.</w:t>
      </w:r>
    </w:p>
    <w:p w14:paraId="74E0BDC5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K žádostem o schválení se přiloží soubor studií složený podle přílohy X, který zejména stanoví způsob, jakým metoda výpočtu uvedená v článku 8 nezohledňuje specifika stavebního projektu nebo systému.</w:t>
      </w:r>
      <w:r>
        <w:rPr>
          <w:rFonts w:ascii="Times New Roman" w:hAnsi="Times New Roman"/>
          <w:sz w:val="24"/>
        </w:rPr>
        <w:br/>
        <w:t>Schválení stavebního projektu není povinné, pokud osvědčení o splnění cílů ve smyslu článku L. 112-9, které se týká jiného předmětu než energetické náročnosti, stanoví specifické vstupní údaje pro dotčená řešení s rovnocenným účinkem umožňující použít metodu výpočtu uvedenou v článku 8.</w:t>
      </w:r>
    </w:p>
    <w:p w14:paraId="6CDD3150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44</w:t>
      </w:r>
    </w:p>
    <w:p w14:paraId="7CB9C8EA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Ministr odpovědný za energetiku a ministr odpovědný za stavebnictví mohou schválit návrh na zohlednění stavebního projektu nebo systému vytápění nebo chlazení či sítě po konzultaci s odbornou komisí zřízenou za tímto účelem.</w:t>
      </w:r>
      <w:r>
        <w:rPr>
          <w:rFonts w:ascii="Times New Roman" w:hAnsi="Times New Roman"/>
          <w:sz w:val="24"/>
        </w:rPr>
        <w:br/>
        <w:t xml:space="preserve">Pro vytvoření sítí dálkového vytápění nebo chlazení je schválení platné po dobu nejvýše tří let; u prací na změně sítí dálkového vytápění nebo chlazení je schválení </w:t>
      </w:r>
      <w:r>
        <w:rPr>
          <w:rFonts w:ascii="Times New Roman" w:hAnsi="Times New Roman"/>
          <w:sz w:val="24"/>
        </w:rPr>
        <w:lastRenderedPageBreak/>
        <w:t>platné po dobu nejvýše pěti let, kterou lze prodloužit dva roky po vydání stanoviska výboru odborníků.</w:t>
      </w:r>
    </w:p>
    <w:p w14:paraId="7E5DA6C6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Hlava VI: RŮZNÁ USTANOVENÍ (články 45 až 52)</w:t>
      </w:r>
    </w:p>
    <w:p w14:paraId="69D3FE2D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45</w:t>
      </w:r>
    </w:p>
    <w:p w14:paraId="04CAF51E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Pokud je budova nebo její část dodávána bez systému vytápění, je posuzována se standardním topným systémem, jak je stanoveno v metodě uvedené v článku 8. Není-li v metodě pro dotčenou budovu stanoven standardní systém vytápění, může splňovat pouze požadavky na zdroje definované v hlavě III a požadavky stanovené v čl. R. 172-4 odst. 1, 4° a 5°zákona o stavbě a bydlení a určené v souladu s postupy uvedenými v příloze téhož článku.</w:t>
      </w:r>
    </w:p>
    <w:p w14:paraId="792A4188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46</w:t>
      </w:r>
    </w:p>
    <w:p w14:paraId="6521031A" w14:textId="6AC4206B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1C18C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Požadavky stanovené ve výše uvedených vyhláškách ze dne 26. října 2010 a 28. prosince 2012 se považují za splněné, pokud jsou splněny požadavky stanovené v článku R. 172-4 zákona o výstavbě a bydlení a stanovené postupy stanovenými v příloze téhož článku, jakož i požadavky stanovené v této vyhlášce.</w:t>
      </w:r>
      <w:r>
        <w:rPr>
          <w:rFonts w:ascii="Times New Roman" w:hAnsi="Times New Roman"/>
          <w:sz w:val="24"/>
        </w:rPr>
        <w:br/>
        <w:t xml:space="preserve">II. </w:t>
      </w:r>
      <w:r w:rsidR="001C18C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Požadavky stanovené výše uvedenými vyhláškami ze dne 13. června 2008 a 3. května 2007 se považují za splněné, pokud jsou splněny požadavky stanovené v čl. R. 172-4 odst. 1 až 3° a 5° zákona o výstavbě a bydlení a stanovené postupy uvedenými v příloze téhož článku, jakož i požadavky stanovené v hlavě III této vyhlášky.</w:t>
      </w:r>
    </w:p>
    <w:p w14:paraId="3E80F0A9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47</w:t>
      </w:r>
    </w:p>
    <w:p w14:paraId="739D52AA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Ustanovení tohoto nařízení nemohou ohrozit platná právní a správní opatření týkající se zdraví, hygienických podmínek, hygieny a bezpečnosti.</w:t>
      </w:r>
    </w:p>
    <w:p w14:paraId="75794AB3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48</w:t>
      </w:r>
    </w:p>
    <w:p w14:paraId="4933BA79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V článcích 11 a 12 výše uvedené vyhlášky ze dne 26. října 2010 se slova „1. září 2021“ nahrazují slovy „31. prosince 2021“.</w:t>
      </w:r>
    </w:p>
    <w:p w14:paraId="6085A120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49</w:t>
      </w:r>
    </w:p>
    <w:p w14:paraId="01833B6B" w14:textId="15D29C90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D3134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Článek 10 vyhlášky ze dne 26. října 2010 a článek 10 výše uvedené vyhlášky ze dne 28. prosince 2012 se nahrazují tímto:</w:t>
      </w:r>
    </w:p>
    <w:p w14:paraId="228B35D7" w14:textId="1340C092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„Článek 10. </w:t>
      </w:r>
      <w:r w:rsidR="00D3134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Nejpozději do 1. ledna 2013 musí být programové vybavení používané k provádění výpočtů Cep, Bbio a Tic vyhodnoceno ministrem odpovědným za výstavbu a ministrem odpovědným za energetiku v souladu s postupem stanoveným v příloze X. Na konci tohoto posouzení se vyhotoví hodnotící zpráva. Toto hodnocení </w:t>
      </w:r>
      <w:r>
        <w:rPr>
          <w:rFonts w:ascii="Times New Roman" w:hAnsi="Times New Roman"/>
          <w:sz w:val="24"/>
        </w:rPr>
        <w:lastRenderedPageBreak/>
        <w:t>by mělo být přezkoumáno každé dva roky, k výročnímu datu vydání hodnotící zprávy, nebo alespoň jednou od 1. ledna 2018.“</w:t>
      </w:r>
    </w:p>
    <w:p w14:paraId="519D34E6" w14:textId="69F18571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II. </w:t>
      </w:r>
      <w:r w:rsidR="003D058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Na začátku bodu 5 přílohy X vyhlášky ze dne 26. října 2010 uvedené výše a na začátku bodu 5 přílohy VI výše uvedené vyhlášky ze dne 28. prosince 2012 se doplňuje nová věta, která zní: „Následující odstavec se nevztahuje na software, který byl předmětem přezkumu hodnocení po 1. lednu 2018.“</w:t>
      </w:r>
    </w:p>
    <w:p w14:paraId="17033EF3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50</w:t>
      </w:r>
    </w:p>
    <w:p w14:paraId="7292B4E9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Na konci článku 49 vyhlášky ze dne 26. října 2010 uvedené výše a na konci článku 39 vyhlášky ze dne 28. prosince 2012 uvedené výše se doplňuje nový odstavec, který zní: </w:t>
      </w:r>
      <w:r>
        <w:rPr>
          <w:rFonts w:ascii="Times New Roman" w:hAnsi="Times New Roman"/>
          <w:sz w:val="24"/>
        </w:rPr>
        <w:br/>
        <w:t>„Schválení stavebního projektu není povinné, pokud osvědčení o splnění cílů ve smyslu článku L. 112–9 zákona o výstavbě a bydlení, které se týká jiného předmětu než energetické náročnosti, stanoví specifické vstupní údaje pro dotčená řešení s rovnocenným účinkem, které umožňují metodu výpočtu Th-B-C-E 2012.“</w:t>
      </w:r>
    </w:p>
    <w:p w14:paraId="0133372C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51</w:t>
      </w:r>
    </w:p>
    <w:p w14:paraId="24D85573" w14:textId="67A7D3DA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I. </w:t>
      </w:r>
      <w:r w:rsidR="00C70EC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Ustanovení článků 48 až 50 vstupují v platnost prvním dnem po vyhlášení této vyhlášky.</w:t>
      </w:r>
      <w:r>
        <w:rPr>
          <w:rFonts w:ascii="Times New Roman" w:hAnsi="Times New Roman"/>
          <w:sz w:val="24"/>
        </w:rPr>
        <w:br/>
        <w:t xml:space="preserve">II. </w:t>
      </w:r>
      <w:r w:rsidR="00C70EC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Ustanovení ostatních článků vstupují v platnost dnem 1. ledna 2022.</w:t>
      </w:r>
    </w:p>
    <w:p w14:paraId="1A52D4AD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52</w:t>
      </w:r>
    </w:p>
    <w:p w14:paraId="76B5C327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Toto nařízení bude zveřejněno v Úředním věstníku Francouzské republiky.</w:t>
      </w:r>
    </w:p>
    <w:p w14:paraId="360CB09C" w14:textId="77777777" w:rsidR="001E2566" w:rsidRPr="001E2566" w:rsidRDefault="001E2566" w:rsidP="001E25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Příloha</w:t>
      </w:r>
    </w:p>
    <w:p w14:paraId="1FE00F17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</w:t>
      </w:r>
    </w:p>
    <w:p w14:paraId="71AFA498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PŘÍLOHY</w:t>
      </w:r>
    </w:p>
    <w:p w14:paraId="7A4A40BE" w14:textId="77777777" w:rsidR="001E2566" w:rsidRPr="001E2566" w:rsidRDefault="001E2566" w:rsidP="001E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DA2BE06" w14:textId="77777777" w:rsidR="001E2566" w:rsidRPr="001E2566" w:rsidRDefault="001E2566" w:rsidP="001E2566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Celý text s obrázky si můžete prohlédnout ve výtahu z ověřeného elektronického Úředního věstníku, který je k dispozici v dolní části stránky</w:t>
      </w:r>
    </w:p>
    <w:p w14:paraId="3760AF8B" w14:textId="77777777" w:rsidR="001E2566" w:rsidRPr="001E2566" w:rsidRDefault="001E2566" w:rsidP="001E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Dne 4. srpna 2021.</w:t>
      </w:r>
    </w:p>
    <w:p w14:paraId="133B264A" w14:textId="77777777" w:rsidR="001E2566" w:rsidRPr="001E2566" w:rsidRDefault="001E2566" w:rsidP="001E2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Pověřený ministr při ministryni pro ekologickou transformaci, odpovědný za bydlení,</w:t>
      </w:r>
      <w:r>
        <w:rPr>
          <w:rFonts w:ascii="Times New Roman" w:hAnsi="Times New Roman"/>
          <w:sz w:val="24"/>
        </w:rPr>
        <w:br/>
        <w:t>Za ministra a na základě pověření: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Ředitel pro bydlení, městský rozvoj a krajinu,</w:t>
      </w:r>
      <w:r>
        <w:rPr>
          <w:rFonts w:ascii="Times New Roman" w:hAnsi="Times New Roman"/>
          <w:sz w:val="24"/>
        </w:rPr>
        <w:br/>
        <w:t>F. Adam</w:t>
      </w:r>
    </w:p>
    <w:p w14:paraId="1A7604DF" w14:textId="17FF67D5" w:rsidR="007570FC" w:rsidRDefault="001E2566" w:rsidP="00053FD1">
      <w:pPr>
        <w:spacing w:before="100" w:beforeAutospacing="1" w:after="100" w:afterAutospacing="1" w:line="240" w:lineRule="auto"/>
      </w:pPr>
      <w:r>
        <w:rPr>
          <w:rFonts w:ascii="Times New Roman" w:hAnsi="Times New Roman"/>
          <w:sz w:val="24"/>
        </w:rPr>
        <w:br/>
        <w:t>Ministryně pro ekologický přechod,</w:t>
      </w:r>
      <w:r>
        <w:rPr>
          <w:rFonts w:ascii="Times New Roman" w:hAnsi="Times New Roman"/>
          <w:sz w:val="24"/>
        </w:rPr>
        <w:br/>
        <w:t>Za ministryni a na základě pověření:</w:t>
      </w:r>
      <w:r>
        <w:rPr>
          <w:rFonts w:ascii="Times New Roman" w:hAnsi="Times New Roman"/>
          <w:sz w:val="24"/>
        </w:rPr>
        <w:br/>
        <w:t>Ředitel pro bydlení, městský rozvoj a krajinu,,</w:t>
      </w:r>
      <w:r>
        <w:rPr>
          <w:rFonts w:ascii="Times New Roman" w:hAnsi="Times New Roman"/>
          <w:sz w:val="24"/>
        </w:rPr>
        <w:br/>
        <w:t>F. Adam</w:t>
      </w:r>
      <w:r>
        <w:rPr>
          <w:rFonts w:ascii="Times New Roman" w:hAnsi="Times New Roman"/>
          <w:sz w:val="24"/>
        </w:rPr>
        <w:br/>
        <w:t>Generální ředitel pro energetiku a klima,</w:t>
      </w:r>
      <w:r>
        <w:rPr>
          <w:rFonts w:ascii="Times New Roman" w:hAnsi="Times New Roman"/>
          <w:sz w:val="24"/>
        </w:rPr>
        <w:br/>
        <w:t>L. Michel</w:t>
      </w:r>
    </w:p>
    <w:sectPr w:rsidR="00757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F3C81"/>
    <w:multiLevelType w:val="multilevel"/>
    <w:tmpl w:val="B5B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66"/>
    <w:rsid w:val="00053FD1"/>
    <w:rsid w:val="000E7313"/>
    <w:rsid w:val="00143362"/>
    <w:rsid w:val="00144B78"/>
    <w:rsid w:val="00180FAA"/>
    <w:rsid w:val="001C18C6"/>
    <w:rsid w:val="001C65B8"/>
    <w:rsid w:val="001E2566"/>
    <w:rsid w:val="00280DBC"/>
    <w:rsid w:val="00282150"/>
    <w:rsid w:val="002C3F1B"/>
    <w:rsid w:val="003D0581"/>
    <w:rsid w:val="005835C4"/>
    <w:rsid w:val="00597EFF"/>
    <w:rsid w:val="006672D2"/>
    <w:rsid w:val="006A192C"/>
    <w:rsid w:val="006C6170"/>
    <w:rsid w:val="007570FC"/>
    <w:rsid w:val="007B6957"/>
    <w:rsid w:val="007D713C"/>
    <w:rsid w:val="00967057"/>
    <w:rsid w:val="009B2E0F"/>
    <w:rsid w:val="00B67DD2"/>
    <w:rsid w:val="00BA2550"/>
    <w:rsid w:val="00BC10B2"/>
    <w:rsid w:val="00C70EC4"/>
    <w:rsid w:val="00CC2820"/>
    <w:rsid w:val="00D31341"/>
    <w:rsid w:val="00F40407"/>
    <w:rsid w:val="00FA62EF"/>
    <w:rsid w:val="00FD4157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8BB4"/>
  <w15:chartTrackingRefBased/>
  <w15:docId w15:val="{FAB69077-0BEA-44D7-AE59-CF747B96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0E07-A3DD-4A39-A906-A59137D2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6111</Words>
  <Characters>35142</Characters>
  <Application>Microsoft Office Word</Application>
  <DocSecurity>0</DocSecurity>
  <Lines>1033</Lines>
  <Paragraphs>346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Čarija</cp:lastModifiedBy>
  <cp:revision>2</cp:revision>
  <dcterms:created xsi:type="dcterms:W3CDTF">2022-02-10T14:54:00Z</dcterms:created>
  <dcterms:modified xsi:type="dcterms:W3CDTF">2022-02-10T14:54:00Z</dcterms:modified>
</cp:coreProperties>
</file>